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560CF1" w:rsidP="00C1494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A34317">
            <w:pPr>
              <w:suppressAutoHyphens w:val="0"/>
              <w:spacing w:after="20"/>
              <w:jc w:val="right"/>
            </w:pPr>
            <w:r w:rsidRPr="007B2B1F">
              <w:rPr>
                <w:sz w:val="40"/>
              </w:rPr>
              <w:t>ST</w:t>
            </w:r>
            <w:r w:rsidR="00077628" w:rsidRPr="007B2B1F">
              <w:t>/SG/AC.10/C.3/20</w:t>
            </w:r>
            <w:r w:rsidR="00F37EC0">
              <w:t>18</w:t>
            </w:r>
            <w:r w:rsidR="00077628" w:rsidRPr="007B2B1F">
              <w:t>/</w:t>
            </w:r>
            <w:r w:rsidR="00364BF9">
              <w:t>112</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A36D6" w:rsidP="00C14945">
            <w:pPr>
              <w:spacing w:before="120"/>
              <w:jc w:val="center"/>
            </w:pPr>
            <w:r>
              <w:rPr>
                <w:noProof/>
                <w:lang w:eastAsia="en-GB"/>
              </w:rPr>
              <w:drawing>
                <wp:inline distT="0" distB="0" distL="0" distR="0" wp14:anchorId="3CA5BE4F" wp14:editId="3D82BD5B">
                  <wp:extent cx="716915" cy="592455"/>
                  <wp:effectExtent l="0" t="0" r="698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B632EF" w:rsidRPr="007B2B1F" w:rsidRDefault="00C14945" w:rsidP="00B632EF">
            <w:pPr>
              <w:suppressAutoHyphens w:val="0"/>
              <w:spacing w:before="240" w:line="240" w:lineRule="exact"/>
            </w:pPr>
            <w:r w:rsidRPr="007B2B1F">
              <w:t>Distr.: General</w:t>
            </w:r>
            <w:r w:rsidR="00F37EC0">
              <w:br/>
            </w:r>
            <w:r w:rsidR="00B70591">
              <w:t>5</w:t>
            </w:r>
            <w:r w:rsidR="00364BF9">
              <w:t xml:space="preserve"> September</w:t>
            </w:r>
            <w:r w:rsidR="00F37EC0">
              <w:t xml:space="preserve"> 2018</w:t>
            </w:r>
            <w:r w:rsidR="00B632EF">
              <w:br/>
            </w: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9413CD">
        <w:rPr>
          <w:b/>
        </w:rPr>
        <w:t>fourth</w:t>
      </w:r>
      <w:r w:rsidR="00C14945" w:rsidRPr="007B2B1F">
        <w:rPr>
          <w:b/>
        </w:rPr>
        <w:t xml:space="preserve"> session</w:t>
      </w:r>
    </w:p>
    <w:p w:rsidR="00C14945" w:rsidRPr="007B2B1F" w:rsidRDefault="00C14945" w:rsidP="00C14945">
      <w:r w:rsidRPr="007B2B1F">
        <w:t xml:space="preserve">Geneva, </w:t>
      </w:r>
      <w:r w:rsidR="009413CD">
        <w:t>26</w:t>
      </w:r>
      <w:r w:rsidRPr="007B2B1F">
        <w:t xml:space="preserve"> </w:t>
      </w:r>
      <w:r w:rsidR="009D047D">
        <w:t>November-</w:t>
      </w:r>
      <w:r w:rsidR="009413CD">
        <w:t>4 December 2018</w:t>
      </w:r>
    </w:p>
    <w:p w:rsidR="00D21007" w:rsidRPr="00364BF9" w:rsidRDefault="00C14945" w:rsidP="00C14945">
      <w:pPr>
        <w:rPr>
          <w:b/>
          <w:bCs/>
        </w:rPr>
      </w:pPr>
      <w:r w:rsidRPr="00DA4D69">
        <w:t xml:space="preserve">Item </w:t>
      </w:r>
      <w:r w:rsidR="0069517C">
        <w:t>2</w:t>
      </w:r>
      <w:r w:rsidR="00B70591">
        <w:t xml:space="preserve"> </w:t>
      </w:r>
      <w:r w:rsidR="0069517C">
        <w:t>(f)</w:t>
      </w:r>
      <w:r w:rsidR="00E83D1E" w:rsidRPr="00DA4D69">
        <w:t xml:space="preserve"> </w:t>
      </w:r>
      <w:r w:rsidRPr="00DA4D69">
        <w:t>of the provisional agenda</w:t>
      </w:r>
      <w:r w:rsidRPr="00DA4D69">
        <w:rPr>
          <w:b/>
        </w:rPr>
        <w:t xml:space="preserve"> </w:t>
      </w:r>
      <w:r w:rsidRPr="00DA4D69">
        <w:rPr>
          <w:b/>
        </w:rPr>
        <w:br/>
      </w:r>
      <w:r w:rsidR="00364BF9" w:rsidRPr="00364BF9">
        <w:rPr>
          <w:b/>
          <w:bCs/>
        </w:rPr>
        <w:t xml:space="preserve">Recommendations made by the Sub-Committee on its fifty-first, </w:t>
      </w:r>
      <w:r w:rsidR="00364BF9" w:rsidRPr="00364BF9">
        <w:rPr>
          <w:b/>
          <w:bCs/>
        </w:rPr>
        <w:br/>
        <w:t>fifty-second and fifty-third sessions and pending issues:</w:t>
      </w:r>
      <w:r w:rsidR="00364BF9" w:rsidRPr="00364BF9">
        <w:rPr>
          <w:b/>
          <w:bCs/>
        </w:rPr>
        <w:br/>
        <w:t>miscellaneous pending issues</w:t>
      </w:r>
    </w:p>
    <w:p w:rsidR="00827962" w:rsidRPr="00827962" w:rsidRDefault="00F30B7D" w:rsidP="00F30B7D">
      <w:pPr>
        <w:pStyle w:val="HChG"/>
        <w:rPr>
          <w:lang w:eastAsia="en-GB"/>
        </w:rPr>
      </w:pPr>
      <w:r>
        <w:rPr>
          <w:lang w:eastAsia="en-GB"/>
        </w:rPr>
        <w:tab/>
      </w:r>
      <w:r>
        <w:rPr>
          <w:lang w:eastAsia="en-GB"/>
        </w:rPr>
        <w:tab/>
      </w:r>
      <w:r w:rsidR="0069517C">
        <w:rPr>
          <w:lang w:eastAsia="en-GB"/>
        </w:rPr>
        <w:t xml:space="preserve">Portable tanks with expired inspection dates and those switched from general cargo </w:t>
      </w:r>
      <w:r w:rsidR="00BA028E">
        <w:rPr>
          <w:lang w:eastAsia="en-GB"/>
        </w:rPr>
        <w:t>to dangerous goods content</w:t>
      </w:r>
      <w:r w:rsidR="0069517C">
        <w:rPr>
          <w:lang w:eastAsia="en-GB"/>
        </w:rPr>
        <w:t xml:space="preserve"> </w:t>
      </w:r>
    </w:p>
    <w:p w:rsidR="00827962" w:rsidRPr="00827962" w:rsidRDefault="00827962" w:rsidP="00F30B7D">
      <w:pPr>
        <w:pStyle w:val="H1G"/>
        <w:rPr>
          <w:lang w:eastAsia="en-GB"/>
        </w:rPr>
      </w:pPr>
      <w:r w:rsidRPr="00827962">
        <w:rPr>
          <w:lang w:eastAsia="en-GB"/>
        </w:rPr>
        <w:tab/>
      </w:r>
      <w:r w:rsidRPr="00827962">
        <w:rPr>
          <w:lang w:eastAsia="en-GB"/>
        </w:rPr>
        <w:tab/>
        <w:t>Transmi</w:t>
      </w:r>
      <w:r w:rsidR="00BA028E">
        <w:rPr>
          <w:lang w:eastAsia="en-GB"/>
        </w:rPr>
        <w:t>tted by the expert from the United Kingdom</w:t>
      </w:r>
      <w:r w:rsidRPr="00827962">
        <w:rPr>
          <w:sz w:val="18"/>
          <w:vertAlign w:val="superscript"/>
          <w:lang w:eastAsia="en-GB"/>
        </w:rPr>
        <w:footnoteReference w:id="2"/>
      </w:r>
    </w:p>
    <w:p w:rsidR="00827962" w:rsidRPr="00827962" w:rsidRDefault="00F30B7D" w:rsidP="00F30B7D">
      <w:pPr>
        <w:pStyle w:val="HChG"/>
        <w:rPr>
          <w:lang w:eastAsia="en-GB"/>
        </w:rPr>
      </w:pPr>
      <w:r>
        <w:rPr>
          <w:lang w:eastAsia="en-GB"/>
        </w:rPr>
        <w:tab/>
      </w:r>
      <w:r>
        <w:rPr>
          <w:lang w:eastAsia="en-GB"/>
        </w:rPr>
        <w:tab/>
      </w:r>
      <w:r w:rsidR="00827962" w:rsidRPr="00827962">
        <w:rPr>
          <w:lang w:eastAsia="en-GB"/>
        </w:rPr>
        <w:t>Introduction</w:t>
      </w:r>
    </w:p>
    <w:p w:rsidR="00BA028E" w:rsidRDefault="002273B6" w:rsidP="002273B6">
      <w:pPr>
        <w:pStyle w:val="SingleTxtG"/>
      </w:pPr>
      <w:r>
        <w:t>1.</w:t>
      </w:r>
      <w:r>
        <w:tab/>
      </w:r>
      <w:r w:rsidR="00BA028E">
        <w:t xml:space="preserve">At the fifty-third session of the Sub-Committee, the </w:t>
      </w:r>
      <w:r w:rsidR="00B70591">
        <w:t xml:space="preserve">expert from the United Kingdom </w:t>
      </w:r>
      <w:r w:rsidR="00BA028E">
        <w:t xml:space="preserve">submitted </w:t>
      </w:r>
      <w:r w:rsidR="00364BF9">
        <w:t xml:space="preserve">informal document </w:t>
      </w:r>
      <w:r w:rsidR="00BA028E">
        <w:t xml:space="preserve">INF.15 which </w:t>
      </w:r>
      <w:r>
        <w:t>asked the Sub-Committee to consider and discuss if the Model Regulations should specify the conditions under which portable tanks can continue to be used for the transport of dangerous goods when they have missed the date for their periodic inspection</w:t>
      </w:r>
      <w:r w:rsidR="00DA4CA7">
        <w:t xml:space="preserve"> or are switching from general cargo to dangerous goods</w:t>
      </w:r>
      <w:r w:rsidR="00364BF9">
        <w:t xml:space="preserve">. </w:t>
      </w:r>
      <w:r>
        <w:t>The United Kingdom expert believed that this is not addressed in the Model Regulations currently and that the lack of specific text dealing with this issue was leading to confusion amongst inspection bodies and users.</w:t>
      </w:r>
    </w:p>
    <w:p w:rsidR="002273B6" w:rsidRDefault="002273B6" w:rsidP="002273B6">
      <w:pPr>
        <w:pStyle w:val="SingleTxtG"/>
      </w:pPr>
      <w:r>
        <w:t>2.</w:t>
      </w:r>
      <w:r w:rsidR="00DA4CA7">
        <w:tab/>
      </w:r>
      <w:r w:rsidR="002032A1">
        <w:t xml:space="preserve">The official report from the last session recorded the discussion as presented in paragraphs 125-126 </w:t>
      </w:r>
      <w:r w:rsidR="00B70591">
        <w:t>(see ST/SG/AC.10/C.3/107)</w:t>
      </w:r>
      <w:r w:rsidR="002032A1">
        <w:t xml:space="preserve"> reproduced here:</w:t>
      </w:r>
    </w:p>
    <w:p w:rsidR="002032A1" w:rsidRPr="00B03207" w:rsidRDefault="002032A1" w:rsidP="00364BF9">
      <w:pPr>
        <w:pStyle w:val="SingleTxtG"/>
        <w:tabs>
          <w:tab w:val="left" w:pos="1701"/>
          <w:tab w:val="left" w:pos="2410"/>
        </w:tabs>
        <w:ind w:left="1701"/>
      </w:pPr>
      <w:r>
        <w:t>“</w:t>
      </w:r>
      <w:r w:rsidRPr="00B03207">
        <w:t>125.</w:t>
      </w:r>
      <w:r w:rsidRPr="00B03207">
        <w:tab/>
        <w:t>Several experts noted that in their view, portable tanks used for general cargo should be subject to the 5-year inspection and test in accordance with Chapter 6.7 before being put in service for transport of dangerous goods. Others pointed out that they have had no time to consider this issue before the session.</w:t>
      </w:r>
    </w:p>
    <w:p w:rsidR="002032A1" w:rsidRDefault="002032A1" w:rsidP="00364BF9">
      <w:pPr>
        <w:pStyle w:val="SingleTxtG"/>
        <w:tabs>
          <w:tab w:val="left" w:pos="1701"/>
          <w:tab w:val="left" w:pos="2268"/>
        </w:tabs>
        <w:ind w:left="1701"/>
      </w:pPr>
      <w:r w:rsidRPr="00B03207">
        <w:lastRenderedPageBreak/>
        <w:t>126.</w:t>
      </w:r>
      <w:r w:rsidRPr="00B03207">
        <w:tab/>
        <w:t>The Sub-Committee invited the expert from the United Kingdom to take account of the comments made and to submit an official document for the next session.</w:t>
      </w:r>
      <w:r>
        <w:t>”</w:t>
      </w:r>
    </w:p>
    <w:p w:rsidR="00C61291" w:rsidRPr="00B03207" w:rsidRDefault="00DA4CA7" w:rsidP="002032A1">
      <w:pPr>
        <w:pStyle w:val="SingleTxtG"/>
        <w:tabs>
          <w:tab w:val="left" w:pos="1701"/>
          <w:tab w:val="left" w:pos="2977"/>
        </w:tabs>
      </w:pPr>
      <w:r>
        <w:t>3.</w:t>
      </w:r>
      <w:r>
        <w:tab/>
      </w:r>
      <w:r w:rsidR="00FD7DDB">
        <w:t>As there was some support for addressing this issue within the Model Regulations and i</w:t>
      </w:r>
      <w:r w:rsidR="00C61291">
        <w:t xml:space="preserve">n response to the discussions of the last session, the </w:t>
      </w:r>
      <w:r w:rsidR="00B70591">
        <w:t xml:space="preserve">expert from the </w:t>
      </w:r>
      <w:r w:rsidR="00C61291">
        <w:t>United Kingdom proposes the following text for inclusion into Chapter 6.7 of the Model Regulations.</w:t>
      </w:r>
    </w:p>
    <w:p w:rsidR="00827962" w:rsidRPr="00827962" w:rsidRDefault="00F30B7D" w:rsidP="00F30B7D">
      <w:pPr>
        <w:pStyle w:val="HChG"/>
      </w:pPr>
      <w:r>
        <w:tab/>
      </w:r>
      <w:r>
        <w:tab/>
      </w:r>
      <w:r w:rsidR="00827962" w:rsidRPr="00827962">
        <w:t>Proposal</w:t>
      </w:r>
    </w:p>
    <w:p w:rsidR="00827962" w:rsidRDefault="00C61291" w:rsidP="00F30B7D">
      <w:pPr>
        <w:pStyle w:val="SingleTxtG"/>
      </w:pPr>
      <w:r>
        <w:t>4</w:t>
      </w:r>
      <w:r w:rsidR="00827962" w:rsidRPr="00827962">
        <w:t xml:space="preserve">. </w:t>
      </w:r>
      <w:r w:rsidR="00827962" w:rsidRPr="00827962">
        <w:tab/>
      </w:r>
      <w:r w:rsidR="00E352A7">
        <w:t xml:space="preserve">Amend </w:t>
      </w:r>
      <w:r w:rsidR="00827962" w:rsidRPr="00827962">
        <w:t xml:space="preserve">subsection </w:t>
      </w:r>
      <w:r w:rsidR="00E352A7">
        <w:t>6.7.2.19.6</w:t>
      </w:r>
      <w:r w:rsidR="00827962" w:rsidRPr="00827962">
        <w:t xml:space="preserve"> </w:t>
      </w:r>
      <w:r w:rsidR="00DF15D4">
        <w:t xml:space="preserve">by adding a new sub-section </w:t>
      </w:r>
      <w:r w:rsidR="00827962" w:rsidRPr="00827962">
        <w:t>as follows</w:t>
      </w:r>
      <w:r w:rsidR="00E352A7">
        <w:t xml:space="preserve"> (new text </w:t>
      </w:r>
      <w:r w:rsidR="00E352A7" w:rsidRPr="002120E8">
        <w:rPr>
          <w:u w:val="single"/>
        </w:rPr>
        <w:t>underlined</w:t>
      </w:r>
      <w:r w:rsidR="00E352A7">
        <w:t>)</w:t>
      </w:r>
      <w:r w:rsidR="00827962" w:rsidRPr="00827962">
        <w:t xml:space="preserve">: </w:t>
      </w:r>
    </w:p>
    <w:p w:rsidR="00857451" w:rsidRDefault="00E352A7" w:rsidP="00364BF9">
      <w:pPr>
        <w:pStyle w:val="SingleTxtG"/>
        <w:ind w:left="1701"/>
      </w:pPr>
      <w:r>
        <w:t xml:space="preserve">“6.7.2.19.6 A portable tank may not be filled and offered for transport after the date of expiry of the last 5 year or </w:t>
      </w:r>
      <w:proofErr w:type="gramStart"/>
      <w:r>
        <w:t>2.5 year</w:t>
      </w:r>
      <w:proofErr w:type="gramEnd"/>
      <w:r>
        <w:t xml:space="preserve"> periodic inspection and test as required by 6.7.2.19.2.</w:t>
      </w:r>
      <w:r w:rsidR="00E97C45">
        <w:t xml:space="preserve">  </w:t>
      </w:r>
      <w:r>
        <w:t xml:space="preserve"> </w:t>
      </w:r>
      <w:r w:rsidRPr="00F536E3">
        <w:t>However</w:t>
      </w:r>
      <w:r>
        <w:t xml:space="preserve">, a portable tank filled prior to the date of expiry of the last periodic inspection and test may be carried for a period not to exceed three months beyond the date of expiry of the last periodic </w:t>
      </w:r>
      <w:r w:rsidRPr="00F536E3">
        <w:rPr>
          <w:color w:val="000000" w:themeColor="text1"/>
        </w:rPr>
        <w:t xml:space="preserve">test or </w:t>
      </w:r>
      <w:r w:rsidR="00F536E3">
        <w:t>inspection</w:t>
      </w:r>
      <w:r>
        <w:t>. In addition, a portable tank may</w:t>
      </w:r>
      <w:r w:rsidR="00F536E3">
        <w:t xml:space="preserve"> be transported after the date of expiry</w:t>
      </w:r>
      <w:r w:rsidR="00857451">
        <w:t xml:space="preserve"> of the last periodic test and inspection: </w:t>
      </w:r>
    </w:p>
    <w:p w:rsidR="00857451" w:rsidRPr="00DF15D4" w:rsidRDefault="00857451" w:rsidP="00364BF9">
      <w:pPr>
        <w:pStyle w:val="SingleTxtG"/>
        <w:numPr>
          <w:ilvl w:val="0"/>
          <w:numId w:val="40"/>
        </w:numPr>
        <w:ind w:left="1701" w:firstLine="0"/>
      </w:pPr>
      <w:r w:rsidRPr="00DF15D4">
        <w:t>After emptying but before cleaning, for purposes of performing the next required test or inspection prior to refilling; and</w:t>
      </w:r>
    </w:p>
    <w:p w:rsidR="00E352A7" w:rsidRDefault="00857451" w:rsidP="00364BF9">
      <w:pPr>
        <w:pStyle w:val="SingleTxtG"/>
        <w:numPr>
          <w:ilvl w:val="0"/>
          <w:numId w:val="40"/>
        </w:numPr>
        <w:ind w:left="1701" w:firstLine="0"/>
      </w:pPr>
      <w:r w:rsidRPr="00DF15D4">
        <w:t xml:space="preserve">Unless otherwise approved by the competent authority, for a period not to exceed six months beyond the date of expiry of the last periodic test or inspection, </w:t>
      </w:r>
      <w:proofErr w:type="gramStart"/>
      <w:r w:rsidRPr="00DF15D4">
        <w:t>in order to</w:t>
      </w:r>
      <w:proofErr w:type="gramEnd"/>
      <w:r w:rsidRPr="00DF15D4">
        <w:t xml:space="preserve"> allow the return of dangerous goods for proper disposal or recycling.  Refer</w:t>
      </w:r>
      <w:r w:rsidR="00A34317">
        <w:t>en</w:t>
      </w:r>
      <w:r w:rsidRPr="00DF15D4">
        <w:t>ce to this exemption shall be mentioned in the transport document.</w:t>
      </w:r>
    </w:p>
    <w:p w:rsidR="00DF15D4" w:rsidRPr="00364BF9" w:rsidRDefault="00364BF9" w:rsidP="00364BF9">
      <w:pPr>
        <w:pStyle w:val="SingleTxtG"/>
        <w:ind w:left="1701"/>
        <w:rPr>
          <w:u w:val="single"/>
        </w:rPr>
      </w:pPr>
      <w:r w:rsidRPr="00364BF9">
        <w:rPr>
          <w:u w:val="single"/>
        </w:rPr>
        <w:t>6.7.2.19.6.1</w:t>
      </w:r>
      <w:r w:rsidRPr="00364BF9">
        <w:rPr>
          <w:u w:val="single"/>
        </w:rPr>
        <w:tab/>
      </w:r>
      <w:r w:rsidR="007F0B81" w:rsidRPr="00364BF9">
        <w:rPr>
          <w:u w:val="single"/>
        </w:rPr>
        <w:t>Except as provided for in 6.7.2.19.6 portable tanks w</w:t>
      </w:r>
      <w:r w:rsidR="00E0682F" w:rsidRPr="00364BF9">
        <w:rPr>
          <w:u w:val="single"/>
        </w:rPr>
        <w:t>hich have missed the timeframe f</w:t>
      </w:r>
      <w:r w:rsidR="002120E8" w:rsidRPr="00364BF9">
        <w:rPr>
          <w:u w:val="single"/>
        </w:rPr>
        <w:t xml:space="preserve">or their </w:t>
      </w:r>
      <w:r w:rsidR="00E0682F" w:rsidRPr="00364BF9">
        <w:rPr>
          <w:u w:val="single"/>
        </w:rPr>
        <w:t xml:space="preserve">scheduled 5 year or </w:t>
      </w:r>
      <w:proofErr w:type="gramStart"/>
      <w:r w:rsidR="00E0682F" w:rsidRPr="00364BF9">
        <w:rPr>
          <w:u w:val="single"/>
        </w:rPr>
        <w:t>2.5 year</w:t>
      </w:r>
      <w:proofErr w:type="gramEnd"/>
      <w:r w:rsidR="00E0682F" w:rsidRPr="00364BF9">
        <w:rPr>
          <w:u w:val="single"/>
        </w:rPr>
        <w:t xml:space="preserve"> periodic inspection and test</w:t>
      </w:r>
      <w:r w:rsidR="00DF15D4" w:rsidRPr="00364BF9">
        <w:rPr>
          <w:u w:val="single"/>
        </w:rPr>
        <w:t xml:space="preserve"> may only be filled and offered for transport if a new 5 year periodic inspection and test is performed according to 6.7.2.19.4 and thereafter continuing in service in accordance with the provisions of 6.7.2.19.2.</w:t>
      </w:r>
      <w:r>
        <w:rPr>
          <w:u w:val="single"/>
        </w:rPr>
        <w:t>”.</w:t>
      </w:r>
    </w:p>
    <w:p w:rsidR="00A34317" w:rsidRPr="00146A46" w:rsidRDefault="00364BF9" w:rsidP="00364BF9">
      <w:pPr>
        <w:pStyle w:val="HChG"/>
      </w:pPr>
      <w:r>
        <w:tab/>
      </w:r>
      <w:r>
        <w:tab/>
      </w:r>
      <w:r w:rsidR="00A34317" w:rsidRPr="00146A46">
        <w:t>Justification</w:t>
      </w:r>
    </w:p>
    <w:p w:rsidR="00A34317" w:rsidRPr="00146A46" w:rsidRDefault="00A34317" w:rsidP="00364BF9">
      <w:pPr>
        <w:pStyle w:val="SingleTxtG"/>
      </w:pPr>
      <w:r>
        <w:t>5</w:t>
      </w:r>
      <w:r w:rsidRPr="00146A46">
        <w:t>.</w:t>
      </w:r>
      <w:r w:rsidRPr="00146A46">
        <w:tab/>
        <w:t xml:space="preserve">The addition of </w:t>
      </w:r>
      <w:r>
        <w:t>a new provision</w:t>
      </w:r>
      <w:r w:rsidRPr="00146A46">
        <w:t xml:space="preserve"> to deal with the above</w:t>
      </w:r>
      <w:r>
        <w:t xml:space="preserve"> issue</w:t>
      </w:r>
      <w:r w:rsidRPr="00146A46">
        <w:t xml:space="preserve"> will address a gap in the existing text and will provide a uniform approach to how </w:t>
      </w:r>
      <w:r>
        <w:t xml:space="preserve">portable tanks which are out of test </w:t>
      </w:r>
      <w:r w:rsidRPr="00146A46">
        <w:t xml:space="preserve">are handled.  </w:t>
      </w:r>
    </w:p>
    <w:p w:rsidR="00A34317" w:rsidRPr="00364BF9" w:rsidRDefault="00364BF9" w:rsidP="00364BF9">
      <w:pPr>
        <w:spacing w:before="240"/>
        <w:ind w:left="1134" w:right="1134"/>
        <w:jc w:val="center"/>
        <w:rPr>
          <w:u w:val="single"/>
        </w:rPr>
      </w:pPr>
      <w:r>
        <w:rPr>
          <w:u w:val="single"/>
        </w:rPr>
        <w:tab/>
      </w:r>
      <w:r>
        <w:rPr>
          <w:u w:val="single"/>
        </w:rPr>
        <w:tab/>
      </w:r>
      <w:r>
        <w:rPr>
          <w:u w:val="single"/>
        </w:rPr>
        <w:tab/>
      </w:r>
    </w:p>
    <w:p w:rsidR="00827962" w:rsidRPr="00F30B7D" w:rsidRDefault="00F30B7D" w:rsidP="00F30B7D">
      <w:pPr>
        <w:spacing w:before="240"/>
        <w:ind w:left="1134" w:right="1134"/>
        <w:jc w:val="center"/>
        <w:rPr>
          <w:u w:val="single"/>
          <w:lang w:val="en-US" w:eastAsia="en-GB"/>
        </w:rPr>
      </w:pPr>
      <w:r>
        <w:rPr>
          <w:u w:val="single"/>
          <w:lang w:val="en-US" w:eastAsia="en-GB"/>
        </w:rPr>
        <w:tab/>
      </w:r>
    </w:p>
    <w:p w:rsidR="001803EE" w:rsidRPr="003222E8" w:rsidRDefault="001803EE" w:rsidP="003222E8">
      <w:pPr>
        <w:pStyle w:val="SingleTxtG"/>
      </w:pPr>
      <w:r w:rsidRPr="003222E8">
        <w:tab/>
      </w:r>
    </w:p>
    <w:sectPr w:rsidR="001803EE" w:rsidRPr="003222E8" w:rsidSect="001444E1">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A7" w:rsidRDefault="00DA4CA7"/>
  </w:endnote>
  <w:endnote w:type="continuationSeparator" w:id="0">
    <w:p w:rsidR="00DA4CA7" w:rsidRDefault="00DA4CA7"/>
  </w:endnote>
  <w:endnote w:type="continuationNotice" w:id="1">
    <w:p w:rsidR="00DA4CA7" w:rsidRDefault="00DA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A7" w:rsidRPr="00C21CB4" w:rsidRDefault="00DA4CA7">
    <w:pPr>
      <w:pStyle w:val="Footer"/>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sidR="00A34317">
      <w:rPr>
        <w:b/>
        <w:noProof/>
        <w:sz w:val="18"/>
        <w:szCs w:val="18"/>
      </w:rPr>
      <w:t>2</w:t>
    </w:r>
    <w:r w:rsidRPr="00C21CB4">
      <w:rPr>
        <w:b/>
        <w:noProof/>
        <w:sz w:val="18"/>
        <w:szCs w:val="18"/>
      </w:rPr>
      <w:fldChar w:fldCharType="end"/>
    </w:r>
  </w:p>
  <w:p w:rsidR="00DA4CA7" w:rsidRDefault="00DA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A7" w:rsidRPr="00C21CB4" w:rsidRDefault="00DA4CA7">
    <w:pPr>
      <w:pStyle w:val="Footer"/>
      <w:jc w:val="right"/>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Pr>
        <w:b/>
        <w:noProof/>
        <w:sz w:val="18"/>
        <w:szCs w:val="18"/>
      </w:rPr>
      <w:t>3</w:t>
    </w:r>
    <w:r w:rsidRPr="00C21CB4">
      <w:rPr>
        <w:b/>
        <w:noProof/>
        <w:sz w:val="18"/>
        <w:szCs w:val="18"/>
      </w:rPr>
      <w:fldChar w:fldCharType="end"/>
    </w:r>
  </w:p>
  <w:p w:rsidR="00DA4CA7" w:rsidRDefault="00DA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A7" w:rsidRPr="000B175B" w:rsidRDefault="00DA4CA7" w:rsidP="000B175B">
      <w:pPr>
        <w:tabs>
          <w:tab w:val="right" w:pos="2155"/>
        </w:tabs>
        <w:spacing w:after="80"/>
        <w:ind w:left="680"/>
        <w:rPr>
          <w:u w:val="single"/>
        </w:rPr>
      </w:pPr>
      <w:r>
        <w:rPr>
          <w:u w:val="single"/>
        </w:rPr>
        <w:tab/>
      </w:r>
    </w:p>
  </w:footnote>
  <w:footnote w:type="continuationSeparator" w:id="0">
    <w:p w:rsidR="00DA4CA7" w:rsidRPr="00FC68B7" w:rsidRDefault="00DA4CA7" w:rsidP="00FC68B7">
      <w:pPr>
        <w:tabs>
          <w:tab w:val="left" w:pos="2155"/>
        </w:tabs>
        <w:spacing w:after="80"/>
        <w:ind w:left="680"/>
        <w:rPr>
          <w:u w:val="single"/>
        </w:rPr>
      </w:pPr>
      <w:r>
        <w:rPr>
          <w:u w:val="single"/>
        </w:rPr>
        <w:tab/>
      </w:r>
    </w:p>
  </w:footnote>
  <w:footnote w:type="continuationNotice" w:id="1">
    <w:p w:rsidR="00DA4CA7" w:rsidRDefault="00DA4CA7"/>
  </w:footnote>
  <w:footnote w:id="2">
    <w:p w:rsidR="00DA4CA7" w:rsidRDefault="00B70591" w:rsidP="00B70591">
      <w:pPr>
        <w:pStyle w:val="FootnoteText"/>
      </w:pPr>
      <w:r>
        <w:tab/>
      </w:r>
      <w:bookmarkStart w:id="0" w:name="_GoBack"/>
      <w:bookmarkEnd w:id="0"/>
      <w:r w:rsidR="00DA4CA7">
        <w:rPr>
          <w:rStyle w:val="FootnoteReference"/>
        </w:rPr>
        <w:footnoteRef/>
      </w:r>
      <w:r w:rsidR="00DA4CA7">
        <w:tab/>
        <w:t xml:space="preserve">In accordance </w:t>
      </w:r>
      <w:r w:rsidR="00DA4CA7" w:rsidRPr="00B70591">
        <w:t>with</w:t>
      </w:r>
      <w:r w:rsidR="00DA4CA7">
        <w:t xml:space="preserve">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A7" w:rsidRPr="00E678B8" w:rsidRDefault="00364BF9">
    <w:pPr>
      <w:pStyle w:val="Header"/>
      <w:rPr>
        <w:lang w:val="fr-CH"/>
      </w:rPr>
    </w:pPr>
    <w:r>
      <w:rPr>
        <w:lang w:val="fr-CH"/>
      </w:rPr>
      <w:t>ST/SG/AC.10/C.3/2018/112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A7" w:rsidRDefault="00DA4CA7" w:rsidP="00C21CB4">
    <w:pPr>
      <w:pStyle w:val="Header"/>
      <w:jc w:val="right"/>
    </w:pPr>
    <w:r>
      <w:rPr>
        <w:lang w:val="fr-CH"/>
      </w:rPr>
      <w:t>ST/SG/AC.10/C.3/2018/xx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15:restartNumberingAfterBreak="0">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15:restartNumberingAfterBreak="0">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AF53B9"/>
    <w:multiLevelType w:val="hybridMultilevel"/>
    <w:tmpl w:val="50B49022"/>
    <w:lvl w:ilvl="0" w:tplc="ADEA741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61C51F8"/>
    <w:multiLevelType w:val="hybridMultilevel"/>
    <w:tmpl w:val="F4FA9D6C"/>
    <w:lvl w:ilvl="0" w:tplc="C70E18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322899"/>
    <w:multiLevelType w:val="hybridMultilevel"/>
    <w:tmpl w:val="A11C1740"/>
    <w:lvl w:ilvl="0" w:tplc="AAEE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8"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8BB7149"/>
    <w:multiLevelType w:val="hybridMultilevel"/>
    <w:tmpl w:val="AD74B2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33"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F4B2B"/>
    <w:multiLevelType w:val="hybridMultilevel"/>
    <w:tmpl w:val="B01E219C"/>
    <w:lvl w:ilvl="0" w:tplc="98E03B6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37" w15:restartNumberingAfterBreak="0">
    <w:nsid w:val="6CB52D23"/>
    <w:multiLevelType w:val="multilevel"/>
    <w:tmpl w:val="9D6820A0"/>
    <w:lvl w:ilvl="0">
      <w:start w:val="6"/>
      <w:numFmt w:val="decimal"/>
      <w:lvlText w:val="%1"/>
      <w:lvlJc w:val="left"/>
      <w:pPr>
        <w:ind w:left="960" w:hanging="960"/>
      </w:pPr>
      <w:rPr>
        <w:rFonts w:hint="default"/>
        <w:color w:val="000000" w:themeColor="text1"/>
        <w:u w:val="single"/>
      </w:rPr>
    </w:lvl>
    <w:lvl w:ilvl="1">
      <w:start w:val="7"/>
      <w:numFmt w:val="decimal"/>
      <w:lvlText w:val="%1.%2"/>
      <w:lvlJc w:val="left"/>
      <w:pPr>
        <w:ind w:left="1186" w:hanging="960"/>
      </w:pPr>
      <w:rPr>
        <w:rFonts w:hint="default"/>
        <w:color w:val="000000" w:themeColor="text1"/>
        <w:u w:val="single"/>
      </w:rPr>
    </w:lvl>
    <w:lvl w:ilvl="2">
      <w:start w:val="2"/>
      <w:numFmt w:val="decimal"/>
      <w:lvlText w:val="%1.%2.%3"/>
      <w:lvlJc w:val="left"/>
      <w:pPr>
        <w:ind w:left="1412" w:hanging="960"/>
      </w:pPr>
      <w:rPr>
        <w:rFonts w:hint="default"/>
        <w:color w:val="000000" w:themeColor="text1"/>
        <w:u w:val="single"/>
      </w:rPr>
    </w:lvl>
    <w:lvl w:ilvl="3">
      <w:start w:val="19"/>
      <w:numFmt w:val="decimal"/>
      <w:lvlText w:val="%1.%2.%3.%4"/>
      <w:lvlJc w:val="left"/>
      <w:pPr>
        <w:ind w:left="1638" w:hanging="960"/>
      </w:pPr>
      <w:rPr>
        <w:rFonts w:hint="default"/>
        <w:color w:val="000000" w:themeColor="text1"/>
        <w:u w:val="single"/>
      </w:rPr>
    </w:lvl>
    <w:lvl w:ilvl="4">
      <w:start w:val="6"/>
      <w:numFmt w:val="decimal"/>
      <w:lvlText w:val="%1.%2.%3.%4.%5"/>
      <w:lvlJc w:val="left"/>
      <w:pPr>
        <w:ind w:left="1864" w:hanging="960"/>
      </w:pPr>
      <w:rPr>
        <w:rFonts w:hint="default"/>
        <w:color w:val="000000" w:themeColor="text1"/>
        <w:u w:val="single"/>
      </w:rPr>
    </w:lvl>
    <w:lvl w:ilvl="5">
      <w:start w:val="1"/>
      <w:numFmt w:val="decimal"/>
      <w:lvlText w:val="%1.%2.%3.%4.%5.%6"/>
      <w:lvlJc w:val="left"/>
      <w:pPr>
        <w:ind w:left="2210" w:hanging="1080"/>
      </w:pPr>
      <w:rPr>
        <w:rFonts w:hint="default"/>
        <w:color w:val="000000" w:themeColor="text1"/>
        <w:u w:val="single"/>
      </w:rPr>
    </w:lvl>
    <w:lvl w:ilvl="6">
      <w:start w:val="1"/>
      <w:numFmt w:val="decimal"/>
      <w:lvlText w:val="%1.%2.%3.%4.%5.%6.%7"/>
      <w:lvlJc w:val="left"/>
      <w:pPr>
        <w:ind w:left="2436" w:hanging="1080"/>
      </w:pPr>
      <w:rPr>
        <w:rFonts w:hint="default"/>
        <w:color w:val="000000" w:themeColor="text1"/>
        <w:u w:val="single"/>
      </w:rPr>
    </w:lvl>
    <w:lvl w:ilvl="7">
      <w:start w:val="1"/>
      <w:numFmt w:val="decimal"/>
      <w:lvlText w:val="%1.%2.%3.%4.%5.%6.%7.%8"/>
      <w:lvlJc w:val="left"/>
      <w:pPr>
        <w:ind w:left="3022" w:hanging="1440"/>
      </w:pPr>
      <w:rPr>
        <w:rFonts w:hint="default"/>
        <w:color w:val="000000" w:themeColor="text1"/>
        <w:u w:val="single"/>
      </w:rPr>
    </w:lvl>
    <w:lvl w:ilvl="8">
      <w:start w:val="1"/>
      <w:numFmt w:val="decimal"/>
      <w:lvlText w:val="%1.%2.%3.%4.%5.%6.%7.%8.%9"/>
      <w:lvlJc w:val="left"/>
      <w:pPr>
        <w:ind w:left="3248" w:hanging="1440"/>
      </w:pPr>
      <w:rPr>
        <w:rFonts w:hint="default"/>
        <w:color w:val="000000" w:themeColor="text1"/>
        <w:u w:val="single"/>
      </w:rPr>
    </w:lvl>
  </w:abstractNum>
  <w:abstractNum w:abstractNumId="38"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75533C79"/>
    <w:multiLevelType w:val="hybridMultilevel"/>
    <w:tmpl w:val="70DAB624"/>
    <w:lvl w:ilvl="0" w:tplc="AAEE04E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9"/>
  </w:num>
  <w:num w:numId="12">
    <w:abstractNumId w:val="25"/>
  </w:num>
  <w:num w:numId="13">
    <w:abstractNumId w:val="14"/>
  </w:num>
  <w:num w:numId="14">
    <w:abstractNumId w:val="35"/>
  </w:num>
  <w:num w:numId="15">
    <w:abstractNumId w:val="22"/>
  </w:num>
  <w:num w:numId="16">
    <w:abstractNumId w:val="16"/>
  </w:num>
  <w:num w:numId="17">
    <w:abstractNumId w:val="0"/>
  </w:num>
  <w:num w:numId="18">
    <w:abstractNumId w:val="18"/>
  </w:num>
  <w:num w:numId="19">
    <w:abstractNumId w:val="28"/>
  </w:num>
  <w:num w:numId="20">
    <w:abstractNumId w:val="38"/>
  </w:num>
  <w:num w:numId="21">
    <w:abstractNumId w:val="17"/>
  </w:num>
  <w:num w:numId="22">
    <w:abstractNumId w:val="33"/>
  </w:num>
  <w:num w:numId="23">
    <w:abstractNumId w:val="19"/>
  </w:num>
  <w:num w:numId="24">
    <w:abstractNumId w:val="20"/>
  </w:num>
  <w:num w:numId="25">
    <w:abstractNumId w:val="24"/>
  </w:num>
  <w:num w:numId="26">
    <w:abstractNumId w:val="27"/>
  </w:num>
  <w:num w:numId="27">
    <w:abstractNumId w:val="21"/>
  </w:num>
  <w:num w:numId="28">
    <w:abstractNumId w:val="13"/>
  </w:num>
  <w:num w:numId="29">
    <w:abstractNumId w:val="12"/>
  </w:num>
  <w:num w:numId="30">
    <w:abstractNumId w:val="11"/>
  </w:num>
  <w:num w:numId="31">
    <w:abstractNumId w:val="36"/>
  </w:num>
  <w:num w:numId="32">
    <w:abstractNumId w:val="32"/>
  </w:num>
  <w:num w:numId="33">
    <w:abstractNumId w:val="30"/>
  </w:num>
  <w:num w:numId="34">
    <w:abstractNumId w:val="31"/>
  </w:num>
  <w:num w:numId="35">
    <w:abstractNumId w:val="26"/>
  </w:num>
  <w:num w:numId="36">
    <w:abstractNumId w:val="39"/>
  </w:num>
  <w:num w:numId="37">
    <w:abstractNumId w:val="34"/>
  </w:num>
  <w:num w:numId="38">
    <w:abstractNumId w:val="23"/>
  </w:num>
  <w:num w:numId="39">
    <w:abstractNumId w:val="37"/>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de-A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28"/>
    <w:rsid w:val="000062D2"/>
    <w:rsid w:val="00007271"/>
    <w:rsid w:val="000079F6"/>
    <w:rsid w:val="000104C3"/>
    <w:rsid w:val="0001708B"/>
    <w:rsid w:val="00021776"/>
    <w:rsid w:val="00023445"/>
    <w:rsid w:val="000274B3"/>
    <w:rsid w:val="00027907"/>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9003C"/>
    <w:rsid w:val="000931C0"/>
    <w:rsid w:val="000A6996"/>
    <w:rsid w:val="000B0595"/>
    <w:rsid w:val="000B175B"/>
    <w:rsid w:val="000B3A0F"/>
    <w:rsid w:val="000B4EF7"/>
    <w:rsid w:val="000B57A4"/>
    <w:rsid w:val="000B75BF"/>
    <w:rsid w:val="000C15A9"/>
    <w:rsid w:val="000C2C03"/>
    <w:rsid w:val="000C2D2E"/>
    <w:rsid w:val="000C4D51"/>
    <w:rsid w:val="000C5384"/>
    <w:rsid w:val="000D2A2C"/>
    <w:rsid w:val="000D5DA2"/>
    <w:rsid w:val="000E0415"/>
    <w:rsid w:val="000E47CA"/>
    <w:rsid w:val="000F3402"/>
    <w:rsid w:val="00107320"/>
    <w:rsid w:val="001103AA"/>
    <w:rsid w:val="00112D01"/>
    <w:rsid w:val="001165AF"/>
    <w:rsid w:val="0011666B"/>
    <w:rsid w:val="00117D3E"/>
    <w:rsid w:val="00121DE7"/>
    <w:rsid w:val="001234B8"/>
    <w:rsid w:val="001275B3"/>
    <w:rsid w:val="00135AD6"/>
    <w:rsid w:val="001370F8"/>
    <w:rsid w:val="00140BEB"/>
    <w:rsid w:val="001444E1"/>
    <w:rsid w:val="00153694"/>
    <w:rsid w:val="00154076"/>
    <w:rsid w:val="00154A06"/>
    <w:rsid w:val="00155068"/>
    <w:rsid w:val="00160E58"/>
    <w:rsid w:val="00165F3A"/>
    <w:rsid w:val="001669D3"/>
    <w:rsid w:val="00177FAD"/>
    <w:rsid w:val="001803EE"/>
    <w:rsid w:val="00181506"/>
    <w:rsid w:val="00183C52"/>
    <w:rsid w:val="00195EC9"/>
    <w:rsid w:val="001961E3"/>
    <w:rsid w:val="00197FE9"/>
    <w:rsid w:val="001A354A"/>
    <w:rsid w:val="001B0F1E"/>
    <w:rsid w:val="001B13A5"/>
    <w:rsid w:val="001B4B04"/>
    <w:rsid w:val="001C6663"/>
    <w:rsid w:val="001C67BD"/>
    <w:rsid w:val="001C733D"/>
    <w:rsid w:val="001C7895"/>
    <w:rsid w:val="001C7C7A"/>
    <w:rsid w:val="001D0C8C"/>
    <w:rsid w:val="001D1419"/>
    <w:rsid w:val="001D26DF"/>
    <w:rsid w:val="001D3A03"/>
    <w:rsid w:val="001D7F46"/>
    <w:rsid w:val="001E0B9E"/>
    <w:rsid w:val="001E7B67"/>
    <w:rsid w:val="001F0773"/>
    <w:rsid w:val="001F1EFB"/>
    <w:rsid w:val="001F21BB"/>
    <w:rsid w:val="001F602E"/>
    <w:rsid w:val="001F6B27"/>
    <w:rsid w:val="001F7435"/>
    <w:rsid w:val="00202CD0"/>
    <w:rsid w:val="00202DA8"/>
    <w:rsid w:val="002032A1"/>
    <w:rsid w:val="0021157B"/>
    <w:rsid w:val="00211E0B"/>
    <w:rsid w:val="002120E8"/>
    <w:rsid w:val="00212CE0"/>
    <w:rsid w:val="00214896"/>
    <w:rsid w:val="0022126F"/>
    <w:rsid w:val="002273B6"/>
    <w:rsid w:val="00231BA1"/>
    <w:rsid w:val="00234C80"/>
    <w:rsid w:val="0025047F"/>
    <w:rsid w:val="00260C6E"/>
    <w:rsid w:val="00260C8D"/>
    <w:rsid w:val="002653E7"/>
    <w:rsid w:val="00267F5F"/>
    <w:rsid w:val="00274EB4"/>
    <w:rsid w:val="002761C1"/>
    <w:rsid w:val="00277A03"/>
    <w:rsid w:val="00282200"/>
    <w:rsid w:val="00286B4D"/>
    <w:rsid w:val="0029049E"/>
    <w:rsid w:val="0029508C"/>
    <w:rsid w:val="002955B0"/>
    <w:rsid w:val="0029750B"/>
    <w:rsid w:val="00297EA8"/>
    <w:rsid w:val="002A4361"/>
    <w:rsid w:val="002A603B"/>
    <w:rsid w:val="002A6B8F"/>
    <w:rsid w:val="002C18EF"/>
    <w:rsid w:val="002D0C5E"/>
    <w:rsid w:val="002D4643"/>
    <w:rsid w:val="002D4B6C"/>
    <w:rsid w:val="002E09CE"/>
    <w:rsid w:val="002F175C"/>
    <w:rsid w:val="0030092B"/>
    <w:rsid w:val="00302E18"/>
    <w:rsid w:val="0030721A"/>
    <w:rsid w:val="00307AB6"/>
    <w:rsid w:val="00320B22"/>
    <w:rsid w:val="003222E8"/>
    <w:rsid w:val="003229D8"/>
    <w:rsid w:val="003261D0"/>
    <w:rsid w:val="00340733"/>
    <w:rsid w:val="00343C7A"/>
    <w:rsid w:val="0034446B"/>
    <w:rsid w:val="003452F7"/>
    <w:rsid w:val="003453B6"/>
    <w:rsid w:val="003461FF"/>
    <w:rsid w:val="00347DDB"/>
    <w:rsid w:val="00350DA4"/>
    <w:rsid w:val="00352709"/>
    <w:rsid w:val="00363336"/>
    <w:rsid w:val="00364BF9"/>
    <w:rsid w:val="00371178"/>
    <w:rsid w:val="00371C02"/>
    <w:rsid w:val="00383179"/>
    <w:rsid w:val="00392301"/>
    <w:rsid w:val="003927BA"/>
    <w:rsid w:val="00392DE1"/>
    <w:rsid w:val="00397B21"/>
    <w:rsid w:val="003A1493"/>
    <w:rsid w:val="003A6810"/>
    <w:rsid w:val="003B1CA9"/>
    <w:rsid w:val="003B5F03"/>
    <w:rsid w:val="003C2CC4"/>
    <w:rsid w:val="003C50C4"/>
    <w:rsid w:val="003D4B23"/>
    <w:rsid w:val="003E312F"/>
    <w:rsid w:val="003E3D8A"/>
    <w:rsid w:val="003E77D2"/>
    <w:rsid w:val="003E79E4"/>
    <w:rsid w:val="003E7B83"/>
    <w:rsid w:val="003F2210"/>
    <w:rsid w:val="00407087"/>
    <w:rsid w:val="00410C89"/>
    <w:rsid w:val="004229ED"/>
    <w:rsid w:val="00422E03"/>
    <w:rsid w:val="00425DBB"/>
    <w:rsid w:val="00426B9B"/>
    <w:rsid w:val="004325CB"/>
    <w:rsid w:val="0043402F"/>
    <w:rsid w:val="00442A83"/>
    <w:rsid w:val="0045413A"/>
    <w:rsid w:val="0045495B"/>
    <w:rsid w:val="00456BED"/>
    <w:rsid w:val="0048397A"/>
    <w:rsid w:val="004846C4"/>
    <w:rsid w:val="004A0E10"/>
    <w:rsid w:val="004A12F2"/>
    <w:rsid w:val="004B2D2C"/>
    <w:rsid w:val="004B4482"/>
    <w:rsid w:val="004B64EB"/>
    <w:rsid w:val="004C2461"/>
    <w:rsid w:val="004C333F"/>
    <w:rsid w:val="004C40B9"/>
    <w:rsid w:val="004C4EE9"/>
    <w:rsid w:val="004C508C"/>
    <w:rsid w:val="004C7462"/>
    <w:rsid w:val="004D054E"/>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6663"/>
    <w:rsid w:val="0052136D"/>
    <w:rsid w:val="00522B58"/>
    <w:rsid w:val="0052775E"/>
    <w:rsid w:val="00527D3F"/>
    <w:rsid w:val="00530FAE"/>
    <w:rsid w:val="00533623"/>
    <w:rsid w:val="00535C90"/>
    <w:rsid w:val="005360FB"/>
    <w:rsid w:val="005420F2"/>
    <w:rsid w:val="00542894"/>
    <w:rsid w:val="00544E1B"/>
    <w:rsid w:val="0054567B"/>
    <w:rsid w:val="00546993"/>
    <w:rsid w:val="00551ECB"/>
    <w:rsid w:val="00552395"/>
    <w:rsid w:val="00552A39"/>
    <w:rsid w:val="00560CF1"/>
    <w:rsid w:val="00560D99"/>
    <w:rsid w:val="005628B6"/>
    <w:rsid w:val="00564C7C"/>
    <w:rsid w:val="00566A17"/>
    <w:rsid w:val="00586EB5"/>
    <w:rsid w:val="00591D40"/>
    <w:rsid w:val="00594AB1"/>
    <w:rsid w:val="005A36D6"/>
    <w:rsid w:val="005A575C"/>
    <w:rsid w:val="005B3DB3"/>
    <w:rsid w:val="005B4CEE"/>
    <w:rsid w:val="005B4E13"/>
    <w:rsid w:val="005B6A92"/>
    <w:rsid w:val="005B6C0C"/>
    <w:rsid w:val="005B6F4B"/>
    <w:rsid w:val="005C1896"/>
    <w:rsid w:val="005C6FBC"/>
    <w:rsid w:val="005D2D66"/>
    <w:rsid w:val="005D46C8"/>
    <w:rsid w:val="005D4BE6"/>
    <w:rsid w:val="005D68F4"/>
    <w:rsid w:val="005E646E"/>
    <w:rsid w:val="005E6A77"/>
    <w:rsid w:val="005F6DF9"/>
    <w:rsid w:val="005F7B75"/>
    <w:rsid w:val="006001EE"/>
    <w:rsid w:val="00605042"/>
    <w:rsid w:val="00605B54"/>
    <w:rsid w:val="00611232"/>
    <w:rsid w:val="00611681"/>
    <w:rsid w:val="00611FC4"/>
    <w:rsid w:val="00612CDC"/>
    <w:rsid w:val="00613196"/>
    <w:rsid w:val="006174F9"/>
    <w:rsid w:val="006176FB"/>
    <w:rsid w:val="00621BDE"/>
    <w:rsid w:val="00622024"/>
    <w:rsid w:val="00625568"/>
    <w:rsid w:val="00637594"/>
    <w:rsid w:val="00640B26"/>
    <w:rsid w:val="00652D0A"/>
    <w:rsid w:val="00655EA7"/>
    <w:rsid w:val="006623D5"/>
    <w:rsid w:val="00662BB6"/>
    <w:rsid w:val="00666AF6"/>
    <w:rsid w:val="00667F8F"/>
    <w:rsid w:val="00673321"/>
    <w:rsid w:val="00682C07"/>
    <w:rsid w:val="00684C21"/>
    <w:rsid w:val="0069517C"/>
    <w:rsid w:val="006A155E"/>
    <w:rsid w:val="006A2530"/>
    <w:rsid w:val="006B4DB8"/>
    <w:rsid w:val="006B5767"/>
    <w:rsid w:val="006C1296"/>
    <w:rsid w:val="006C3589"/>
    <w:rsid w:val="006C4652"/>
    <w:rsid w:val="006C5451"/>
    <w:rsid w:val="006C779F"/>
    <w:rsid w:val="006D37AF"/>
    <w:rsid w:val="006D3E0B"/>
    <w:rsid w:val="006D4AD5"/>
    <w:rsid w:val="006D51D0"/>
    <w:rsid w:val="006E564B"/>
    <w:rsid w:val="006E638E"/>
    <w:rsid w:val="006E7191"/>
    <w:rsid w:val="006F01EF"/>
    <w:rsid w:val="006F0DDB"/>
    <w:rsid w:val="00700EE8"/>
    <w:rsid w:val="00703577"/>
    <w:rsid w:val="00705894"/>
    <w:rsid w:val="00715700"/>
    <w:rsid w:val="00717AF5"/>
    <w:rsid w:val="00720D0C"/>
    <w:rsid w:val="00722488"/>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B3C"/>
    <w:rsid w:val="007C4F4B"/>
    <w:rsid w:val="007D419E"/>
    <w:rsid w:val="007E01E9"/>
    <w:rsid w:val="007E63F3"/>
    <w:rsid w:val="007F0B81"/>
    <w:rsid w:val="007F1888"/>
    <w:rsid w:val="007F6611"/>
    <w:rsid w:val="007F7106"/>
    <w:rsid w:val="008003B8"/>
    <w:rsid w:val="008069E5"/>
    <w:rsid w:val="008100FC"/>
    <w:rsid w:val="00811920"/>
    <w:rsid w:val="00815AD0"/>
    <w:rsid w:val="008242D7"/>
    <w:rsid w:val="008257B1"/>
    <w:rsid w:val="00826E9A"/>
    <w:rsid w:val="00827962"/>
    <w:rsid w:val="008325BA"/>
    <w:rsid w:val="00843767"/>
    <w:rsid w:val="008458AA"/>
    <w:rsid w:val="00851779"/>
    <w:rsid w:val="008521A5"/>
    <w:rsid w:val="00853EBC"/>
    <w:rsid w:val="0085483D"/>
    <w:rsid w:val="008556FF"/>
    <w:rsid w:val="00857451"/>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3CD"/>
    <w:rsid w:val="0094154D"/>
    <w:rsid w:val="0094558F"/>
    <w:rsid w:val="00954711"/>
    <w:rsid w:val="009554F4"/>
    <w:rsid w:val="009603D2"/>
    <w:rsid w:val="009605B0"/>
    <w:rsid w:val="00961690"/>
    <w:rsid w:val="00962F62"/>
    <w:rsid w:val="00965EE3"/>
    <w:rsid w:val="009665DB"/>
    <w:rsid w:val="009715AE"/>
    <w:rsid w:val="00972CFB"/>
    <w:rsid w:val="009730AF"/>
    <w:rsid w:val="00975B56"/>
    <w:rsid w:val="009760F3"/>
    <w:rsid w:val="009839CD"/>
    <w:rsid w:val="00983C3B"/>
    <w:rsid w:val="00986F6C"/>
    <w:rsid w:val="009969E0"/>
    <w:rsid w:val="009A016F"/>
    <w:rsid w:val="009A0E8D"/>
    <w:rsid w:val="009A0F88"/>
    <w:rsid w:val="009A611F"/>
    <w:rsid w:val="009B1518"/>
    <w:rsid w:val="009B26E7"/>
    <w:rsid w:val="009B3208"/>
    <w:rsid w:val="009B69A6"/>
    <w:rsid w:val="009C454F"/>
    <w:rsid w:val="009D047D"/>
    <w:rsid w:val="009D2A5B"/>
    <w:rsid w:val="009D4F6C"/>
    <w:rsid w:val="009E420A"/>
    <w:rsid w:val="009F4DE9"/>
    <w:rsid w:val="009F6A26"/>
    <w:rsid w:val="00A00A3F"/>
    <w:rsid w:val="00A01489"/>
    <w:rsid w:val="00A073DD"/>
    <w:rsid w:val="00A14A62"/>
    <w:rsid w:val="00A17336"/>
    <w:rsid w:val="00A176A0"/>
    <w:rsid w:val="00A23D3B"/>
    <w:rsid w:val="00A2573C"/>
    <w:rsid w:val="00A26C45"/>
    <w:rsid w:val="00A3009E"/>
    <w:rsid w:val="00A3026E"/>
    <w:rsid w:val="00A338F1"/>
    <w:rsid w:val="00A34317"/>
    <w:rsid w:val="00A35910"/>
    <w:rsid w:val="00A36DE6"/>
    <w:rsid w:val="00A51C2B"/>
    <w:rsid w:val="00A54ABF"/>
    <w:rsid w:val="00A6473C"/>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4FC"/>
    <w:rsid w:val="00AA293C"/>
    <w:rsid w:val="00AA4BD0"/>
    <w:rsid w:val="00AB12F7"/>
    <w:rsid w:val="00AB1C7D"/>
    <w:rsid w:val="00AB232E"/>
    <w:rsid w:val="00AB2EC7"/>
    <w:rsid w:val="00AC47E8"/>
    <w:rsid w:val="00AC6790"/>
    <w:rsid w:val="00AC72CA"/>
    <w:rsid w:val="00AD3F32"/>
    <w:rsid w:val="00AD5681"/>
    <w:rsid w:val="00AE0FDA"/>
    <w:rsid w:val="00AE4A41"/>
    <w:rsid w:val="00AE76C0"/>
    <w:rsid w:val="00AF0E53"/>
    <w:rsid w:val="00B01FAD"/>
    <w:rsid w:val="00B04B62"/>
    <w:rsid w:val="00B0538F"/>
    <w:rsid w:val="00B100FC"/>
    <w:rsid w:val="00B11BB4"/>
    <w:rsid w:val="00B15402"/>
    <w:rsid w:val="00B22492"/>
    <w:rsid w:val="00B22897"/>
    <w:rsid w:val="00B22BC2"/>
    <w:rsid w:val="00B238E6"/>
    <w:rsid w:val="00B240A1"/>
    <w:rsid w:val="00B24349"/>
    <w:rsid w:val="00B30179"/>
    <w:rsid w:val="00B30526"/>
    <w:rsid w:val="00B421C1"/>
    <w:rsid w:val="00B45128"/>
    <w:rsid w:val="00B518AA"/>
    <w:rsid w:val="00B54EAD"/>
    <w:rsid w:val="00B55C71"/>
    <w:rsid w:val="00B56E4A"/>
    <w:rsid w:val="00B56E9C"/>
    <w:rsid w:val="00B61320"/>
    <w:rsid w:val="00B632EF"/>
    <w:rsid w:val="00B6382A"/>
    <w:rsid w:val="00B64B1F"/>
    <w:rsid w:val="00B6553F"/>
    <w:rsid w:val="00B70591"/>
    <w:rsid w:val="00B70F1E"/>
    <w:rsid w:val="00B755DC"/>
    <w:rsid w:val="00B77D05"/>
    <w:rsid w:val="00B81206"/>
    <w:rsid w:val="00B81E12"/>
    <w:rsid w:val="00B84195"/>
    <w:rsid w:val="00B858B2"/>
    <w:rsid w:val="00B86014"/>
    <w:rsid w:val="00B908E9"/>
    <w:rsid w:val="00B9414F"/>
    <w:rsid w:val="00B9717B"/>
    <w:rsid w:val="00BA028E"/>
    <w:rsid w:val="00BA4ED2"/>
    <w:rsid w:val="00BB3305"/>
    <w:rsid w:val="00BB7CD1"/>
    <w:rsid w:val="00BC21BC"/>
    <w:rsid w:val="00BC38BF"/>
    <w:rsid w:val="00BC3FA0"/>
    <w:rsid w:val="00BC74E9"/>
    <w:rsid w:val="00BC78C6"/>
    <w:rsid w:val="00BD28B6"/>
    <w:rsid w:val="00BD7E9D"/>
    <w:rsid w:val="00BF164A"/>
    <w:rsid w:val="00BF68A8"/>
    <w:rsid w:val="00C00584"/>
    <w:rsid w:val="00C00B3D"/>
    <w:rsid w:val="00C050DF"/>
    <w:rsid w:val="00C10FE6"/>
    <w:rsid w:val="00C11A03"/>
    <w:rsid w:val="00C14945"/>
    <w:rsid w:val="00C210F0"/>
    <w:rsid w:val="00C21CB4"/>
    <w:rsid w:val="00C22C0C"/>
    <w:rsid w:val="00C37144"/>
    <w:rsid w:val="00C40026"/>
    <w:rsid w:val="00C42B3C"/>
    <w:rsid w:val="00C4487F"/>
    <w:rsid w:val="00C4527F"/>
    <w:rsid w:val="00C463DD"/>
    <w:rsid w:val="00C4724C"/>
    <w:rsid w:val="00C557D6"/>
    <w:rsid w:val="00C61291"/>
    <w:rsid w:val="00C629A0"/>
    <w:rsid w:val="00C62C07"/>
    <w:rsid w:val="00C63D2D"/>
    <w:rsid w:val="00C64629"/>
    <w:rsid w:val="00C66798"/>
    <w:rsid w:val="00C723CC"/>
    <w:rsid w:val="00C745C3"/>
    <w:rsid w:val="00C75FFE"/>
    <w:rsid w:val="00C84A21"/>
    <w:rsid w:val="00C90189"/>
    <w:rsid w:val="00CA3824"/>
    <w:rsid w:val="00CA7D1E"/>
    <w:rsid w:val="00CB3E03"/>
    <w:rsid w:val="00CB5F93"/>
    <w:rsid w:val="00CC1ADB"/>
    <w:rsid w:val="00CD305F"/>
    <w:rsid w:val="00CE4A8F"/>
    <w:rsid w:val="00CF2E8F"/>
    <w:rsid w:val="00CF559A"/>
    <w:rsid w:val="00D0663B"/>
    <w:rsid w:val="00D07D06"/>
    <w:rsid w:val="00D15CBD"/>
    <w:rsid w:val="00D2031B"/>
    <w:rsid w:val="00D21007"/>
    <w:rsid w:val="00D21D90"/>
    <w:rsid w:val="00D25FE2"/>
    <w:rsid w:val="00D36D4D"/>
    <w:rsid w:val="00D40316"/>
    <w:rsid w:val="00D4089D"/>
    <w:rsid w:val="00D43252"/>
    <w:rsid w:val="00D47EEA"/>
    <w:rsid w:val="00D550D4"/>
    <w:rsid w:val="00D669EA"/>
    <w:rsid w:val="00D66A2F"/>
    <w:rsid w:val="00D66F7C"/>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CA7"/>
    <w:rsid w:val="00DA4D69"/>
    <w:rsid w:val="00DB3B70"/>
    <w:rsid w:val="00DB6229"/>
    <w:rsid w:val="00DB62C7"/>
    <w:rsid w:val="00DC179E"/>
    <w:rsid w:val="00DD6F43"/>
    <w:rsid w:val="00DE4B5B"/>
    <w:rsid w:val="00DF15D4"/>
    <w:rsid w:val="00DF1772"/>
    <w:rsid w:val="00DF469C"/>
    <w:rsid w:val="00DF72D3"/>
    <w:rsid w:val="00DF7EE9"/>
    <w:rsid w:val="00E0214B"/>
    <w:rsid w:val="00E046DF"/>
    <w:rsid w:val="00E0682F"/>
    <w:rsid w:val="00E1141B"/>
    <w:rsid w:val="00E15557"/>
    <w:rsid w:val="00E22BB9"/>
    <w:rsid w:val="00E22F15"/>
    <w:rsid w:val="00E240D2"/>
    <w:rsid w:val="00E27346"/>
    <w:rsid w:val="00E300A7"/>
    <w:rsid w:val="00E352A7"/>
    <w:rsid w:val="00E36F73"/>
    <w:rsid w:val="00E41E29"/>
    <w:rsid w:val="00E50010"/>
    <w:rsid w:val="00E51286"/>
    <w:rsid w:val="00E536D3"/>
    <w:rsid w:val="00E54C9E"/>
    <w:rsid w:val="00E678B8"/>
    <w:rsid w:val="00E71132"/>
    <w:rsid w:val="00E71610"/>
    <w:rsid w:val="00E71BC8"/>
    <w:rsid w:val="00E7260F"/>
    <w:rsid w:val="00E73F5D"/>
    <w:rsid w:val="00E7492E"/>
    <w:rsid w:val="00E77E4E"/>
    <w:rsid w:val="00E83C33"/>
    <w:rsid w:val="00E83D1E"/>
    <w:rsid w:val="00E86A12"/>
    <w:rsid w:val="00E91F89"/>
    <w:rsid w:val="00E96630"/>
    <w:rsid w:val="00E97C45"/>
    <w:rsid w:val="00EA1426"/>
    <w:rsid w:val="00EA45A9"/>
    <w:rsid w:val="00EA6324"/>
    <w:rsid w:val="00EB2884"/>
    <w:rsid w:val="00EB74D4"/>
    <w:rsid w:val="00EC106A"/>
    <w:rsid w:val="00EC22C2"/>
    <w:rsid w:val="00EC73C8"/>
    <w:rsid w:val="00ED0BBB"/>
    <w:rsid w:val="00ED7A2A"/>
    <w:rsid w:val="00EE10AF"/>
    <w:rsid w:val="00EE32ED"/>
    <w:rsid w:val="00EE4BC0"/>
    <w:rsid w:val="00EE6B3A"/>
    <w:rsid w:val="00EF1D7F"/>
    <w:rsid w:val="00EF320A"/>
    <w:rsid w:val="00F018CE"/>
    <w:rsid w:val="00F049A3"/>
    <w:rsid w:val="00F176D8"/>
    <w:rsid w:val="00F2270C"/>
    <w:rsid w:val="00F2392F"/>
    <w:rsid w:val="00F30B7D"/>
    <w:rsid w:val="00F315C6"/>
    <w:rsid w:val="00F31E5F"/>
    <w:rsid w:val="00F32BB7"/>
    <w:rsid w:val="00F37110"/>
    <w:rsid w:val="00F37EC0"/>
    <w:rsid w:val="00F454F0"/>
    <w:rsid w:val="00F536E3"/>
    <w:rsid w:val="00F53E81"/>
    <w:rsid w:val="00F54767"/>
    <w:rsid w:val="00F60E72"/>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D7DDB"/>
    <w:rsid w:val="00FE106A"/>
    <w:rsid w:val="00FE476B"/>
    <w:rsid w:val="00FE6999"/>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341260"/>
  <w15:docId w15:val="{F6E1967E-4687-4F54-9513-946601A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qFormat/>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B22492"/>
    <w:rPr>
      <w:sz w:val="6"/>
    </w:rPr>
  </w:style>
  <w:style w:type="paragraph" w:styleId="CommentText">
    <w:name w:val="annotation text"/>
    <w:basedOn w:val="Normal"/>
    <w:link w:val="CommentTextChar"/>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qFormat/>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character" w:customStyle="1" w:styleId="CommentTextChar">
    <w:name w:val="Comment Text Char"/>
    <w:basedOn w:val="DefaultParagraphFont"/>
    <w:link w:val="CommentText"/>
    <w:rsid w:val="003222E8"/>
    <w:rPr>
      <w:lang w:eastAsia="en-US"/>
    </w:rPr>
  </w:style>
  <w:style w:type="paragraph" w:styleId="CommentSubject">
    <w:name w:val="annotation subject"/>
    <w:basedOn w:val="CommentText"/>
    <w:next w:val="CommentText"/>
    <w:link w:val="CommentSubjectChar"/>
    <w:rsid w:val="00586EB5"/>
    <w:pPr>
      <w:spacing w:line="240" w:lineRule="auto"/>
    </w:pPr>
    <w:rPr>
      <w:b/>
      <w:bCs/>
    </w:rPr>
  </w:style>
  <w:style w:type="character" w:customStyle="1" w:styleId="CommentSubjectChar">
    <w:name w:val="Comment Subject Char"/>
    <w:basedOn w:val="CommentTextChar"/>
    <w:link w:val="CommentSubject"/>
    <w:rsid w:val="00586E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987245588">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730546">
      <w:bodyDiv w:val="1"/>
      <w:marLeft w:val="0"/>
      <w:marRight w:val="0"/>
      <w:marTop w:val="0"/>
      <w:marBottom w:val="0"/>
      <w:divBdr>
        <w:top w:val="none" w:sz="0" w:space="0" w:color="auto"/>
        <w:left w:val="none" w:sz="0" w:space="0" w:color="auto"/>
        <w:bottom w:val="none" w:sz="0" w:space="0" w:color="auto"/>
        <w:right w:val="none" w:sz="0" w:space="0" w:color="auto"/>
      </w:divBdr>
    </w:div>
    <w:div w:id="1844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EB14-C7DA-4679-810F-EF1A7647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626</Words>
  <Characters>3299</Characters>
  <Application>Microsoft Office Word</Application>
  <DocSecurity>0</DocSecurity>
  <Lines>70</Lines>
  <Paragraphs>26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3926</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4</cp:revision>
  <cp:lastPrinted>2018-09-05T12:54:00Z</cp:lastPrinted>
  <dcterms:created xsi:type="dcterms:W3CDTF">2018-09-03T07:11:00Z</dcterms:created>
  <dcterms:modified xsi:type="dcterms:W3CDTF">2018-09-05T13:08:00Z</dcterms:modified>
</cp:coreProperties>
</file>