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32EA9" w:rsidRPr="00DB58B5" w:rsidTr="00F01738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132EA9" w:rsidRPr="00DB58B5" w:rsidRDefault="00132EA9" w:rsidP="00770C61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132EA9" w:rsidRPr="00DB58B5" w:rsidRDefault="00132EA9" w:rsidP="00F01738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132EA9" w:rsidRPr="00DB58B5" w:rsidRDefault="00770C61" w:rsidP="00770C61">
            <w:pPr>
              <w:jc w:val="right"/>
            </w:pPr>
            <w:r w:rsidRPr="00770C61">
              <w:rPr>
                <w:sz w:val="40"/>
              </w:rPr>
              <w:t>ST</w:t>
            </w:r>
            <w:r>
              <w:t>/SG/AC.10/C.3/2018/107</w:t>
            </w:r>
          </w:p>
        </w:tc>
      </w:tr>
      <w:tr w:rsidR="00132EA9" w:rsidRPr="00DB58B5" w:rsidTr="00F01738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132EA9" w:rsidRPr="00DB58B5" w:rsidRDefault="00132EA9" w:rsidP="00F01738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185DA4CF" wp14:editId="5B885045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132EA9" w:rsidRPr="00740562" w:rsidRDefault="00132EA9" w:rsidP="00F01738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A55C22">
              <w:rPr>
                <w:b/>
                <w:sz w:val="40"/>
                <w:szCs w:val="40"/>
              </w:rPr>
              <w:t>Secrétariat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132EA9" w:rsidRDefault="00770C61" w:rsidP="00F01738">
            <w:pPr>
              <w:spacing w:before="240"/>
            </w:pPr>
            <w:r>
              <w:t xml:space="preserve">Distr. </w:t>
            </w:r>
            <w:proofErr w:type="gramStart"/>
            <w:r>
              <w:t>générale</w:t>
            </w:r>
            <w:proofErr w:type="gramEnd"/>
          </w:p>
          <w:p w:rsidR="00770C61" w:rsidRDefault="00770C61" w:rsidP="00770C61">
            <w:pPr>
              <w:spacing w:line="240" w:lineRule="exact"/>
            </w:pPr>
            <w:r>
              <w:t>5 septembre 2018</w:t>
            </w:r>
          </w:p>
          <w:p w:rsidR="00770C61" w:rsidRDefault="00770C61" w:rsidP="00770C61">
            <w:pPr>
              <w:spacing w:line="240" w:lineRule="exact"/>
            </w:pPr>
            <w:r>
              <w:t>Français</w:t>
            </w:r>
          </w:p>
          <w:p w:rsidR="00770C61" w:rsidRPr="00DB58B5" w:rsidRDefault="00770C61" w:rsidP="00770C61">
            <w:pPr>
              <w:spacing w:line="240" w:lineRule="exact"/>
            </w:pPr>
            <w:r>
              <w:t>Original : anglais</w:t>
            </w:r>
          </w:p>
        </w:tc>
      </w:tr>
    </w:tbl>
    <w:p w:rsidR="00770C61" w:rsidRPr="00CA0680" w:rsidRDefault="00770C61" w:rsidP="000305D3">
      <w:pPr>
        <w:spacing w:before="120"/>
        <w:rPr>
          <w:b/>
          <w:sz w:val="24"/>
          <w:szCs w:val="24"/>
        </w:rPr>
      </w:pPr>
      <w:r w:rsidRPr="00CA0680">
        <w:rPr>
          <w:b/>
          <w:sz w:val="24"/>
          <w:szCs w:val="24"/>
        </w:rPr>
        <w:t>Comité d</w:t>
      </w:r>
      <w:r>
        <w:rPr>
          <w:b/>
          <w:sz w:val="24"/>
          <w:szCs w:val="24"/>
        </w:rPr>
        <w:t>’</w:t>
      </w:r>
      <w:r w:rsidRPr="00CA0680">
        <w:rPr>
          <w:b/>
          <w:sz w:val="24"/>
          <w:szCs w:val="24"/>
        </w:rPr>
        <w:t>experts du transport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des marchandises dangereuses</w:t>
      </w:r>
      <w:r>
        <w:rPr>
          <w:b/>
          <w:sz w:val="24"/>
          <w:szCs w:val="24"/>
        </w:rPr>
        <w:br/>
      </w:r>
      <w:r w:rsidRPr="00CA0680">
        <w:rPr>
          <w:b/>
          <w:sz w:val="24"/>
          <w:szCs w:val="24"/>
        </w:rPr>
        <w:t>et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 xml:space="preserve">du </w:t>
      </w:r>
      <w:r>
        <w:rPr>
          <w:b/>
          <w:sz w:val="24"/>
          <w:szCs w:val="24"/>
        </w:rPr>
        <w:t>S</w:t>
      </w:r>
      <w:r w:rsidRPr="00CA0680">
        <w:rPr>
          <w:b/>
          <w:sz w:val="24"/>
          <w:szCs w:val="24"/>
        </w:rPr>
        <w:t>ystème général harmonisé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 classification</w:t>
      </w:r>
      <w:r>
        <w:rPr>
          <w:b/>
          <w:sz w:val="24"/>
          <w:szCs w:val="24"/>
        </w:rPr>
        <w:br/>
      </w:r>
      <w:r w:rsidRPr="00CA0680">
        <w:rPr>
          <w:b/>
          <w:sz w:val="24"/>
          <w:szCs w:val="24"/>
        </w:rPr>
        <w:t>et d</w:t>
      </w:r>
      <w:r>
        <w:rPr>
          <w:b/>
          <w:sz w:val="24"/>
          <w:szCs w:val="24"/>
        </w:rPr>
        <w:t>’</w:t>
      </w:r>
      <w:r w:rsidRPr="00CA0680">
        <w:rPr>
          <w:b/>
          <w:sz w:val="24"/>
          <w:szCs w:val="24"/>
        </w:rPr>
        <w:t>étiquetage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des produits chimiques</w:t>
      </w:r>
    </w:p>
    <w:p w:rsidR="00770C61" w:rsidRPr="00CA0680" w:rsidRDefault="00770C61" w:rsidP="000305D3">
      <w:pPr>
        <w:spacing w:before="120"/>
        <w:rPr>
          <w:b/>
        </w:rPr>
      </w:pPr>
      <w:r w:rsidRPr="00CA0680">
        <w:rPr>
          <w:b/>
        </w:rPr>
        <w:t>Sous</w:t>
      </w:r>
      <w:r>
        <w:rPr>
          <w:b/>
        </w:rPr>
        <w:t>-</w:t>
      </w:r>
      <w:r w:rsidRPr="00CA0680">
        <w:rPr>
          <w:b/>
        </w:rPr>
        <w:t>Comité d</w:t>
      </w:r>
      <w:r>
        <w:rPr>
          <w:b/>
        </w:rPr>
        <w:t>’</w:t>
      </w:r>
      <w:r w:rsidRPr="00CA0680">
        <w:rPr>
          <w:b/>
        </w:rPr>
        <w:t>experts du transport des marchandises dangereuses</w:t>
      </w:r>
    </w:p>
    <w:p w:rsidR="00770C61" w:rsidRDefault="00770C61" w:rsidP="000305D3">
      <w:pPr>
        <w:spacing w:before="120"/>
        <w:rPr>
          <w:b/>
        </w:rPr>
      </w:pPr>
      <w:r w:rsidRPr="00770C61">
        <w:rPr>
          <w:b/>
        </w:rPr>
        <w:t>Cinquante-quatrième</w:t>
      </w:r>
      <w:r>
        <w:rPr>
          <w:b/>
        </w:rPr>
        <w:t xml:space="preserve"> </w:t>
      </w:r>
      <w:r w:rsidRPr="00CA0680">
        <w:rPr>
          <w:b/>
        </w:rPr>
        <w:t>session</w:t>
      </w:r>
    </w:p>
    <w:p w:rsidR="00770C61" w:rsidRDefault="00770C61" w:rsidP="000305D3">
      <w:r w:rsidRPr="00770C61">
        <w:t>Genève, 26 novembre-4 décembre 2018</w:t>
      </w:r>
    </w:p>
    <w:p w:rsidR="00770C61" w:rsidRDefault="00770C61" w:rsidP="000305D3">
      <w:r>
        <w:t xml:space="preserve">Point </w:t>
      </w:r>
      <w:r w:rsidRPr="002B12F2">
        <w:t>2 c)</w:t>
      </w:r>
      <w:r>
        <w:t xml:space="preserve"> de l’ordre du jour provisoire</w:t>
      </w:r>
    </w:p>
    <w:p w:rsidR="00770C61" w:rsidRDefault="00770C61" w:rsidP="00AC3823">
      <w:r w:rsidRPr="00770C61">
        <w:rPr>
          <w:b/>
          <w:bCs/>
        </w:rPr>
        <w:t xml:space="preserve">Recommandations du Sous-Comité formulées à ses cinquante et unième, </w:t>
      </w:r>
      <w:r>
        <w:rPr>
          <w:b/>
          <w:bCs/>
        </w:rPr>
        <w:br/>
      </w:r>
      <w:r w:rsidRPr="00770C61">
        <w:rPr>
          <w:b/>
          <w:bCs/>
        </w:rPr>
        <w:t>cinquante-deuxième et cinquante-troisième sessions et questions en suspens</w:t>
      </w:r>
      <w:r>
        <w:rPr>
          <w:b/>
          <w:bCs/>
        </w:rPr>
        <w:t> </w:t>
      </w:r>
      <w:r w:rsidRPr="00770C61">
        <w:rPr>
          <w:b/>
          <w:bCs/>
        </w:rPr>
        <w:t>:</w:t>
      </w:r>
      <w:r w:rsidRPr="00770C61">
        <w:rPr>
          <w:b/>
          <w:bCs/>
        </w:rPr>
        <w:br/>
        <w:t>Inscription, classement et emballage</w:t>
      </w:r>
    </w:p>
    <w:p w:rsidR="00770C61" w:rsidRPr="007C7A85" w:rsidRDefault="00770C61" w:rsidP="008972A4">
      <w:pPr>
        <w:pStyle w:val="HChG"/>
      </w:pPr>
      <w:r w:rsidRPr="002B12F2">
        <w:tab/>
      </w:r>
      <w:r w:rsidRPr="002B12F2">
        <w:tab/>
      </w:r>
      <w:r w:rsidRPr="007C7A85">
        <w:t>Grands récipients pour vrac (GRV) composites</w:t>
      </w:r>
      <w:r w:rsidR="008972A4">
        <w:t> </w:t>
      </w:r>
      <w:r w:rsidRPr="007C7A85">
        <w:t xml:space="preserve">: </w:t>
      </w:r>
      <w:r w:rsidR="008972A4">
        <w:br/>
      </w:r>
      <w:r>
        <w:t>M</w:t>
      </w:r>
      <w:r w:rsidRPr="007C7A85">
        <w:t>arquage des récipients intérieurs</w:t>
      </w:r>
    </w:p>
    <w:p w:rsidR="00770C61" w:rsidRPr="007C7A85" w:rsidRDefault="00770C61" w:rsidP="008972A4">
      <w:pPr>
        <w:pStyle w:val="H1G"/>
      </w:pPr>
      <w:r w:rsidRPr="007C7A85">
        <w:tab/>
      </w:r>
      <w:r w:rsidRPr="007C7A85">
        <w:tab/>
        <w:t>Communication de l</w:t>
      </w:r>
      <w:r>
        <w:t>’</w:t>
      </w:r>
      <w:r w:rsidRPr="007C7A85">
        <w:t>expert de la Belgique</w:t>
      </w:r>
      <w:r w:rsidR="008972A4" w:rsidRPr="008972A4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770C61" w:rsidRPr="00BC2419" w:rsidRDefault="00770C61" w:rsidP="008972A4">
      <w:pPr>
        <w:pStyle w:val="HChG"/>
      </w:pPr>
      <w:r w:rsidRPr="007C7A85">
        <w:tab/>
      </w:r>
      <w:r w:rsidRPr="007C7A85">
        <w:tab/>
      </w:r>
      <w:r w:rsidRPr="00BC2419">
        <w:t>Introduction</w:t>
      </w:r>
    </w:p>
    <w:p w:rsidR="00770C61" w:rsidRPr="00702199" w:rsidRDefault="00770C61" w:rsidP="00770C61">
      <w:pPr>
        <w:pStyle w:val="SingleTxtG"/>
      </w:pPr>
      <w:r w:rsidRPr="00702199">
        <w:t>1.</w:t>
      </w:r>
      <w:r w:rsidRPr="00702199">
        <w:tab/>
      </w:r>
      <w:r>
        <w:t>L</w:t>
      </w:r>
      <w:r w:rsidRPr="00702199">
        <w:t xml:space="preserve">e document ST/SG/AC.10/C.3/2018/45 </w:t>
      </w:r>
      <w:r>
        <w:t xml:space="preserve">a été présenté à la cinquante-troisième session du Sous-Comité </w:t>
      </w:r>
      <w:r w:rsidRPr="00702199">
        <w:t xml:space="preserve">pour préciser le </w:t>
      </w:r>
      <w:r>
        <w:t xml:space="preserve">sens de la dernière phrase du premier </w:t>
      </w:r>
      <w:r w:rsidRPr="00702199">
        <w:t>paragraph</w:t>
      </w:r>
      <w:r>
        <w:t>e</w:t>
      </w:r>
      <w:r w:rsidRPr="00702199">
        <w:t xml:space="preserve"> </w:t>
      </w:r>
      <w:r>
        <w:t>du</w:t>
      </w:r>
      <w:r w:rsidRPr="00702199">
        <w:t xml:space="preserve"> 6.5.2.2.4</w:t>
      </w:r>
      <w:r w:rsidR="008972A4">
        <w:t> </w:t>
      </w:r>
      <w:r w:rsidRPr="00702199">
        <w:t xml:space="preserve">: </w:t>
      </w:r>
    </w:p>
    <w:p w:rsidR="00770C61" w:rsidRPr="00A02675" w:rsidRDefault="00770C61" w:rsidP="00DB07E3">
      <w:pPr>
        <w:pStyle w:val="SingleTxtG"/>
        <w:ind w:left="1701" w:firstLine="567"/>
        <w:rPr>
          <w:szCs w:val="24"/>
        </w:rPr>
      </w:pPr>
      <w:r w:rsidRPr="00831305">
        <w:rPr>
          <w:szCs w:val="24"/>
        </w:rPr>
        <w:t>«</w:t>
      </w:r>
      <w:r w:rsidR="008972A4">
        <w:rPr>
          <w:szCs w:val="24"/>
        </w:rPr>
        <w:t> </w:t>
      </w:r>
      <w:r w:rsidRPr="00831305">
        <w:rPr>
          <w:szCs w:val="24"/>
        </w:rPr>
        <w:t xml:space="preserve">Les récipients intérieurs qui appartiennent à un modèle type de GRV composite doivent être identifiés par les </w:t>
      </w:r>
      <w:r w:rsidR="00DB07E3">
        <w:rPr>
          <w:szCs w:val="24"/>
        </w:rPr>
        <w:t>marques spécifiées au 6.5.2.1.1 </w:t>
      </w:r>
      <w:r w:rsidRPr="00831305">
        <w:rPr>
          <w:szCs w:val="24"/>
        </w:rPr>
        <w:t>b), c), d), la date étant la date de fabrication du récipient intérieur en plastique, e) et f). Le symbole de l</w:t>
      </w:r>
      <w:r>
        <w:rPr>
          <w:szCs w:val="24"/>
        </w:rPr>
        <w:t>’</w:t>
      </w:r>
      <w:r w:rsidRPr="00831305">
        <w:rPr>
          <w:szCs w:val="24"/>
        </w:rPr>
        <w:t>ONU pour les emballages ne doit pas être apposé. Les marques doivent être apposées dans l</w:t>
      </w:r>
      <w:r>
        <w:rPr>
          <w:szCs w:val="24"/>
        </w:rPr>
        <w:t>’</w:t>
      </w:r>
      <w:r w:rsidRPr="00831305">
        <w:rPr>
          <w:szCs w:val="24"/>
        </w:rPr>
        <w:t>ordre indiqué au 6.5.2.1.1. Elles doivent être apposées de manière durable, lisible, et placées dans un endroit bien visible lorsque le récipient intérieur est placé dans l</w:t>
      </w:r>
      <w:r>
        <w:rPr>
          <w:szCs w:val="24"/>
        </w:rPr>
        <w:t>’</w:t>
      </w:r>
      <w:r w:rsidRPr="00831305">
        <w:rPr>
          <w:szCs w:val="24"/>
        </w:rPr>
        <w:t>enveloppe extérieure.</w:t>
      </w:r>
      <w:r w:rsidR="008972A4">
        <w:rPr>
          <w:szCs w:val="24"/>
        </w:rPr>
        <w:t> </w:t>
      </w:r>
      <w:r w:rsidRPr="00A02675">
        <w:rPr>
          <w:rFonts w:eastAsia="SimSun"/>
          <w:szCs w:val="24"/>
        </w:rPr>
        <w:t>»</w:t>
      </w:r>
      <w:r w:rsidR="008972A4">
        <w:rPr>
          <w:rFonts w:eastAsia="SimSun"/>
          <w:szCs w:val="24"/>
        </w:rPr>
        <w:t>.</w:t>
      </w:r>
    </w:p>
    <w:p w:rsidR="00770C61" w:rsidRPr="006F1184" w:rsidRDefault="00770C61" w:rsidP="00770C61">
      <w:pPr>
        <w:pStyle w:val="SingleTxtG"/>
        <w:rPr>
          <w:szCs w:val="24"/>
        </w:rPr>
      </w:pPr>
      <w:r w:rsidRPr="00A02675">
        <w:rPr>
          <w:szCs w:val="24"/>
        </w:rPr>
        <w:t>2.</w:t>
      </w:r>
      <w:r w:rsidRPr="00A02675">
        <w:rPr>
          <w:szCs w:val="24"/>
        </w:rPr>
        <w:tab/>
      </w:r>
      <w:r>
        <w:rPr>
          <w:szCs w:val="24"/>
        </w:rPr>
        <w:t>L</w:t>
      </w:r>
      <w:r w:rsidRPr="00A02675">
        <w:rPr>
          <w:szCs w:val="24"/>
        </w:rPr>
        <w:t xml:space="preserve">a question </w:t>
      </w:r>
      <w:r>
        <w:rPr>
          <w:szCs w:val="24"/>
        </w:rPr>
        <w:t xml:space="preserve">s’est posée </w:t>
      </w:r>
      <w:r w:rsidRPr="00A02675">
        <w:rPr>
          <w:szCs w:val="24"/>
        </w:rPr>
        <w:t>de savoir si l</w:t>
      </w:r>
      <w:r>
        <w:rPr>
          <w:szCs w:val="24"/>
        </w:rPr>
        <w:t>es</w:t>
      </w:r>
      <w:r w:rsidRPr="00A02675">
        <w:rPr>
          <w:szCs w:val="24"/>
        </w:rPr>
        <w:t xml:space="preserve"> marque</w:t>
      </w:r>
      <w:r>
        <w:rPr>
          <w:szCs w:val="24"/>
        </w:rPr>
        <w:t>s</w:t>
      </w:r>
      <w:r w:rsidRPr="00A02675">
        <w:rPr>
          <w:szCs w:val="24"/>
        </w:rPr>
        <w:t xml:space="preserve"> ne devai</w:t>
      </w:r>
      <w:r>
        <w:rPr>
          <w:szCs w:val="24"/>
        </w:rPr>
        <w:t>en</w:t>
      </w:r>
      <w:r w:rsidRPr="00A02675">
        <w:rPr>
          <w:szCs w:val="24"/>
        </w:rPr>
        <w:t>t être visible</w:t>
      </w:r>
      <w:r>
        <w:rPr>
          <w:szCs w:val="24"/>
        </w:rPr>
        <w:t>s</w:t>
      </w:r>
      <w:r w:rsidRPr="00A02675">
        <w:rPr>
          <w:szCs w:val="24"/>
        </w:rPr>
        <w:t xml:space="preserve"> que lors </w:t>
      </w:r>
      <w:r>
        <w:rPr>
          <w:szCs w:val="24"/>
        </w:rPr>
        <w:t>de l’assemblage</w:t>
      </w:r>
      <w:r w:rsidRPr="0094346D">
        <w:rPr>
          <w:szCs w:val="24"/>
        </w:rPr>
        <w:t xml:space="preserve"> </w:t>
      </w:r>
      <w:r w:rsidRPr="00A02675">
        <w:rPr>
          <w:szCs w:val="24"/>
        </w:rPr>
        <w:t xml:space="preserve">ou </w:t>
      </w:r>
      <w:r>
        <w:rPr>
          <w:szCs w:val="24"/>
        </w:rPr>
        <w:t>également</w:t>
      </w:r>
      <w:r w:rsidRPr="00A02675">
        <w:rPr>
          <w:szCs w:val="24"/>
        </w:rPr>
        <w:t xml:space="preserve"> après </w:t>
      </w:r>
      <w:r>
        <w:rPr>
          <w:szCs w:val="24"/>
        </w:rPr>
        <w:t>que le</w:t>
      </w:r>
      <w:r w:rsidRPr="00A02675">
        <w:rPr>
          <w:szCs w:val="24"/>
        </w:rPr>
        <w:t xml:space="preserve"> r</w:t>
      </w:r>
      <w:r>
        <w:rPr>
          <w:szCs w:val="24"/>
        </w:rPr>
        <w:t>é</w:t>
      </w:r>
      <w:r w:rsidRPr="00A02675">
        <w:rPr>
          <w:szCs w:val="24"/>
        </w:rPr>
        <w:t xml:space="preserve">cipient intérieur </w:t>
      </w:r>
      <w:r>
        <w:rPr>
          <w:szCs w:val="24"/>
        </w:rPr>
        <w:t xml:space="preserve">a été placé dans l’enveloppe extérieure. </w:t>
      </w:r>
      <w:r w:rsidRPr="0094346D">
        <w:rPr>
          <w:szCs w:val="24"/>
        </w:rPr>
        <w:t xml:space="preserve">Le Sous-Comité a confirmé que les marques devaient être apposées de manière visible également après </w:t>
      </w:r>
      <w:r>
        <w:rPr>
          <w:szCs w:val="24"/>
        </w:rPr>
        <w:t>l’assemblage du récipient intérieur et de l’enveloppe extérieure.</w:t>
      </w:r>
      <w:r w:rsidRPr="00F13DF2">
        <w:rPr>
          <w:szCs w:val="24"/>
        </w:rPr>
        <w:t xml:space="preserve"> </w:t>
      </w:r>
      <w:r w:rsidRPr="006F1184">
        <w:rPr>
          <w:szCs w:val="24"/>
        </w:rPr>
        <w:t>C</w:t>
      </w:r>
      <w:r>
        <w:rPr>
          <w:szCs w:val="24"/>
        </w:rPr>
        <w:t>’</w:t>
      </w:r>
      <w:r w:rsidRPr="006F1184">
        <w:rPr>
          <w:szCs w:val="24"/>
        </w:rPr>
        <w:t>est pourquoi la première proposition n</w:t>
      </w:r>
      <w:r>
        <w:rPr>
          <w:szCs w:val="24"/>
        </w:rPr>
        <w:t>’</w:t>
      </w:r>
      <w:r w:rsidRPr="006F1184">
        <w:rPr>
          <w:szCs w:val="24"/>
        </w:rPr>
        <w:t>a pas été retenue.</w:t>
      </w:r>
    </w:p>
    <w:p w:rsidR="00770C61" w:rsidRPr="00F13DF2" w:rsidRDefault="00770C61" w:rsidP="00770C61">
      <w:pPr>
        <w:pStyle w:val="SingleTxtG"/>
        <w:rPr>
          <w:szCs w:val="24"/>
        </w:rPr>
      </w:pPr>
      <w:r w:rsidRPr="00F13DF2">
        <w:rPr>
          <w:szCs w:val="24"/>
        </w:rPr>
        <w:t>3.</w:t>
      </w:r>
      <w:r w:rsidRPr="00F13DF2">
        <w:rPr>
          <w:szCs w:val="24"/>
        </w:rPr>
        <w:tab/>
        <w:t>Sur la base des observations</w:t>
      </w:r>
      <w:r>
        <w:rPr>
          <w:szCs w:val="24"/>
        </w:rPr>
        <w:t xml:space="preserve"> reçues</w:t>
      </w:r>
      <w:r w:rsidRPr="00F13DF2">
        <w:rPr>
          <w:szCs w:val="24"/>
        </w:rPr>
        <w:t xml:space="preserve">, la nouvelle proposition suivante est </w:t>
      </w:r>
      <w:r>
        <w:rPr>
          <w:szCs w:val="24"/>
        </w:rPr>
        <w:t>soumise</w:t>
      </w:r>
      <w:r w:rsidR="008972A4">
        <w:rPr>
          <w:szCs w:val="24"/>
        </w:rPr>
        <w:t> </w:t>
      </w:r>
      <w:r w:rsidRPr="00F13DF2">
        <w:rPr>
          <w:szCs w:val="24"/>
        </w:rPr>
        <w:t xml:space="preserve">: </w:t>
      </w:r>
    </w:p>
    <w:p w:rsidR="00770C61" w:rsidRPr="006F1184" w:rsidRDefault="00770C61" w:rsidP="008972A4">
      <w:pPr>
        <w:pStyle w:val="HChG"/>
      </w:pPr>
      <w:r w:rsidRPr="00F13DF2">
        <w:lastRenderedPageBreak/>
        <w:tab/>
      </w:r>
      <w:r w:rsidRPr="00F13DF2">
        <w:tab/>
      </w:r>
      <w:r w:rsidRPr="006F1184">
        <w:t xml:space="preserve">Proposition </w:t>
      </w:r>
    </w:p>
    <w:p w:rsidR="00770C61" w:rsidRPr="00F13DF2" w:rsidRDefault="00770C61" w:rsidP="00770C61">
      <w:pPr>
        <w:pStyle w:val="SingleTxtG"/>
        <w:rPr>
          <w:rFonts w:eastAsia="SimSun"/>
          <w:szCs w:val="24"/>
        </w:rPr>
      </w:pPr>
      <w:r w:rsidRPr="00F13DF2">
        <w:rPr>
          <w:szCs w:val="24"/>
        </w:rPr>
        <w:t>4.</w:t>
      </w:r>
      <w:r w:rsidRPr="00F13DF2">
        <w:rPr>
          <w:szCs w:val="24"/>
        </w:rPr>
        <w:tab/>
        <w:t xml:space="preserve">Modifier comme suit le premier paragraphe </w:t>
      </w:r>
      <w:r>
        <w:rPr>
          <w:szCs w:val="24"/>
        </w:rPr>
        <w:t xml:space="preserve">du </w:t>
      </w:r>
      <w:r w:rsidRPr="00F13DF2">
        <w:rPr>
          <w:szCs w:val="24"/>
        </w:rPr>
        <w:t>6.5.2.2.4</w:t>
      </w:r>
      <w:r>
        <w:rPr>
          <w:szCs w:val="24"/>
        </w:rPr>
        <w:t> </w:t>
      </w:r>
      <w:r w:rsidRPr="00F13DF2">
        <w:rPr>
          <w:szCs w:val="24"/>
        </w:rPr>
        <w:t>: (</w:t>
      </w:r>
      <w:r w:rsidRPr="00F13DF2">
        <w:rPr>
          <w:szCs w:val="24"/>
          <w:u w:val="single"/>
        </w:rPr>
        <w:t>le texte qu</w:t>
      </w:r>
      <w:r>
        <w:rPr>
          <w:szCs w:val="24"/>
          <w:u w:val="single"/>
        </w:rPr>
        <w:t>’</w:t>
      </w:r>
      <w:r w:rsidRPr="00F13DF2">
        <w:rPr>
          <w:szCs w:val="24"/>
          <w:u w:val="single"/>
        </w:rPr>
        <w:t>il est propos</w:t>
      </w:r>
      <w:r>
        <w:rPr>
          <w:szCs w:val="24"/>
          <w:u w:val="single"/>
        </w:rPr>
        <w:t>é</w:t>
      </w:r>
      <w:r w:rsidRPr="00F13DF2">
        <w:rPr>
          <w:szCs w:val="24"/>
          <w:u w:val="single"/>
        </w:rPr>
        <w:t xml:space="preserve"> d</w:t>
      </w:r>
      <w:r>
        <w:rPr>
          <w:szCs w:val="24"/>
          <w:u w:val="single"/>
        </w:rPr>
        <w:t>’</w:t>
      </w:r>
      <w:r w:rsidRPr="00F13DF2">
        <w:rPr>
          <w:szCs w:val="24"/>
          <w:u w:val="single"/>
        </w:rPr>
        <w:t>ajouter est souligné</w:t>
      </w:r>
      <w:r w:rsidRPr="00F13DF2">
        <w:rPr>
          <w:szCs w:val="24"/>
        </w:rPr>
        <w:t xml:space="preserve">, </w:t>
      </w:r>
      <w:r>
        <w:rPr>
          <w:strike/>
          <w:szCs w:val="24"/>
        </w:rPr>
        <w:t>le texte à supprimer est biffé</w:t>
      </w:r>
      <w:r w:rsidRPr="00F13DF2">
        <w:rPr>
          <w:szCs w:val="24"/>
        </w:rPr>
        <w:t>)</w:t>
      </w:r>
    </w:p>
    <w:p w:rsidR="00770C61" w:rsidRDefault="00770C61" w:rsidP="008972A4">
      <w:pPr>
        <w:pStyle w:val="SingleTxtG"/>
        <w:ind w:left="2268" w:hanging="1134"/>
        <w:rPr>
          <w:szCs w:val="24"/>
        </w:rPr>
      </w:pPr>
      <w:r w:rsidRPr="00A17078">
        <w:rPr>
          <w:szCs w:val="24"/>
        </w:rPr>
        <w:t>«</w:t>
      </w:r>
      <w:r>
        <w:rPr>
          <w:szCs w:val="24"/>
        </w:rPr>
        <w:t> </w:t>
      </w:r>
      <w:r w:rsidR="008972A4">
        <w:rPr>
          <w:szCs w:val="24"/>
        </w:rPr>
        <w:t>6.5.2.2.4</w:t>
      </w:r>
      <w:r w:rsidR="008972A4">
        <w:rPr>
          <w:szCs w:val="24"/>
        </w:rPr>
        <w:tab/>
      </w:r>
      <w:r w:rsidRPr="00A17078">
        <w:rPr>
          <w:szCs w:val="24"/>
        </w:rPr>
        <w:t xml:space="preserve">Les récipients intérieurs qui appartiennent à un modèle type de GRV composite doivent être identifiés par les </w:t>
      </w:r>
      <w:r w:rsidR="008A317F">
        <w:rPr>
          <w:szCs w:val="24"/>
        </w:rPr>
        <w:t>marques spécifiées au 6.5.2.1.1 </w:t>
      </w:r>
      <w:r w:rsidRPr="00A17078">
        <w:rPr>
          <w:szCs w:val="24"/>
        </w:rPr>
        <w:t>b), c), d), la date étant la date de fabrication du récipient intérieur en plastique, e) et f). Le symbole de l</w:t>
      </w:r>
      <w:r>
        <w:rPr>
          <w:szCs w:val="24"/>
        </w:rPr>
        <w:t>’</w:t>
      </w:r>
      <w:r w:rsidRPr="00A17078">
        <w:rPr>
          <w:szCs w:val="24"/>
        </w:rPr>
        <w:t xml:space="preserve">ONU pour les emballages ne doit pas être apposé. </w:t>
      </w:r>
      <w:r w:rsidRPr="006F1184">
        <w:rPr>
          <w:szCs w:val="24"/>
        </w:rPr>
        <w:t>Les marques doivent être apposées dans l</w:t>
      </w:r>
      <w:r>
        <w:rPr>
          <w:szCs w:val="24"/>
        </w:rPr>
        <w:t>’</w:t>
      </w:r>
      <w:r w:rsidRPr="006F1184">
        <w:rPr>
          <w:szCs w:val="24"/>
        </w:rPr>
        <w:t xml:space="preserve">ordre indiqué au 6.5.2.1.1. </w:t>
      </w:r>
      <w:r w:rsidRPr="00A17078">
        <w:rPr>
          <w:szCs w:val="24"/>
        </w:rPr>
        <w:t xml:space="preserve">Elles doivent être apposées de manière durable, lisible et placées dans un endroit </w:t>
      </w:r>
      <w:r w:rsidRPr="00A17078">
        <w:rPr>
          <w:szCs w:val="24"/>
          <w:u w:val="single"/>
        </w:rPr>
        <w:t>accessible</w:t>
      </w:r>
      <w:r w:rsidRPr="00A17078">
        <w:rPr>
          <w:szCs w:val="24"/>
        </w:rPr>
        <w:t xml:space="preserve"> bien visible </w:t>
      </w:r>
      <w:r w:rsidRPr="00A17078">
        <w:rPr>
          <w:szCs w:val="24"/>
          <w:u w:val="single"/>
        </w:rPr>
        <w:t>à tout moment pendant et après l</w:t>
      </w:r>
      <w:r>
        <w:rPr>
          <w:szCs w:val="24"/>
          <w:u w:val="single"/>
        </w:rPr>
        <w:t>’</w:t>
      </w:r>
      <w:r w:rsidRPr="00A17078">
        <w:rPr>
          <w:szCs w:val="24"/>
          <w:u w:val="single"/>
        </w:rPr>
        <w:t xml:space="preserve">assemblage </w:t>
      </w:r>
      <w:r>
        <w:rPr>
          <w:strike/>
          <w:szCs w:val="24"/>
        </w:rPr>
        <w:t>lorsque le</w:t>
      </w:r>
      <w:r w:rsidRPr="00A17078">
        <w:rPr>
          <w:szCs w:val="24"/>
        </w:rPr>
        <w:t xml:space="preserve"> </w:t>
      </w:r>
      <w:r w:rsidRPr="00A17078">
        <w:rPr>
          <w:szCs w:val="24"/>
          <w:u w:val="single"/>
        </w:rPr>
        <w:t>du</w:t>
      </w:r>
      <w:r>
        <w:rPr>
          <w:szCs w:val="24"/>
        </w:rPr>
        <w:t xml:space="preserve"> récipient intérieur </w:t>
      </w:r>
      <w:r>
        <w:rPr>
          <w:strike/>
          <w:szCs w:val="24"/>
        </w:rPr>
        <w:t xml:space="preserve">est </w:t>
      </w:r>
      <w:r w:rsidRPr="008D1561">
        <w:rPr>
          <w:strike/>
          <w:szCs w:val="24"/>
        </w:rPr>
        <w:t>placé dans</w:t>
      </w:r>
      <w:r w:rsidR="008A317F" w:rsidRPr="008A317F">
        <w:rPr>
          <w:strike/>
          <w:szCs w:val="24"/>
        </w:rPr>
        <w:t xml:space="preserve"> </w:t>
      </w:r>
      <w:r w:rsidRPr="008D1561">
        <w:rPr>
          <w:szCs w:val="24"/>
          <w:u w:val="single"/>
        </w:rPr>
        <w:t>et de</w:t>
      </w:r>
      <w:r>
        <w:rPr>
          <w:szCs w:val="24"/>
        </w:rPr>
        <w:t xml:space="preserve"> l’enveloppe extérieure</w:t>
      </w:r>
      <w:r w:rsidRPr="00A17078">
        <w:rPr>
          <w:szCs w:val="24"/>
        </w:rPr>
        <w:t>.</w:t>
      </w:r>
      <w:r>
        <w:rPr>
          <w:szCs w:val="24"/>
        </w:rPr>
        <w:t> </w:t>
      </w:r>
      <w:r w:rsidRPr="00A17078">
        <w:rPr>
          <w:szCs w:val="24"/>
        </w:rPr>
        <w:t>»</w:t>
      </w:r>
      <w:r w:rsidR="008972A4">
        <w:rPr>
          <w:szCs w:val="24"/>
        </w:rPr>
        <w:t>.</w:t>
      </w:r>
    </w:p>
    <w:p w:rsidR="00770C61" w:rsidRPr="00770C61" w:rsidRDefault="00770C61" w:rsidP="00770C61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70C61" w:rsidRPr="00770C61" w:rsidSect="00770C61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0DAA" w:rsidRDefault="00420DAA" w:rsidP="00F95C08">
      <w:pPr>
        <w:spacing w:line="240" w:lineRule="auto"/>
      </w:pPr>
    </w:p>
  </w:endnote>
  <w:endnote w:type="continuationSeparator" w:id="0">
    <w:p w:rsidR="00420DAA" w:rsidRPr="00AC3823" w:rsidRDefault="00420DAA" w:rsidP="00AC3823">
      <w:pPr>
        <w:pStyle w:val="Footer"/>
      </w:pPr>
    </w:p>
  </w:endnote>
  <w:endnote w:type="continuationNotice" w:id="1">
    <w:p w:rsidR="00420DAA" w:rsidRDefault="00420DA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0C61" w:rsidRPr="00770C61" w:rsidRDefault="00770C61" w:rsidP="00770C61">
    <w:pPr>
      <w:pStyle w:val="Footer"/>
      <w:tabs>
        <w:tab w:val="right" w:pos="9638"/>
      </w:tabs>
    </w:pPr>
    <w:r w:rsidRPr="00770C61">
      <w:rPr>
        <w:b/>
        <w:sz w:val="18"/>
      </w:rPr>
      <w:fldChar w:fldCharType="begin"/>
    </w:r>
    <w:r w:rsidRPr="00770C61">
      <w:rPr>
        <w:b/>
        <w:sz w:val="18"/>
      </w:rPr>
      <w:instrText xml:space="preserve"> PAGE  \* MERGEFORMAT </w:instrText>
    </w:r>
    <w:r w:rsidRPr="00770C61">
      <w:rPr>
        <w:b/>
        <w:sz w:val="18"/>
      </w:rPr>
      <w:fldChar w:fldCharType="separate"/>
    </w:r>
    <w:r w:rsidR="00987F89">
      <w:rPr>
        <w:b/>
        <w:noProof/>
        <w:sz w:val="18"/>
      </w:rPr>
      <w:t>2</w:t>
    </w:r>
    <w:r w:rsidRPr="00770C61">
      <w:rPr>
        <w:b/>
        <w:sz w:val="18"/>
      </w:rPr>
      <w:fldChar w:fldCharType="end"/>
    </w:r>
    <w:r>
      <w:rPr>
        <w:b/>
        <w:sz w:val="18"/>
      </w:rPr>
      <w:tab/>
    </w:r>
    <w:r>
      <w:t>GE.18-14716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0C61" w:rsidRPr="00770C61" w:rsidRDefault="00770C61" w:rsidP="00770C61">
    <w:pPr>
      <w:pStyle w:val="Footer"/>
      <w:tabs>
        <w:tab w:val="right" w:pos="9638"/>
      </w:tabs>
      <w:rPr>
        <w:b/>
        <w:sz w:val="18"/>
      </w:rPr>
    </w:pPr>
    <w:r>
      <w:t>GE.18-14716</w:t>
    </w:r>
    <w:r>
      <w:tab/>
    </w:r>
    <w:r w:rsidRPr="00770C61">
      <w:rPr>
        <w:b/>
        <w:sz w:val="18"/>
      </w:rPr>
      <w:fldChar w:fldCharType="begin"/>
    </w:r>
    <w:r w:rsidRPr="00770C61">
      <w:rPr>
        <w:b/>
        <w:sz w:val="18"/>
      </w:rPr>
      <w:instrText xml:space="preserve"> PAGE  \* MERGEFORMAT </w:instrText>
    </w:r>
    <w:r w:rsidRPr="00770C61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770C6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56F" w:rsidRPr="00770C61" w:rsidRDefault="00770C61" w:rsidP="00770C61">
    <w:pPr>
      <w:pStyle w:val="Footer"/>
      <w:spacing w:before="120"/>
      <w:rPr>
        <w:sz w:val="20"/>
      </w:rPr>
    </w:pPr>
    <w:r>
      <w:rPr>
        <w:sz w:val="20"/>
      </w:rPr>
      <w:t>GE.</w:t>
    </w:r>
    <w:r w:rsidR="0068456F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3453438E" wp14:editId="7953667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</w:t>
    </w:r>
    <w:proofErr w:type="gramStart"/>
    <w:r>
      <w:rPr>
        <w:sz w:val="20"/>
      </w:rPr>
      <w:t>14716  (</w:t>
    </w:r>
    <w:proofErr w:type="gramEnd"/>
    <w:r>
      <w:rPr>
        <w:sz w:val="20"/>
      </w:rPr>
      <w:t>F)    021018    021018</w:t>
    </w:r>
    <w:r>
      <w:rPr>
        <w:sz w:val="20"/>
      </w:rPr>
      <w:br/>
    </w:r>
    <w:r w:rsidRPr="00770C61">
      <w:rPr>
        <w:rFonts w:ascii="C39T30Lfz" w:hAnsi="C39T30Lfz"/>
        <w:sz w:val="56"/>
      </w:rPr>
      <w:t></w:t>
    </w:r>
    <w:r w:rsidRPr="00770C61">
      <w:rPr>
        <w:rFonts w:ascii="C39T30Lfz" w:hAnsi="C39T30Lfz"/>
        <w:sz w:val="56"/>
      </w:rPr>
      <w:t></w:t>
    </w:r>
    <w:r w:rsidRPr="00770C61">
      <w:rPr>
        <w:rFonts w:ascii="C39T30Lfz" w:hAnsi="C39T30Lfz"/>
        <w:sz w:val="56"/>
      </w:rPr>
      <w:t></w:t>
    </w:r>
    <w:r w:rsidRPr="00770C61">
      <w:rPr>
        <w:rFonts w:ascii="C39T30Lfz" w:hAnsi="C39T30Lfz"/>
        <w:sz w:val="56"/>
      </w:rPr>
      <w:t></w:t>
    </w:r>
    <w:r w:rsidRPr="00770C61">
      <w:rPr>
        <w:rFonts w:ascii="C39T30Lfz" w:hAnsi="C39T30Lfz"/>
        <w:sz w:val="56"/>
      </w:rPr>
      <w:t></w:t>
    </w:r>
    <w:r w:rsidRPr="00770C61">
      <w:rPr>
        <w:rFonts w:ascii="C39T30Lfz" w:hAnsi="C39T30Lfz"/>
        <w:sz w:val="56"/>
      </w:rPr>
      <w:t></w:t>
    </w:r>
    <w:r w:rsidRPr="00770C61">
      <w:rPr>
        <w:rFonts w:ascii="C39T30Lfz" w:hAnsi="C39T30Lfz"/>
        <w:sz w:val="56"/>
      </w:rPr>
      <w:t></w:t>
    </w:r>
    <w:r w:rsidRPr="00770C61">
      <w:rPr>
        <w:rFonts w:ascii="C39T30Lfz" w:hAnsi="C39T30Lfz"/>
        <w:sz w:val="56"/>
      </w:rPr>
      <w:t></w:t>
    </w:r>
    <w:r w:rsidRPr="00770C61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ST/SG/AC.10/C.3/2018/107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ST/SG/AC.10/C.3/2018/107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0DAA" w:rsidRPr="00AC3823" w:rsidRDefault="00420DAA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420DAA" w:rsidRPr="00AC3823" w:rsidRDefault="00420DAA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420DAA" w:rsidRPr="00AC3823" w:rsidRDefault="00420DAA">
      <w:pPr>
        <w:spacing w:line="240" w:lineRule="auto"/>
        <w:rPr>
          <w:sz w:val="2"/>
          <w:szCs w:val="2"/>
        </w:rPr>
      </w:pPr>
    </w:p>
  </w:footnote>
  <w:footnote w:id="2">
    <w:p w:rsidR="008972A4" w:rsidRPr="008972A4" w:rsidRDefault="008972A4" w:rsidP="008972A4">
      <w:pPr>
        <w:pStyle w:val="FootnoteText"/>
      </w:pPr>
      <w:r>
        <w:rPr>
          <w:rStyle w:val="FootnoteReference"/>
        </w:rPr>
        <w:tab/>
      </w:r>
      <w:r w:rsidRPr="008972A4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7C7A85">
        <w:t>Conformément au programme de travail du Sous-Comité pour la période 2017-2018</w:t>
      </w:r>
      <w:r>
        <w:t>, approuvé</w:t>
      </w:r>
      <w:r w:rsidRPr="007C7A85">
        <w:t xml:space="preserve"> par le Comité à sa huitième session (voir ST/SG/AC.10/C.3/100, par</w:t>
      </w:r>
      <w:r>
        <w:t>.</w:t>
      </w:r>
      <w:r w:rsidR="00DB07E3">
        <w:t> </w:t>
      </w:r>
      <w:r w:rsidRPr="007C7A85">
        <w:t>98</w:t>
      </w:r>
      <w:r>
        <w:t>,</w:t>
      </w:r>
      <w:r w:rsidRPr="007C7A85">
        <w:t xml:space="preserve"> </w:t>
      </w:r>
      <w:r>
        <w:t>et</w:t>
      </w:r>
      <w:r w:rsidRPr="007C7A85">
        <w:t xml:space="preserve"> ST/SG/AC.10/44, par. </w:t>
      </w:r>
      <w:r w:rsidRPr="00702199">
        <w:t>14)</w:t>
      </w:r>
      <w:r w:rsidRPr="00702199">
        <w:rPr>
          <w:color w:val="000000"/>
          <w:lang w:eastAsia="en-GB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0C61" w:rsidRPr="00770C61" w:rsidRDefault="00C32C1A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ST/SG/AC.10/C.3/2018/107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0C61" w:rsidRPr="00770C61" w:rsidRDefault="00C32C1A" w:rsidP="00770C61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ST/SG/AC.10/C.3/2018/107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274CD73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981AAA34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FE2C9A28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DAA"/>
    <w:rsid w:val="00017F94"/>
    <w:rsid w:val="00023842"/>
    <w:rsid w:val="000305D3"/>
    <w:rsid w:val="000334F9"/>
    <w:rsid w:val="0007796D"/>
    <w:rsid w:val="000B7790"/>
    <w:rsid w:val="00111F2F"/>
    <w:rsid w:val="00132EA9"/>
    <w:rsid w:val="0014365E"/>
    <w:rsid w:val="00176178"/>
    <w:rsid w:val="001F525A"/>
    <w:rsid w:val="00223272"/>
    <w:rsid w:val="0024779E"/>
    <w:rsid w:val="00283190"/>
    <w:rsid w:val="002832AC"/>
    <w:rsid w:val="002D7C93"/>
    <w:rsid w:val="00420DAA"/>
    <w:rsid w:val="00441C3B"/>
    <w:rsid w:val="00446FE5"/>
    <w:rsid w:val="00452396"/>
    <w:rsid w:val="004E468C"/>
    <w:rsid w:val="005505B7"/>
    <w:rsid w:val="00573BE5"/>
    <w:rsid w:val="00584DC4"/>
    <w:rsid w:val="00586ED3"/>
    <w:rsid w:val="00596AA9"/>
    <w:rsid w:val="0068456F"/>
    <w:rsid w:val="00694292"/>
    <w:rsid w:val="0071601D"/>
    <w:rsid w:val="00770C61"/>
    <w:rsid w:val="007A62E6"/>
    <w:rsid w:val="0080684C"/>
    <w:rsid w:val="00871C75"/>
    <w:rsid w:val="008776DC"/>
    <w:rsid w:val="008972A4"/>
    <w:rsid w:val="008A317F"/>
    <w:rsid w:val="008B40CD"/>
    <w:rsid w:val="009705C8"/>
    <w:rsid w:val="00987F89"/>
    <w:rsid w:val="009C1CF4"/>
    <w:rsid w:val="00A30353"/>
    <w:rsid w:val="00AC3823"/>
    <w:rsid w:val="00AE323C"/>
    <w:rsid w:val="00B00181"/>
    <w:rsid w:val="00B00B0D"/>
    <w:rsid w:val="00B765F7"/>
    <w:rsid w:val="00BA0CA9"/>
    <w:rsid w:val="00C02897"/>
    <w:rsid w:val="00C32C1A"/>
    <w:rsid w:val="00D3439C"/>
    <w:rsid w:val="00D96AFA"/>
    <w:rsid w:val="00DB07E3"/>
    <w:rsid w:val="00DB1831"/>
    <w:rsid w:val="00DD3BFD"/>
    <w:rsid w:val="00DF6678"/>
    <w:rsid w:val="00EF2E22"/>
    <w:rsid w:val="00F01738"/>
    <w:rsid w:val="00F660DF"/>
    <w:rsid w:val="00F730C8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17E9EEA-5ECB-4432-ADB4-1280438A6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4DC4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84DC4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584DC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584DC4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584DC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584DC4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84DC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584DC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584DC4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584DC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584DC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584DC4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584DC4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584DC4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Footnote Reference/"/>
    <w:basedOn w:val="DefaultParagraphFont"/>
    <w:qFormat/>
    <w:rsid w:val="00584DC4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584DC4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584DC4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584DC4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584DC4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584DC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584DC4"/>
  </w:style>
  <w:style w:type="character" w:customStyle="1" w:styleId="EndnoteTextChar">
    <w:name w:val="Endnote Text Char"/>
    <w:aliases w:val="2_G Char"/>
    <w:basedOn w:val="DefaultParagraphFont"/>
    <w:link w:val="End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584DC4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584DC4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E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EA9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770C61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SingleTxtGChar">
    <w:name w:val="_ Single Txt_G Char"/>
    <w:link w:val="SingleTxtG"/>
    <w:qFormat/>
    <w:rsid w:val="00770C61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1GChar">
    <w:name w:val="_ H_1_G Char"/>
    <w:link w:val="H1G"/>
    <w:locked/>
    <w:rsid w:val="00770C61"/>
    <w:rPr>
      <w:rFonts w:ascii="Times New Roman" w:eastAsiaTheme="minorHAnsi" w:hAnsi="Times New Roman" w:cs="Times New Roman"/>
      <w:b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ST/SG/AC.10/C.3/2018/107</vt:lpstr>
      <vt:lpstr>ST/SG/AC.10/C.3/2018/107</vt:lpstr>
    </vt:vector>
  </TitlesOfParts>
  <Company>DCM</Company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ST/SG/AC.10/C.3/2018/107</dc:title>
  <dc:subject/>
  <dc:creator>Sandrine CLERE</dc:creator>
  <cp:keywords/>
  <cp:lastModifiedBy>Laurence Berthet</cp:lastModifiedBy>
  <cp:revision>3</cp:revision>
  <cp:lastPrinted>2018-10-02T12:50:00Z</cp:lastPrinted>
  <dcterms:created xsi:type="dcterms:W3CDTF">2018-10-02T12:50:00Z</dcterms:created>
  <dcterms:modified xsi:type="dcterms:W3CDTF">2018-10-02T12:50:00Z</dcterms:modified>
</cp:coreProperties>
</file>