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51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51562" w:rsidP="00E51562">
            <w:pPr>
              <w:jc w:val="right"/>
            </w:pPr>
            <w:r w:rsidRPr="00E51562">
              <w:rPr>
                <w:sz w:val="40"/>
              </w:rPr>
              <w:t>ECE</w:t>
            </w:r>
            <w:r>
              <w:t>/TRANS/WP.29/GRRF/2017/21</w:t>
            </w:r>
          </w:p>
        </w:tc>
      </w:tr>
      <w:tr w:rsidR="002D5AAC" w:rsidRPr="00AE174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515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51562" w:rsidRDefault="00E51562" w:rsidP="00E515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2017</w:t>
            </w:r>
          </w:p>
          <w:p w:rsidR="00E51562" w:rsidRDefault="00E51562" w:rsidP="00E515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51562" w:rsidRPr="008D53B6" w:rsidRDefault="00E51562" w:rsidP="00E515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51562" w:rsidRPr="00E51562" w:rsidRDefault="00E51562" w:rsidP="00E51562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E51562">
        <w:rPr>
          <w:sz w:val="28"/>
          <w:szCs w:val="28"/>
        </w:rPr>
        <w:t>Комитет по внутреннему транспорту</w:t>
      </w:r>
    </w:p>
    <w:p w:rsidR="00E51562" w:rsidRPr="00E51562" w:rsidRDefault="00E51562" w:rsidP="00E51562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E5156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51562">
        <w:rPr>
          <w:b/>
          <w:bCs/>
          <w:sz w:val="24"/>
          <w:szCs w:val="24"/>
        </w:rPr>
        <w:br/>
        <w:t>в области транспортных средств</w:t>
      </w:r>
    </w:p>
    <w:p w:rsidR="00E51562" w:rsidRPr="00E51562" w:rsidRDefault="00E51562" w:rsidP="00E51562">
      <w:pPr>
        <w:pStyle w:val="SingleTxtGR"/>
        <w:spacing w:after="0"/>
        <w:ind w:left="0"/>
        <w:jc w:val="left"/>
        <w:rPr>
          <w:b/>
          <w:bCs/>
        </w:rPr>
      </w:pPr>
      <w:r w:rsidRPr="00E51562">
        <w:rPr>
          <w:b/>
          <w:bCs/>
        </w:rPr>
        <w:t>Рабочая группа по вопросам торможения и ходовой части</w:t>
      </w:r>
    </w:p>
    <w:p w:rsidR="00E51562" w:rsidRPr="00E51562" w:rsidRDefault="00E51562" w:rsidP="00E32B14">
      <w:pPr>
        <w:pStyle w:val="SingleTxtGR"/>
        <w:spacing w:before="120"/>
        <w:ind w:left="0"/>
        <w:jc w:val="left"/>
        <w:rPr>
          <w:b/>
        </w:rPr>
      </w:pPr>
      <w:r w:rsidRPr="00E51562">
        <w:rPr>
          <w:b/>
          <w:bCs/>
        </w:rPr>
        <w:t>Восемьдесят четвертая сессия</w:t>
      </w:r>
    </w:p>
    <w:p w:rsidR="00E51562" w:rsidRPr="00E51562" w:rsidRDefault="00E51562" w:rsidP="00E51562">
      <w:pPr>
        <w:pStyle w:val="SingleTxtGR"/>
        <w:spacing w:after="0"/>
        <w:ind w:left="0"/>
        <w:jc w:val="left"/>
      </w:pPr>
      <w:r w:rsidRPr="00E51562">
        <w:t>Женева, 19–22 сентября 2017 года</w:t>
      </w:r>
    </w:p>
    <w:p w:rsidR="00E51562" w:rsidRPr="00E51562" w:rsidRDefault="00E51562" w:rsidP="00E51562">
      <w:pPr>
        <w:pStyle w:val="SingleTxtGR"/>
        <w:spacing w:after="0"/>
        <w:ind w:left="0"/>
        <w:jc w:val="left"/>
      </w:pPr>
      <w:r w:rsidRPr="00E51562">
        <w:t>Пункт 7 i) предварительной повестки дня</w:t>
      </w:r>
    </w:p>
    <w:p w:rsidR="00E51562" w:rsidRPr="00E51562" w:rsidRDefault="00E51562" w:rsidP="00E51562">
      <w:pPr>
        <w:pStyle w:val="SingleTxtGR"/>
        <w:spacing w:after="0"/>
        <w:ind w:left="0"/>
        <w:jc w:val="left"/>
        <w:rPr>
          <w:b/>
          <w:bCs/>
        </w:rPr>
      </w:pPr>
      <w:r w:rsidRPr="00E51562">
        <w:rPr>
          <w:b/>
          <w:bCs/>
        </w:rPr>
        <w:t>Шины: Правила № 142</w:t>
      </w:r>
    </w:p>
    <w:p w:rsidR="00E51562" w:rsidRPr="00E51562" w:rsidRDefault="00E51562" w:rsidP="00E51562">
      <w:pPr>
        <w:pStyle w:val="HChGR"/>
      </w:pPr>
      <w:r w:rsidRPr="00E51562">
        <w:tab/>
      </w:r>
      <w:r w:rsidRPr="00E51562">
        <w:tab/>
        <w:t>Предложение по поправкам к Правилам № 142 (Единообразные предписания, касающиеся официального утверждения автотранспортных средств в отношении установки их шин)</w:t>
      </w:r>
    </w:p>
    <w:p w:rsidR="00E51562" w:rsidRPr="00E51562" w:rsidRDefault="00E51562" w:rsidP="00E51562">
      <w:pPr>
        <w:pStyle w:val="H1GR"/>
      </w:pPr>
      <w:r w:rsidRPr="00E51562">
        <w:tab/>
      </w:r>
      <w:r w:rsidRPr="00E51562">
        <w:tab/>
        <w:t>Представлено экспертами от Европейской технической организации по вопросам пневматических шин и ободьев колес и Международной организации предприятий автомобильной промышленности</w:t>
      </w:r>
      <w:r w:rsidRPr="00224AE9">
        <w:rPr>
          <w:b w:val="0"/>
          <w:sz w:val="20"/>
        </w:rPr>
        <w:footnoteReference w:customMarkFollows="1" w:id="1"/>
        <w:t>*</w:t>
      </w:r>
    </w:p>
    <w:p w:rsidR="00E51562" w:rsidRPr="00E51562" w:rsidRDefault="00E51562" w:rsidP="00E51562">
      <w:pPr>
        <w:pStyle w:val="SingleTxtGR"/>
      </w:pPr>
      <w:r w:rsidRPr="00AE1740">
        <w:tab/>
      </w:r>
      <w:r w:rsidRPr="00E51562">
        <w:t>Воспроизведенный ниже текст был совместно подготовлен экспертами от</w:t>
      </w:r>
      <w:r w:rsidR="00224AE9">
        <w:rPr>
          <w:lang w:val="en-US"/>
        </w:rPr>
        <w:t> </w:t>
      </w:r>
      <w:r w:rsidRPr="00E51562">
        <w:t>Европейской технической организации по вопросам пневматических шин и</w:t>
      </w:r>
      <w:r w:rsidR="00224AE9">
        <w:rPr>
          <w:lang w:val="en-US"/>
        </w:rPr>
        <w:t> </w:t>
      </w:r>
      <w:r w:rsidRPr="00E51562">
        <w:t>ободьев колес (ЕТОПОК) и Международной организации предприятий авт</w:t>
      </w:r>
      <w:r w:rsidRPr="00E51562">
        <w:t>о</w:t>
      </w:r>
      <w:r w:rsidRPr="00E51562">
        <w:t>мобильной промышленности (МОПАП) для исправления неправильных ссылок на другие правила, касающиеся шин, в Правилах № 142. Изменения к сущ</w:t>
      </w:r>
      <w:r w:rsidRPr="00E51562">
        <w:t>е</w:t>
      </w:r>
      <w:r w:rsidRPr="00E51562">
        <w:t>ствующему тексту Правил выделены жирным шрифтом в случае новых пол</w:t>
      </w:r>
      <w:r w:rsidRPr="00E51562">
        <w:t>о</w:t>
      </w:r>
      <w:r w:rsidRPr="00E51562">
        <w:t>жений или зачеркиванием в случае исключенных элементов.</w:t>
      </w:r>
    </w:p>
    <w:p w:rsidR="00E51562" w:rsidRPr="00E51562" w:rsidRDefault="00E51562" w:rsidP="00911DE1">
      <w:pPr>
        <w:pStyle w:val="HChGR"/>
      </w:pPr>
      <w:r w:rsidRPr="00E51562">
        <w:br w:type="page"/>
      </w:r>
      <w:r w:rsidR="00911DE1" w:rsidRPr="00AE1740">
        <w:lastRenderedPageBreak/>
        <w:tab/>
      </w:r>
      <w:r w:rsidRPr="00E51562">
        <w:t>I.</w:t>
      </w:r>
      <w:r w:rsidRPr="00E51562">
        <w:tab/>
        <w:t>Предложение</w:t>
      </w:r>
    </w:p>
    <w:p w:rsidR="00E51562" w:rsidRPr="00E51562" w:rsidRDefault="00E51562" w:rsidP="00E51562">
      <w:pPr>
        <w:pStyle w:val="SingleTxtGR"/>
      </w:pPr>
      <w:r w:rsidRPr="00E51562">
        <w:rPr>
          <w:i/>
          <w:iCs/>
        </w:rPr>
        <w:t>Пункт 2.3</w:t>
      </w:r>
      <w:r w:rsidRPr="00E51562">
        <w:t xml:space="preserve"> изменить следующим образом:</w:t>
      </w:r>
    </w:p>
    <w:p w:rsidR="00E51562" w:rsidRPr="00E51562" w:rsidRDefault="00E51562" w:rsidP="00E51562">
      <w:pPr>
        <w:pStyle w:val="SingleTxtGR"/>
        <w:ind w:left="2268" w:hanging="1134"/>
      </w:pPr>
      <w:r w:rsidRPr="00E51562">
        <w:t>«2.3</w:t>
      </w:r>
      <w:r w:rsidRPr="00E51562">
        <w:tab/>
      </w:r>
      <w:r w:rsidRPr="00E51562">
        <w:tab/>
      </w:r>
      <w:r w:rsidR="00E32B14" w:rsidRPr="00E51562">
        <w:t>"</w:t>
      </w:r>
      <w:r w:rsidRPr="00E51562">
        <w:rPr>
          <w:i/>
          <w:iCs/>
        </w:rPr>
        <w:t>Обозначение размера шины</w:t>
      </w:r>
      <w:r w:rsidR="00E32B14" w:rsidRPr="00E51562">
        <w:t>"</w:t>
      </w:r>
      <w:r w:rsidRPr="00E51562">
        <w:t xml:space="preserve"> означает обозначение в соответствии с определением, приведенным в пункте 2.</w:t>
      </w:r>
      <w:r w:rsidRPr="00E32B14">
        <w:rPr>
          <w:strike/>
        </w:rPr>
        <w:t>19</w:t>
      </w:r>
      <w:r w:rsidRPr="00E51562">
        <w:rPr>
          <w:b/>
          <w:bCs/>
        </w:rPr>
        <w:t>22</w:t>
      </w:r>
      <w:r w:rsidRPr="00E51562">
        <w:t xml:space="preserve"> Правил № 30 для шин класса C1 и в пункте 2.</w:t>
      </w:r>
      <w:r w:rsidRPr="00E32B14">
        <w:rPr>
          <w:strike/>
        </w:rPr>
        <w:t>17</w:t>
      </w:r>
      <w:r w:rsidRPr="00E51562">
        <w:rPr>
          <w:b/>
          <w:bCs/>
        </w:rPr>
        <w:t>20</w:t>
      </w:r>
      <w:r w:rsidRPr="00E51562">
        <w:t xml:space="preserve"> Правил № 54 для шин классов C2 и C3». </w:t>
      </w:r>
    </w:p>
    <w:p w:rsidR="00E51562" w:rsidRPr="00E51562" w:rsidRDefault="00E51562" w:rsidP="00E51562">
      <w:pPr>
        <w:pStyle w:val="SingleTxtGR"/>
      </w:pPr>
      <w:r w:rsidRPr="00E51562">
        <w:rPr>
          <w:i/>
          <w:iCs/>
        </w:rPr>
        <w:t>Пункт 2.9</w:t>
      </w:r>
      <w:r w:rsidRPr="00E51562">
        <w:t xml:space="preserve"> изменить следующим образом:</w:t>
      </w:r>
    </w:p>
    <w:p w:rsidR="00E51562" w:rsidRPr="00E51562" w:rsidRDefault="00E51562" w:rsidP="00E51562">
      <w:pPr>
        <w:pStyle w:val="SingleTxtGR"/>
        <w:ind w:left="2268" w:hanging="1134"/>
      </w:pPr>
      <w:r w:rsidRPr="00E51562">
        <w:t>«2.9</w:t>
      </w:r>
      <w:r w:rsidRPr="00E51562">
        <w:tab/>
      </w:r>
      <w:r w:rsidRPr="00E51562">
        <w:tab/>
        <w:t>"</w:t>
      </w:r>
      <w:r w:rsidRPr="00E51562">
        <w:rPr>
          <w:i/>
          <w:iCs/>
        </w:rPr>
        <w:t>Шина, пригодная для эксплуатации в спущенном состоянии</w:t>
      </w:r>
      <w:r w:rsidRPr="00E51562">
        <w:t>" озн</w:t>
      </w:r>
      <w:r w:rsidRPr="00E51562">
        <w:t>а</w:t>
      </w:r>
      <w:r w:rsidRPr="00E51562">
        <w:t>чает шину, соответствующую определению в пункте 2.</w:t>
      </w:r>
      <w:r w:rsidRPr="0002198C">
        <w:rPr>
          <w:strike/>
        </w:rPr>
        <w:t>5.</w:t>
      </w:r>
      <w:r w:rsidRPr="00E51562">
        <w:rPr>
          <w:b/>
          <w:bCs/>
        </w:rPr>
        <w:t>8.</w:t>
      </w:r>
      <w:r w:rsidRPr="00E51562">
        <w:t>7 Правил</w:t>
      </w:r>
      <w:r w:rsidR="00B31C7F">
        <w:rPr>
          <w:lang w:val="en-US"/>
        </w:rPr>
        <w:t> </w:t>
      </w:r>
      <w:r w:rsidRPr="00E51562">
        <w:t xml:space="preserve">№ 30». </w:t>
      </w:r>
    </w:p>
    <w:p w:rsidR="00E51562" w:rsidRPr="00E51562" w:rsidRDefault="00E51562" w:rsidP="00E51562">
      <w:pPr>
        <w:pStyle w:val="SingleTxtGR"/>
      </w:pPr>
      <w:r w:rsidRPr="00E51562">
        <w:rPr>
          <w:i/>
          <w:iCs/>
        </w:rPr>
        <w:t>Пункт 2.18</w:t>
      </w:r>
      <w:r w:rsidRPr="00E51562">
        <w:t xml:space="preserve"> изменить следующим образом:</w:t>
      </w:r>
    </w:p>
    <w:p w:rsidR="00E51562" w:rsidRPr="00E51562" w:rsidRDefault="00E51562" w:rsidP="00E51562">
      <w:pPr>
        <w:pStyle w:val="SingleTxtGR"/>
        <w:ind w:left="2268" w:hanging="1134"/>
      </w:pPr>
      <w:r w:rsidRPr="00E51562">
        <w:t>«2.18</w:t>
      </w:r>
      <w:r w:rsidRPr="00E51562">
        <w:tab/>
      </w:r>
      <w:r w:rsidRPr="00E51562">
        <w:tab/>
      </w:r>
      <w:r w:rsidR="00E32B14" w:rsidRPr="00E51562">
        <w:t>"</w:t>
      </w:r>
      <w:r w:rsidRPr="00E51562">
        <w:rPr>
          <w:i/>
          <w:iCs/>
        </w:rPr>
        <w:t>Обозначение категории скорости</w:t>
      </w:r>
      <w:r w:rsidR="00E32B14" w:rsidRPr="00E51562">
        <w:t>"</w:t>
      </w:r>
      <w:r w:rsidRPr="00E51562">
        <w:t xml:space="preserve"> означает обозначение, соотве</w:t>
      </w:r>
      <w:r w:rsidRPr="00E51562">
        <w:t>т</w:t>
      </w:r>
      <w:r w:rsidRPr="00E51562">
        <w:t>ствующее определению, приведенному в пункте 2.</w:t>
      </w:r>
      <w:r w:rsidRPr="00BC2130">
        <w:rPr>
          <w:strike/>
        </w:rPr>
        <w:t>31</w:t>
      </w:r>
      <w:r w:rsidRPr="00E51562">
        <w:rPr>
          <w:b/>
          <w:bCs/>
        </w:rPr>
        <w:t>34</w:t>
      </w:r>
      <w:r w:rsidRPr="00E51562">
        <w:t xml:space="preserve"> Пр</w:t>
      </w:r>
      <w:r w:rsidRPr="00E51562">
        <w:t>а</w:t>
      </w:r>
      <w:r w:rsidRPr="00E51562">
        <w:t>вил</w:t>
      </w:r>
      <w:r w:rsidR="00B31C7F">
        <w:rPr>
          <w:lang w:val="en-US"/>
        </w:rPr>
        <w:t> </w:t>
      </w:r>
      <w:r w:rsidRPr="00E51562">
        <w:t>№</w:t>
      </w:r>
      <w:r w:rsidR="00B31C7F">
        <w:rPr>
          <w:lang w:val="en-US"/>
        </w:rPr>
        <w:t> </w:t>
      </w:r>
      <w:r w:rsidRPr="00E51562">
        <w:t>30 для шин класса С1 и пункте 2.</w:t>
      </w:r>
      <w:r w:rsidRPr="00BC2130">
        <w:rPr>
          <w:strike/>
        </w:rPr>
        <w:t>28</w:t>
      </w:r>
      <w:r w:rsidRPr="00E51562">
        <w:rPr>
          <w:b/>
          <w:bCs/>
        </w:rPr>
        <w:t>31</w:t>
      </w:r>
      <w:r w:rsidRPr="00E51562">
        <w:t xml:space="preserve"> Правил № 54 для шин класса С2». </w:t>
      </w:r>
    </w:p>
    <w:p w:rsidR="00E51562" w:rsidRPr="00E51562" w:rsidRDefault="00E51562" w:rsidP="00E51562">
      <w:pPr>
        <w:pStyle w:val="SingleTxtGR"/>
      </w:pPr>
      <w:r w:rsidRPr="00E51562">
        <w:rPr>
          <w:i/>
          <w:iCs/>
        </w:rPr>
        <w:t>Пункт 2.1</w:t>
      </w:r>
      <w:r w:rsidRPr="00AE1740">
        <w:rPr>
          <w:i/>
        </w:rPr>
        <w:t>9</w:t>
      </w:r>
      <w:r w:rsidRPr="00E51562">
        <w:t xml:space="preserve"> изменить следующим образом:</w:t>
      </w:r>
    </w:p>
    <w:p w:rsidR="00E51562" w:rsidRPr="00E51562" w:rsidRDefault="00E51562" w:rsidP="00E51562">
      <w:pPr>
        <w:pStyle w:val="SingleTxtGR"/>
        <w:ind w:left="2268" w:hanging="1134"/>
      </w:pPr>
      <w:r w:rsidRPr="00E51562">
        <w:t>«2.19</w:t>
      </w:r>
      <w:r w:rsidRPr="00E51562">
        <w:tab/>
      </w:r>
      <w:r w:rsidRPr="00E51562">
        <w:tab/>
      </w:r>
      <w:r w:rsidR="00E32B14" w:rsidRPr="00E51562">
        <w:t>"</w:t>
      </w:r>
      <w:r w:rsidRPr="00E51562">
        <w:rPr>
          <w:i/>
          <w:iCs/>
        </w:rPr>
        <w:t>Индекс несущей способности</w:t>
      </w:r>
      <w:r w:rsidR="00E32B14" w:rsidRPr="00E51562">
        <w:t>"</w:t>
      </w:r>
      <w:r w:rsidRPr="00E51562">
        <w:t xml:space="preserve"> означает число, характеризующее показатель максимальной нагрузки шины в соответствии с опред</w:t>
      </w:r>
      <w:r w:rsidRPr="00E51562">
        <w:t>е</w:t>
      </w:r>
      <w:r w:rsidRPr="00E51562">
        <w:t>лением, приведенным в пункте 2.</w:t>
      </w:r>
      <w:r w:rsidRPr="00BC2130">
        <w:rPr>
          <w:strike/>
        </w:rPr>
        <w:t>30</w:t>
      </w:r>
      <w:r w:rsidRPr="00E51562">
        <w:rPr>
          <w:b/>
          <w:bCs/>
        </w:rPr>
        <w:t>33</w:t>
      </w:r>
      <w:r w:rsidR="00AE1740">
        <w:t xml:space="preserve"> Правил № 30 для шин класса</w:t>
      </w:r>
      <w:r w:rsidR="00AE1740">
        <w:rPr>
          <w:lang w:val="en-US"/>
        </w:rPr>
        <w:t> </w:t>
      </w:r>
      <w:r w:rsidRPr="00E51562">
        <w:t>С1 и пункте 2.</w:t>
      </w:r>
      <w:r w:rsidRPr="00BC2130">
        <w:rPr>
          <w:strike/>
        </w:rPr>
        <w:t>27</w:t>
      </w:r>
      <w:r w:rsidRPr="00E51562">
        <w:rPr>
          <w:b/>
          <w:bCs/>
        </w:rPr>
        <w:t>30</w:t>
      </w:r>
      <w:r w:rsidRPr="00E51562">
        <w:t xml:space="preserve"> Правил № 54 для шин класса С2». </w:t>
      </w:r>
    </w:p>
    <w:p w:rsidR="00E51562" w:rsidRPr="00E51562" w:rsidRDefault="00E51562" w:rsidP="00E51562">
      <w:pPr>
        <w:pStyle w:val="SingleTxtGR"/>
      </w:pPr>
      <w:r w:rsidRPr="00E51562">
        <w:rPr>
          <w:i/>
          <w:iCs/>
        </w:rPr>
        <w:t>Пункт 5.2.2.2.1</w:t>
      </w:r>
      <w:r w:rsidRPr="00E51562">
        <w:t xml:space="preserve"> изменить следующим образом:</w:t>
      </w:r>
    </w:p>
    <w:p w:rsidR="00E51562" w:rsidRPr="00E51562" w:rsidRDefault="00E51562" w:rsidP="00E51562">
      <w:pPr>
        <w:pStyle w:val="SingleTxtGR"/>
        <w:ind w:left="2268" w:hanging="1134"/>
      </w:pPr>
      <w:r w:rsidRPr="00E51562">
        <w:t>«5.2.2.2.1</w:t>
      </w:r>
      <w:r w:rsidRPr="00E51562">
        <w:tab/>
        <w:t xml:space="preserve">В случае шин класса С1 в расчет принимается </w:t>
      </w:r>
      <w:r w:rsidR="00B62A7A" w:rsidRPr="00E51562">
        <w:t>"</w:t>
      </w:r>
      <w:r w:rsidRPr="00E51562">
        <w:t>показатель макс</w:t>
      </w:r>
      <w:r w:rsidRPr="00E51562">
        <w:t>и</w:t>
      </w:r>
      <w:r w:rsidRPr="00E51562">
        <w:t>мальной нагрузки</w:t>
      </w:r>
      <w:r w:rsidR="00B62A7A" w:rsidRPr="00E51562">
        <w:t>"</w:t>
      </w:r>
      <w:r w:rsidRPr="00E51562">
        <w:t xml:space="preserve"> в соответствии с пунктом 2.</w:t>
      </w:r>
      <w:r w:rsidRPr="00FB5F92">
        <w:rPr>
          <w:strike/>
        </w:rPr>
        <w:t>34</w:t>
      </w:r>
      <w:r w:rsidRPr="00E51562">
        <w:rPr>
          <w:b/>
          <w:bCs/>
        </w:rPr>
        <w:t>37</w:t>
      </w:r>
      <w:r w:rsidRPr="00E51562">
        <w:t xml:space="preserve"> Правил № 30». </w:t>
      </w:r>
    </w:p>
    <w:p w:rsidR="00E51562" w:rsidRPr="00E51562" w:rsidRDefault="00E51562" w:rsidP="00E51562">
      <w:pPr>
        <w:pStyle w:val="SingleTxtGR"/>
      </w:pPr>
      <w:r w:rsidRPr="00E51562">
        <w:rPr>
          <w:i/>
          <w:iCs/>
        </w:rPr>
        <w:t>Пункт 5.2</w:t>
      </w:r>
      <w:r w:rsidRPr="00E51562">
        <w:t>.</w:t>
      </w:r>
      <w:r w:rsidRPr="00E51562">
        <w:rPr>
          <w:i/>
          <w:iCs/>
        </w:rPr>
        <w:t>2.2.2</w:t>
      </w:r>
      <w:r w:rsidRPr="00E51562">
        <w:t xml:space="preserve"> изменить следующим образом:</w:t>
      </w:r>
    </w:p>
    <w:p w:rsidR="00E51562" w:rsidRPr="00E51562" w:rsidRDefault="00E51562" w:rsidP="00E51562">
      <w:pPr>
        <w:pStyle w:val="SingleTxtGR"/>
        <w:ind w:left="2268" w:hanging="1134"/>
      </w:pPr>
      <w:r w:rsidRPr="00E51562">
        <w:t>«5.2.2.2.2</w:t>
      </w:r>
      <w:r w:rsidRPr="00E51562">
        <w:tab/>
        <w:t xml:space="preserve">В случае шин класса С2 применяется </w:t>
      </w:r>
      <w:r w:rsidR="00E32B14" w:rsidRPr="00E51562">
        <w:t>"</w:t>
      </w:r>
      <w:r w:rsidRPr="00E51562">
        <w:t>таблица изменения нагрузки в зависимости от скорости</w:t>
      </w:r>
      <w:r w:rsidR="00E32B14" w:rsidRPr="00E51562">
        <w:t>"</w:t>
      </w:r>
      <w:r w:rsidRPr="00E51562">
        <w:t>, приведенная в пункте 2.</w:t>
      </w:r>
      <w:r w:rsidRPr="00FB5F92">
        <w:rPr>
          <w:strike/>
        </w:rPr>
        <w:t>29</w:t>
      </w:r>
      <w:r w:rsidRPr="00E51562">
        <w:rPr>
          <w:b/>
          <w:bCs/>
        </w:rPr>
        <w:t>32</w:t>
      </w:r>
      <w:r w:rsidRPr="00E51562">
        <w:t xml:space="preserve"> Пр</w:t>
      </w:r>
      <w:r w:rsidRPr="00E51562">
        <w:t>а</w:t>
      </w:r>
      <w:r w:rsidRPr="00E51562">
        <w:t>вил</w:t>
      </w:r>
      <w:r w:rsidR="00FB5F92">
        <w:rPr>
          <w:lang w:val="en-US"/>
        </w:rPr>
        <w:t> </w:t>
      </w:r>
      <w:r w:rsidRPr="00E51562">
        <w:t>№ 54 и демонстрирующая − в зависимости от индексов нес</w:t>
      </w:r>
      <w:r w:rsidRPr="00E51562">
        <w:t>у</w:t>
      </w:r>
      <w:r w:rsidRPr="00E51562">
        <w:t>щей способности и обозначений</w:t>
      </w:r>
      <w:r w:rsidR="00AE1740">
        <w:t xml:space="preserve"> категорий номинальной скор</w:t>
      </w:r>
      <w:r w:rsidR="00AE1740">
        <w:t>о</w:t>
      </w:r>
      <w:r w:rsidR="00AE1740">
        <w:t>сти</w:t>
      </w:r>
      <w:r w:rsidR="00AE1740">
        <w:rPr>
          <w:lang w:val="en-US"/>
        </w:rPr>
        <w:t> </w:t>
      </w:r>
      <w:r w:rsidR="0070182E" w:rsidRPr="00F67801">
        <w:t>–</w:t>
      </w:r>
      <w:r w:rsidRPr="00E51562">
        <w:t xml:space="preserve"> изменение нагрузки, которую может выдерживать шина с учетом максимальной расчетной скорости транспортного сре</w:t>
      </w:r>
      <w:r w:rsidRPr="00E51562">
        <w:t>д</w:t>
      </w:r>
      <w:r w:rsidRPr="00E51562">
        <w:t xml:space="preserve">ства». </w:t>
      </w:r>
    </w:p>
    <w:p w:rsidR="00E51562" w:rsidRPr="00E51562" w:rsidRDefault="00E51562" w:rsidP="00E51562">
      <w:pPr>
        <w:pStyle w:val="SingleTxtGR"/>
      </w:pPr>
      <w:r w:rsidRPr="00E51562">
        <w:rPr>
          <w:i/>
          <w:iCs/>
        </w:rPr>
        <w:t>Пункт 5.2</w:t>
      </w:r>
      <w:r w:rsidRPr="00E51562">
        <w:t>.</w:t>
      </w:r>
      <w:r w:rsidRPr="00E51562">
        <w:rPr>
          <w:i/>
          <w:iCs/>
        </w:rPr>
        <w:t>3.1.2</w:t>
      </w:r>
      <w:r w:rsidRPr="00E51562">
        <w:t xml:space="preserve"> изменить следующим образом:</w:t>
      </w:r>
    </w:p>
    <w:p w:rsidR="00E51562" w:rsidRPr="00E51562" w:rsidRDefault="00E51562" w:rsidP="00E51562">
      <w:pPr>
        <w:pStyle w:val="SingleTxtGR"/>
        <w:ind w:left="2268" w:hanging="1134"/>
      </w:pPr>
      <w:r w:rsidRPr="00E51562">
        <w:t>«5.2.3.1.2</w:t>
      </w:r>
      <w:r w:rsidRPr="00E51562">
        <w:tab/>
        <w:t xml:space="preserve">В случае шины класса С2 обозначение категории скорости должно соответствовать максимальной расчетной скорости транспортного средства и применимому сочетанию нагрузки/скорости, указанному в </w:t>
      </w:r>
      <w:r w:rsidR="00E32B14" w:rsidRPr="00E51562">
        <w:t>"</w:t>
      </w:r>
      <w:r w:rsidRPr="00E51562">
        <w:t>таблице изменения нагрузки в зависимости от скорости</w:t>
      </w:r>
      <w:r w:rsidR="00E32B14" w:rsidRPr="00E51562">
        <w:t>"</w:t>
      </w:r>
      <w:r w:rsidRPr="00E51562">
        <w:t>, соде</w:t>
      </w:r>
      <w:r w:rsidRPr="00E51562">
        <w:t>р</w:t>
      </w:r>
      <w:r w:rsidRPr="00E51562">
        <w:t>жащейся в пункте 2.</w:t>
      </w:r>
      <w:r w:rsidRPr="00B62A7A">
        <w:rPr>
          <w:strike/>
        </w:rPr>
        <w:t>29</w:t>
      </w:r>
      <w:r w:rsidRPr="00E51562">
        <w:rPr>
          <w:b/>
          <w:bCs/>
        </w:rPr>
        <w:t>32</w:t>
      </w:r>
      <w:r w:rsidRPr="00E51562">
        <w:t xml:space="preserve"> Правил № 54». </w:t>
      </w:r>
    </w:p>
    <w:p w:rsidR="00E51562" w:rsidRPr="00E51562" w:rsidRDefault="00911DE1" w:rsidP="00911DE1">
      <w:pPr>
        <w:pStyle w:val="HChGR"/>
      </w:pPr>
      <w:r w:rsidRPr="00E32B14">
        <w:tab/>
      </w:r>
      <w:r w:rsidR="00E51562" w:rsidRPr="00E51562">
        <w:t>II.</w:t>
      </w:r>
      <w:r w:rsidR="00E51562" w:rsidRPr="00E51562">
        <w:tab/>
        <w:t>Обоснование</w:t>
      </w:r>
    </w:p>
    <w:p w:rsidR="00E12C5F" w:rsidRPr="00B62A7A" w:rsidRDefault="00E51562" w:rsidP="00E51562">
      <w:pPr>
        <w:pStyle w:val="SingleTxtGR"/>
      </w:pPr>
      <w:r w:rsidRPr="00E51562">
        <w:tab/>
        <w:t>Предложение направлено на исправление ссылок на пункты в прав</w:t>
      </w:r>
      <w:r w:rsidRPr="00E51562">
        <w:t>и</w:t>
      </w:r>
      <w:r w:rsidRPr="00E51562">
        <w:t>лах</w:t>
      </w:r>
      <w:r w:rsidR="00B62A7A">
        <w:rPr>
          <w:lang w:val="en-US"/>
        </w:rPr>
        <w:t> </w:t>
      </w:r>
      <w:r w:rsidRPr="00E51562">
        <w:t>№ 30 и 54, которые необходимо обновить после изменения нумерации в этих правилах.</w:t>
      </w:r>
    </w:p>
    <w:p w:rsidR="00E51562" w:rsidRPr="00B62A7A" w:rsidRDefault="00E51562" w:rsidP="00E51562">
      <w:pPr>
        <w:pStyle w:val="SingleTxtGR"/>
        <w:spacing w:before="240" w:after="0"/>
        <w:jc w:val="center"/>
        <w:rPr>
          <w:u w:val="single"/>
        </w:rPr>
      </w:pPr>
      <w:r w:rsidRPr="00B62A7A">
        <w:rPr>
          <w:u w:val="single"/>
        </w:rPr>
        <w:tab/>
      </w:r>
      <w:r w:rsidRPr="00B62A7A">
        <w:rPr>
          <w:u w:val="single"/>
        </w:rPr>
        <w:tab/>
      </w:r>
      <w:r w:rsidRPr="00B62A7A">
        <w:rPr>
          <w:u w:val="single"/>
        </w:rPr>
        <w:tab/>
      </w:r>
    </w:p>
    <w:sectPr w:rsidR="00E51562" w:rsidRPr="00B62A7A" w:rsidSect="00E51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C3" w:rsidRPr="00A312BC" w:rsidRDefault="00C155C3" w:rsidP="00A312BC"/>
  </w:endnote>
  <w:endnote w:type="continuationSeparator" w:id="0">
    <w:p w:rsidR="00C155C3" w:rsidRPr="00A312BC" w:rsidRDefault="00C155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62" w:rsidRPr="00E51562" w:rsidRDefault="00E51562">
    <w:pPr>
      <w:pStyle w:val="Footer"/>
    </w:pPr>
    <w:r w:rsidRPr="00E51562">
      <w:rPr>
        <w:b/>
        <w:sz w:val="18"/>
      </w:rPr>
      <w:fldChar w:fldCharType="begin"/>
    </w:r>
    <w:r w:rsidRPr="00E51562">
      <w:rPr>
        <w:b/>
        <w:sz w:val="18"/>
      </w:rPr>
      <w:instrText xml:space="preserve"> PAGE  \* MERGEFORMAT </w:instrText>
    </w:r>
    <w:r w:rsidRPr="00E51562">
      <w:rPr>
        <w:b/>
        <w:sz w:val="18"/>
      </w:rPr>
      <w:fldChar w:fldCharType="separate"/>
    </w:r>
    <w:r w:rsidR="00C44FDD">
      <w:rPr>
        <w:b/>
        <w:noProof/>
        <w:sz w:val="18"/>
      </w:rPr>
      <w:t>2</w:t>
    </w:r>
    <w:r w:rsidRPr="00E51562">
      <w:rPr>
        <w:b/>
        <w:sz w:val="18"/>
      </w:rPr>
      <w:fldChar w:fldCharType="end"/>
    </w:r>
    <w:r>
      <w:rPr>
        <w:b/>
        <w:sz w:val="18"/>
      </w:rPr>
      <w:tab/>
    </w:r>
    <w:r>
      <w:t>GE.17-11272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62" w:rsidRPr="00E51562" w:rsidRDefault="00E51562" w:rsidP="00E5156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GE.17-11272</w:t>
    </w:r>
    <w:r>
      <w:tab/>
    </w:r>
    <w:r w:rsidRPr="00E51562">
      <w:rPr>
        <w:b/>
        <w:sz w:val="18"/>
      </w:rPr>
      <w:fldChar w:fldCharType="begin"/>
    </w:r>
    <w:r w:rsidRPr="00E51562">
      <w:rPr>
        <w:b/>
        <w:sz w:val="18"/>
      </w:rPr>
      <w:instrText xml:space="preserve"> PAGE  \* MERGEFORMAT </w:instrText>
    </w:r>
    <w:r w:rsidRPr="00E51562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E515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51562" w:rsidRDefault="00E51562" w:rsidP="00E5156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E473D0" wp14:editId="653BEE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17-11272  (R)</w:t>
    </w:r>
    <w:r>
      <w:rPr>
        <w:lang w:val="en-US"/>
      </w:rPr>
      <w:t xml:space="preserve">  170717  180717</w:t>
    </w:r>
    <w:r>
      <w:br/>
    </w:r>
    <w:r w:rsidRPr="00E51562">
      <w:rPr>
        <w:rFonts w:ascii="C39T30Lfz" w:hAnsi="C39T30Lfz"/>
        <w:spacing w:val="0"/>
        <w:w w:val="100"/>
        <w:sz w:val="56"/>
      </w:rPr>
      <w:t></w:t>
    </w:r>
    <w:r w:rsidRPr="00E51562">
      <w:rPr>
        <w:rFonts w:ascii="C39T30Lfz" w:hAnsi="C39T30Lfz"/>
        <w:spacing w:val="0"/>
        <w:w w:val="100"/>
        <w:sz w:val="56"/>
      </w:rPr>
      <w:t></w:t>
    </w:r>
    <w:r w:rsidRPr="00E51562">
      <w:rPr>
        <w:rFonts w:ascii="C39T30Lfz" w:hAnsi="C39T30Lfz"/>
        <w:spacing w:val="0"/>
        <w:w w:val="100"/>
        <w:sz w:val="56"/>
      </w:rPr>
      <w:t></w:t>
    </w:r>
    <w:r w:rsidRPr="00E51562">
      <w:rPr>
        <w:rFonts w:ascii="C39T30Lfz" w:hAnsi="C39T30Lfz"/>
        <w:spacing w:val="0"/>
        <w:w w:val="100"/>
        <w:sz w:val="56"/>
      </w:rPr>
      <w:t></w:t>
    </w:r>
    <w:r w:rsidRPr="00E51562">
      <w:rPr>
        <w:rFonts w:ascii="C39T30Lfz" w:hAnsi="C39T30Lfz"/>
        <w:spacing w:val="0"/>
        <w:w w:val="100"/>
        <w:sz w:val="56"/>
      </w:rPr>
      <w:t></w:t>
    </w:r>
    <w:r w:rsidRPr="00E51562">
      <w:rPr>
        <w:rFonts w:ascii="C39T30Lfz" w:hAnsi="C39T30Lfz"/>
        <w:spacing w:val="0"/>
        <w:w w:val="100"/>
        <w:sz w:val="56"/>
      </w:rPr>
      <w:t></w:t>
    </w:r>
    <w:r w:rsidRPr="00E51562">
      <w:rPr>
        <w:rFonts w:ascii="C39T30Lfz" w:hAnsi="C39T30Lfz"/>
        <w:spacing w:val="0"/>
        <w:w w:val="100"/>
        <w:sz w:val="56"/>
      </w:rPr>
      <w:t></w:t>
    </w:r>
    <w:r w:rsidRPr="00E51562">
      <w:rPr>
        <w:rFonts w:ascii="C39T30Lfz" w:hAnsi="C39T30Lfz"/>
        <w:spacing w:val="0"/>
        <w:w w:val="100"/>
        <w:sz w:val="56"/>
      </w:rPr>
      <w:t></w:t>
    </w:r>
    <w:r w:rsidRPr="00E5156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RF/2017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C3" w:rsidRPr="001075E9" w:rsidRDefault="00C155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55C3" w:rsidRDefault="00C155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51562" w:rsidRPr="00E51562" w:rsidRDefault="00E51562" w:rsidP="00E51562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51562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62" w:rsidRPr="00E51562" w:rsidRDefault="008D2CAE">
    <w:pPr>
      <w:pStyle w:val="Header"/>
    </w:pPr>
    <w:fldSimple w:instr=" TITLE  \* MERGEFORMAT ">
      <w:r>
        <w:t>ECE/TRANS/WP.29/GRRF/2017/21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62" w:rsidRPr="00E51562" w:rsidRDefault="008D2CAE" w:rsidP="00E51562">
    <w:pPr>
      <w:pStyle w:val="Header"/>
      <w:jc w:val="right"/>
    </w:pPr>
    <w:fldSimple w:instr=" TITLE  \* MERGEFORMAT ">
      <w:r>
        <w:t>ECE/TRANS/WP.29/GRRF/2017/21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62" w:rsidRDefault="00E51562" w:rsidP="00E5156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C3"/>
    <w:rsid w:val="0002198C"/>
    <w:rsid w:val="00033EE1"/>
    <w:rsid w:val="00042B72"/>
    <w:rsid w:val="000558BD"/>
    <w:rsid w:val="000B57E7"/>
    <w:rsid w:val="000B6373"/>
    <w:rsid w:val="000C4F17"/>
    <w:rsid w:val="000E4E5B"/>
    <w:rsid w:val="000F09DF"/>
    <w:rsid w:val="000F60FF"/>
    <w:rsid w:val="000F61B2"/>
    <w:rsid w:val="001075E9"/>
    <w:rsid w:val="0014152F"/>
    <w:rsid w:val="00180183"/>
    <w:rsid w:val="0018024D"/>
    <w:rsid w:val="0018649F"/>
    <w:rsid w:val="0019008D"/>
    <w:rsid w:val="00196389"/>
    <w:rsid w:val="001B3EF6"/>
    <w:rsid w:val="001C7A89"/>
    <w:rsid w:val="00224AE9"/>
    <w:rsid w:val="00235EE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6DF9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574D"/>
    <w:rsid w:val="00517901"/>
    <w:rsid w:val="00526683"/>
    <w:rsid w:val="0055100B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1011"/>
    <w:rsid w:val="00680D03"/>
    <w:rsid w:val="00681A10"/>
    <w:rsid w:val="00684CF3"/>
    <w:rsid w:val="006A1ED8"/>
    <w:rsid w:val="006C2031"/>
    <w:rsid w:val="006D461A"/>
    <w:rsid w:val="006F35EE"/>
    <w:rsid w:val="0070182E"/>
    <w:rsid w:val="007021FF"/>
    <w:rsid w:val="00712895"/>
    <w:rsid w:val="00734ACB"/>
    <w:rsid w:val="00757357"/>
    <w:rsid w:val="00792497"/>
    <w:rsid w:val="00806737"/>
    <w:rsid w:val="0082244C"/>
    <w:rsid w:val="00825F8D"/>
    <w:rsid w:val="00834B71"/>
    <w:rsid w:val="0086445C"/>
    <w:rsid w:val="00894693"/>
    <w:rsid w:val="008A08D7"/>
    <w:rsid w:val="008A37C8"/>
    <w:rsid w:val="008B6909"/>
    <w:rsid w:val="008D2CAE"/>
    <w:rsid w:val="008D53B6"/>
    <w:rsid w:val="008F7609"/>
    <w:rsid w:val="00906890"/>
    <w:rsid w:val="00911BE4"/>
    <w:rsid w:val="00911DE1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AE1740"/>
    <w:rsid w:val="00B10CC7"/>
    <w:rsid w:val="00B31C7F"/>
    <w:rsid w:val="00B36DF7"/>
    <w:rsid w:val="00B539E7"/>
    <w:rsid w:val="00B62458"/>
    <w:rsid w:val="00B62A7A"/>
    <w:rsid w:val="00BC18B2"/>
    <w:rsid w:val="00BC2130"/>
    <w:rsid w:val="00BD33EE"/>
    <w:rsid w:val="00BE1CC7"/>
    <w:rsid w:val="00BF6B9A"/>
    <w:rsid w:val="00C106D6"/>
    <w:rsid w:val="00C119AE"/>
    <w:rsid w:val="00C155C3"/>
    <w:rsid w:val="00C44FDD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B635C"/>
    <w:rsid w:val="00DD78D1"/>
    <w:rsid w:val="00DE32CD"/>
    <w:rsid w:val="00DF5767"/>
    <w:rsid w:val="00DF71B9"/>
    <w:rsid w:val="00E12C5F"/>
    <w:rsid w:val="00E32B14"/>
    <w:rsid w:val="00E5156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801"/>
    <w:rsid w:val="00F94155"/>
    <w:rsid w:val="00F9783F"/>
    <w:rsid w:val="00FB5F9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515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515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ECE/TRANS/WP.29/GRRF/2017/21</vt:lpstr>
      <vt:lpstr>ECE/TRANS/WP.29/GRRF/2017/21</vt:lpstr>
      <vt:lpstr>A/</vt:lpstr>
    </vt:vector>
  </TitlesOfParts>
  <Company>DCM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ECE/TRANS/WP.29/GRRF/2017/21</dc:title>
  <dc:creator>Ovchinnikova Olga</dc:creator>
  <cp:lastModifiedBy>Benedicte Boudol</cp:lastModifiedBy>
  <cp:revision>2</cp:revision>
  <cp:lastPrinted>2017-07-18T10:26:00Z</cp:lastPrinted>
  <dcterms:created xsi:type="dcterms:W3CDTF">2017-08-16T08:22:00Z</dcterms:created>
  <dcterms:modified xsi:type="dcterms:W3CDTF">2017-08-16T08:22:00Z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