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28" w:rsidRDefault="009D1028" w:rsidP="00B83BC2">
      <w:pPr>
        <w:pStyle w:val="HChG"/>
        <w:spacing w:before="0" w:after="0" w:line="240" w:lineRule="auto"/>
        <w:ind w:left="0" w:right="0" w:firstLine="0"/>
        <w:jc w:val="center"/>
        <w:rPr>
          <w:lang w:eastAsia="en-GB"/>
        </w:rPr>
      </w:pPr>
      <w:bookmarkStart w:id="0" w:name="_GoBack"/>
      <w:bookmarkEnd w:id="0"/>
    </w:p>
    <w:p w:rsidR="00B83BC2" w:rsidRDefault="009505A1" w:rsidP="008A5BA9">
      <w:pPr>
        <w:pStyle w:val="HChG"/>
        <w:spacing w:before="0" w:after="0" w:line="240" w:lineRule="auto"/>
        <w:ind w:left="964" w:right="964" w:firstLine="0"/>
        <w:jc w:val="center"/>
        <w:rPr>
          <w:b w:val="0"/>
          <w:sz w:val="20"/>
          <w:lang w:eastAsia="en-GB"/>
        </w:rPr>
      </w:pPr>
      <w:r>
        <w:rPr>
          <w:lang w:eastAsia="en-GB"/>
        </w:rPr>
        <w:t xml:space="preserve">Proposal to amend </w:t>
      </w:r>
      <w:r w:rsidR="00783427">
        <w:rPr>
          <w:lang w:eastAsia="en-GB"/>
        </w:rPr>
        <w:t>WP.29/2017/42, WP.29/2017/43 and WP.29/2017/44</w:t>
      </w:r>
      <w:r w:rsidR="00AB3B48">
        <w:rPr>
          <w:lang w:eastAsia="en-GB"/>
        </w:rPr>
        <w:t xml:space="preserve"> </w:t>
      </w:r>
      <w:r w:rsidR="00BF69CF" w:rsidRPr="00BF69CF">
        <w:rPr>
          <w:lang w:eastAsia="en-GB"/>
        </w:rPr>
        <w:t>on dr</w:t>
      </w:r>
      <w:r w:rsidR="00503AEA">
        <w:rPr>
          <w:lang w:eastAsia="en-GB"/>
        </w:rPr>
        <w:t xml:space="preserve">aft transitional provisions for </w:t>
      </w:r>
      <w:r w:rsidR="00BF69CF" w:rsidRPr="00BF69CF">
        <w:rPr>
          <w:lang w:eastAsia="en-GB"/>
        </w:rPr>
        <w:t>U</w:t>
      </w:r>
      <w:r w:rsidR="005440D6">
        <w:rPr>
          <w:lang w:eastAsia="en-GB"/>
        </w:rPr>
        <w:t xml:space="preserve">N Regulations Nos. 83 and </w:t>
      </w:r>
      <w:r w:rsidR="00BF69CF" w:rsidRPr="00BF69CF">
        <w:rPr>
          <w:lang w:eastAsia="en-GB"/>
        </w:rPr>
        <w:t>101 following the transposition of</w:t>
      </w:r>
      <w:r w:rsidR="00B83BC2">
        <w:rPr>
          <w:lang w:eastAsia="en-GB"/>
        </w:rPr>
        <w:t xml:space="preserve"> GTR No. 15 into 1958 </w:t>
      </w:r>
      <w:r w:rsidR="003E3D97">
        <w:rPr>
          <w:lang w:eastAsia="en-GB"/>
        </w:rPr>
        <w:t>A</w:t>
      </w:r>
      <w:r w:rsidR="00B83BC2">
        <w:rPr>
          <w:lang w:eastAsia="en-GB"/>
        </w:rPr>
        <w:t>greement</w:t>
      </w:r>
    </w:p>
    <w:p w:rsidR="00B83BC2" w:rsidRDefault="00B83BC2" w:rsidP="00B83BC2">
      <w:pPr>
        <w:pStyle w:val="HChG"/>
        <w:spacing w:before="0" w:after="0" w:line="240" w:lineRule="auto"/>
        <w:ind w:left="0" w:right="0" w:firstLine="0"/>
        <w:jc w:val="both"/>
        <w:rPr>
          <w:b w:val="0"/>
          <w:sz w:val="20"/>
          <w:lang w:eastAsia="en-GB"/>
        </w:rPr>
      </w:pPr>
    </w:p>
    <w:p w:rsidR="00B83BC2" w:rsidRPr="00FC3ECF" w:rsidRDefault="004144ED" w:rsidP="00B83BC2">
      <w:pPr>
        <w:pStyle w:val="HChG"/>
        <w:spacing w:before="0" w:after="0" w:line="240" w:lineRule="auto"/>
        <w:ind w:left="0" w:right="0" w:firstLine="0"/>
        <w:jc w:val="both"/>
        <w:rPr>
          <w:b w:val="0"/>
          <w:sz w:val="20"/>
          <w:lang w:eastAsia="en-GB"/>
        </w:rPr>
      </w:pPr>
      <w:r>
        <w:rPr>
          <w:b w:val="0"/>
          <w:sz w:val="20"/>
          <w:lang w:eastAsia="en-GB"/>
        </w:rPr>
        <w:t xml:space="preserve">Working documents WP.29/2017/42, WP.29/2017/43 and WP.29/2017/44 will be presented at next WP.29 session in </w:t>
      </w:r>
      <w:r w:rsidR="00FE248B">
        <w:rPr>
          <w:b w:val="0"/>
          <w:sz w:val="20"/>
          <w:lang w:eastAsia="en-GB"/>
        </w:rPr>
        <w:t>March 2017</w:t>
      </w:r>
      <w:r>
        <w:rPr>
          <w:b w:val="0"/>
          <w:sz w:val="20"/>
          <w:lang w:eastAsia="en-GB"/>
        </w:rPr>
        <w:t xml:space="preserve"> to introduce new transitional </w:t>
      </w:r>
      <w:r w:rsidR="00BE5F73">
        <w:rPr>
          <w:b w:val="0"/>
          <w:sz w:val="20"/>
          <w:lang w:eastAsia="en-GB"/>
        </w:rPr>
        <w:t>provisions in Regulations No. 83 and 101.</w:t>
      </w:r>
      <w:r w:rsidR="00FC3ECF">
        <w:rPr>
          <w:b w:val="0"/>
          <w:sz w:val="20"/>
          <w:lang w:eastAsia="en-GB"/>
        </w:rPr>
        <w:t xml:space="preserve"> </w:t>
      </w:r>
      <w:r>
        <w:rPr>
          <w:b w:val="0"/>
          <w:sz w:val="20"/>
          <w:lang w:eastAsia="en-GB"/>
        </w:rPr>
        <w:t>Since the opinion of GRPE-74 on these documents is requ</w:t>
      </w:r>
      <w:r w:rsidR="001A7437">
        <w:rPr>
          <w:b w:val="0"/>
          <w:sz w:val="20"/>
          <w:lang w:eastAsia="en-GB"/>
        </w:rPr>
        <w:t>ired, OICA would like to propose further modifications</w:t>
      </w:r>
      <w:r>
        <w:rPr>
          <w:b w:val="0"/>
          <w:sz w:val="20"/>
          <w:lang w:eastAsia="en-GB"/>
        </w:rPr>
        <w:t xml:space="preserve">. </w:t>
      </w:r>
      <w:r w:rsidR="00AA3C17" w:rsidRPr="00AA3C17">
        <w:rPr>
          <w:b w:val="0"/>
          <w:sz w:val="20"/>
          <w:lang w:eastAsia="en-GB"/>
        </w:rPr>
        <w:t>The modif</w:t>
      </w:r>
      <w:r w:rsidR="00697763">
        <w:rPr>
          <w:b w:val="0"/>
          <w:sz w:val="20"/>
          <w:lang w:eastAsia="en-GB"/>
        </w:rPr>
        <w:t>ications to</w:t>
      </w:r>
      <w:r w:rsidR="00057301">
        <w:rPr>
          <w:b w:val="0"/>
          <w:sz w:val="20"/>
          <w:lang w:eastAsia="en-GB"/>
        </w:rPr>
        <w:t xml:space="preserve"> </w:t>
      </w:r>
      <w:r w:rsidR="00E87B21">
        <w:rPr>
          <w:b w:val="0"/>
          <w:sz w:val="20"/>
          <w:lang w:eastAsia="en-GB"/>
        </w:rPr>
        <w:t xml:space="preserve">the </w:t>
      </w:r>
      <w:r w:rsidR="00057301">
        <w:rPr>
          <w:b w:val="0"/>
          <w:sz w:val="20"/>
          <w:lang w:eastAsia="en-GB"/>
        </w:rPr>
        <w:t xml:space="preserve">text </w:t>
      </w:r>
      <w:r w:rsidR="00A942DA">
        <w:rPr>
          <w:b w:val="0"/>
          <w:sz w:val="20"/>
          <w:lang w:eastAsia="en-GB"/>
        </w:rPr>
        <w:t>of the working documents</w:t>
      </w:r>
      <w:r w:rsidR="00BF69CF">
        <w:rPr>
          <w:b w:val="0"/>
          <w:sz w:val="20"/>
          <w:lang w:eastAsia="en-GB"/>
        </w:rPr>
        <w:t xml:space="preserve"> </w:t>
      </w:r>
      <w:r w:rsidR="00057301">
        <w:rPr>
          <w:b w:val="0"/>
          <w:sz w:val="20"/>
          <w:lang w:eastAsia="en-GB"/>
        </w:rPr>
        <w:t xml:space="preserve">are </w:t>
      </w:r>
      <w:r w:rsidR="00057301" w:rsidRPr="00057301">
        <w:rPr>
          <w:b w:val="0"/>
          <w:sz w:val="20"/>
          <w:lang w:eastAsia="en-GB"/>
        </w:rPr>
        <w:t>marked</w:t>
      </w:r>
      <w:r w:rsidR="00D7671A" w:rsidRPr="00057301">
        <w:rPr>
          <w:b w:val="0"/>
          <w:sz w:val="20"/>
          <w:lang w:eastAsia="en-GB"/>
        </w:rPr>
        <w:t xml:space="preserve"> </w:t>
      </w:r>
      <w:r w:rsidR="006D5270">
        <w:rPr>
          <w:b w:val="0"/>
          <w:sz w:val="20"/>
          <w:lang w:eastAsia="en-GB"/>
        </w:rPr>
        <w:t>in</w:t>
      </w:r>
      <w:r w:rsidR="00057301" w:rsidRPr="00057301">
        <w:rPr>
          <w:b w:val="0"/>
          <w:sz w:val="20"/>
          <w:lang w:eastAsia="en-GB"/>
        </w:rPr>
        <w:t xml:space="preserve"> bold or strikethrough</w:t>
      </w:r>
      <w:r w:rsidR="00B83BC2">
        <w:rPr>
          <w:b w:val="0"/>
          <w:sz w:val="20"/>
          <w:lang w:eastAsia="en-GB"/>
        </w:rPr>
        <w:t xml:space="preserve"> </w:t>
      </w:r>
      <w:r w:rsidR="00057301" w:rsidRPr="00057301">
        <w:rPr>
          <w:b w:val="0"/>
          <w:sz w:val="20"/>
          <w:lang w:eastAsia="en-GB"/>
        </w:rPr>
        <w:t>characters.</w:t>
      </w:r>
    </w:p>
    <w:p w:rsidR="009D1028" w:rsidRDefault="009D1028" w:rsidP="009D1028">
      <w:pPr>
        <w:rPr>
          <w:lang w:eastAsia="en-GB"/>
        </w:rPr>
      </w:pPr>
    </w:p>
    <w:p w:rsidR="00532BE8" w:rsidRPr="009D1028" w:rsidRDefault="00532BE8" w:rsidP="009D1028">
      <w:pPr>
        <w:rPr>
          <w:lang w:eastAsia="en-GB"/>
        </w:rPr>
      </w:pPr>
    </w:p>
    <w:p w:rsidR="00394A93" w:rsidRDefault="005D3742" w:rsidP="00B83BC2">
      <w:pPr>
        <w:pStyle w:val="HChG"/>
        <w:numPr>
          <w:ilvl w:val="0"/>
          <w:numId w:val="3"/>
        </w:numPr>
        <w:spacing w:before="0" w:after="0" w:line="240" w:lineRule="auto"/>
        <w:ind w:right="0"/>
        <w:jc w:val="both"/>
        <w:rPr>
          <w:lang w:eastAsia="en-GB"/>
        </w:rPr>
      </w:pPr>
      <w:r>
        <w:rPr>
          <w:lang w:eastAsia="en-GB"/>
        </w:rPr>
        <w:t>Proposals</w:t>
      </w:r>
    </w:p>
    <w:p w:rsidR="00B83BC2" w:rsidRPr="00B83BC2" w:rsidRDefault="00B83BC2" w:rsidP="00B83BC2">
      <w:pPr>
        <w:rPr>
          <w:lang w:eastAsia="en-GB"/>
        </w:rPr>
      </w:pPr>
    </w:p>
    <w:p w:rsidR="009E3510" w:rsidRDefault="003A3146" w:rsidP="00B83BC2">
      <w:pPr>
        <w:pStyle w:val="H1G"/>
        <w:numPr>
          <w:ilvl w:val="0"/>
          <w:numId w:val="4"/>
        </w:numPr>
        <w:spacing w:before="0" w:after="0" w:line="240" w:lineRule="auto"/>
        <w:ind w:right="0"/>
        <w:rPr>
          <w:lang w:eastAsia="en-GB"/>
        </w:rPr>
      </w:pPr>
      <w:r w:rsidRPr="003A3146">
        <w:rPr>
          <w:lang w:eastAsia="en-GB"/>
        </w:rPr>
        <w:t xml:space="preserve">Supplement 9 to the 06 series of amendments to Regulation </w:t>
      </w:r>
      <w:r w:rsidR="00B83BC2">
        <w:rPr>
          <w:lang w:eastAsia="en-GB"/>
        </w:rPr>
        <w:t>No. 83</w:t>
      </w:r>
    </w:p>
    <w:p w:rsidR="00B83BC2" w:rsidRPr="00B83BC2" w:rsidRDefault="00B83BC2" w:rsidP="00B83BC2">
      <w:pPr>
        <w:rPr>
          <w:lang w:eastAsia="en-GB"/>
        </w:rPr>
      </w:pPr>
    </w:p>
    <w:p w:rsidR="009E3510" w:rsidRDefault="00284047" w:rsidP="0049356B">
      <w:pPr>
        <w:pStyle w:val="SingleTxtG"/>
        <w:spacing w:after="0" w:line="240" w:lineRule="auto"/>
        <w:ind w:left="0" w:right="0" w:firstLine="720"/>
        <w:rPr>
          <w:lang w:eastAsia="en-GB"/>
        </w:rPr>
      </w:pPr>
      <w:r w:rsidRPr="001C1B5E">
        <w:rPr>
          <w:i/>
          <w:lang w:eastAsia="en-GB"/>
        </w:rPr>
        <w:t>Insert a new paragraph 12.1</w:t>
      </w:r>
      <w:r w:rsidR="009E3510" w:rsidRPr="001C1B5E">
        <w:rPr>
          <w:i/>
          <w:lang w:eastAsia="en-GB"/>
        </w:rPr>
        <w:t>.</w:t>
      </w:r>
      <w:r w:rsidR="006E3560" w:rsidRPr="001C1B5E">
        <w:rPr>
          <w:i/>
          <w:lang w:eastAsia="en-GB"/>
        </w:rPr>
        <w:t>3</w:t>
      </w:r>
      <w:r>
        <w:rPr>
          <w:lang w:eastAsia="en-GB"/>
        </w:rPr>
        <w:t>.</w:t>
      </w:r>
      <w:r w:rsidR="009E3510">
        <w:rPr>
          <w:lang w:eastAsia="en-GB"/>
        </w:rPr>
        <w:t>, to read:</w:t>
      </w:r>
    </w:p>
    <w:p w:rsidR="00D556F4" w:rsidRDefault="00D556F4" w:rsidP="00D556F4">
      <w:pPr>
        <w:pStyle w:val="SingleTxtG"/>
        <w:spacing w:after="0" w:line="240" w:lineRule="auto"/>
        <w:ind w:left="1440" w:right="0" w:hanging="1080"/>
        <w:rPr>
          <w:lang w:eastAsia="en-GB"/>
        </w:rPr>
      </w:pPr>
    </w:p>
    <w:p w:rsidR="004607BB" w:rsidRDefault="00846F6A" w:rsidP="007065FA">
      <w:pPr>
        <w:pStyle w:val="SingleTxtG"/>
        <w:spacing w:after="0" w:line="240" w:lineRule="auto"/>
        <w:ind w:left="2160" w:right="0" w:hanging="1440"/>
        <w:rPr>
          <w:lang w:eastAsia="en-GB"/>
        </w:rPr>
      </w:pPr>
      <w:proofErr w:type="gramStart"/>
      <w:r>
        <w:rPr>
          <w:lang w:eastAsia="en-GB"/>
        </w:rPr>
        <w:t>"12.1.3.</w:t>
      </w:r>
      <w:r>
        <w:rPr>
          <w:lang w:eastAsia="en-GB"/>
        </w:rPr>
        <w:tab/>
      </w:r>
      <w:r w:rsidR="00E22599" w:rsidRPr="00E22599">
        <w:rPr>
          <w:lang w:eastAsia="en-GB"/>
        </w:rPr>
        <w:t xml:space="preserve">As from the official date of entry into force of Supplement 9 to the 06 series of amendments to Regulation No. 83, </w:t>
      </w:r>
      <w:r w:rsidR="00E22599" w:rsidRPr="004A18AA">
        <w:rPr>
          <w:strike/>
          <w:lang w:eastAsia="en-GB"/>
        </w:rPr>
        <w:t>and by way of derogation to the obligations of Contracting Parties during the transitional period set out in paragraphs 12.1.1.</w:t>
      </w:r>
      <w:proofErr w:type="gramEnd"/>
      <w:r w:rsidR="00E22599" w:rsidRPr="004A18AA">
        <w:rPr>
          <w:strike/>
          <w:lang w:eastAsia="en-GB"/>
        </w:rPr>
        <w:t xml:space="preserve"> </w:t>
      </w:r>
      <w:proofErr w:type="gramStart"/>
      <w:r w:rsidR="00E22599" w:rsidRPr="004A18AA">
        <w:rPr>
          <w:strike/>
          <w:lang w:eastAsia="en-GB"/>
        </w:rPr>
        <w:t>and</w:t>
      </w:r>
      <w:proofErr w:type="gramEnd"/>
      <w:r w:rsidR="00E22599" w:rsidRPr="004A18AA">
        <w:rPr>
          <w:strike/>
          <w:lang w:eastAsia="en-GB"/>
        </w:rPr>
        <w:t xml:space="preserve"> 12.1.2. </w:t>
      </w:r>
      <w:proofErr w:type="gramStart"/>
      <w:r w:rsidR="00E22599" w:rsidRPr="004A18AA">
        <w:rPr>
          <w:strike/>
          <w:lang w:eastAsia="en-GB"/>
        </w:rPr>
        <w:t>above</w:t>
      </w:r>
      <w:proofErr w:type="gramEnd"/>
      <w:r w:rsidR="00E22599" w:rsidRPr="004A18AA">
        <w:rPr>
          <w:strike/>
          <w:lang w:eastAsia="en-GB"/>
        </w:rPr>
        <w:t>,</w:t>
      </w:r>
      <w:r w:rsidR="00E22599" w:rsidRPr="00E22599">
        <w:rPr>
          <w:lang w:eastAsia="en-GB"/>
        </w:rPr>
        <w:t xml:space="preserve"> the Contracting Parties applying this Regulation and also applying in their national/regional territory the provisions on the Worldwide Harmonized Light Vehicle Test Procedure (WLTP) set out in global technical regulation No. 15 may </w:t>
      </w:r>
      <w:r w:rsidR="00E22599" w:rsidRPr="00EC0EEA">
        <w:rPr>
          <w:strike/>
          <w:lang w:eastAsia="en-GB"/>
        </w:rPr>
        <w:t>no longer accept</w:t>
      </w:r>
      <w:r w:rsidR="00EC0EEA">
        <w:rPr>
          <w:lang w:eastAsia="en-GB"/>
        </w:rPr>
        <w:t xml:space="preserve"> </w:t>
      </w:r>
      <w:r w:rsidR="00EC0EEA" w:rsidRPr="00EC0EEA">
        <w:rPr>
          <w:b/>
          <w:lang w:eastAsia="en-GB"/>
        </w:rPr>
        <w:t>refuse</w:t>
      </w:r>
      <w:r w:rsidR="00E22599" w:rsidRPr="00E22599">
        <w:rPr>
          <w:lang w:eastAsia="en-GB"/>
        </w:rPr>
        <w:t xml:space="preserve"> type approvals granted on the basis of this Regulation as an alternative to compliance with their national/regional legislation.</w:t>
      </w:r>
    </w:p>
    <w:p w:rsidR="00846F6A" w:rsidRPr="00A964C8" w:rsidRDefault="004607BB" w:rsidP="007065FA">
      <w:pPr>
        <w:pStyle w:val="SingleTxtG"/>
        <w:spacing w:after="0" w:line="240" w:lineRule="auto"/>
        <w:ind w:left="2160" w:right="0"/>
        <w:rPr>
          <w:lang w:eastAsia="en-GB"/>
        </w:rPr>
      </w:pPr>
      <w:r w:rsidRPr="004607BB">
        <w:rPr>
          <w:b/>
        </w:rPr>
        <w:t>The provisions of this paragraph are limited until the requirements under the 1958 Agreement have been adapted to include WLTP</w:t>
      </w:r>
      <w:r>
        <w:t>.</w:t>
      </w:r>
      <w:r w:rsidR="00E22599" w:rsidRPr="00E22599">
        <w:rPr>
          <w:lang w:eastAsia="en-GB"/>
        </w:rPr>
        <w:t>"</w:t>
      </w:r>
    </w:p>
    <w:p w:rsidR="00B83BC2" w:rsidRPr="00A964C8" w:rsidRDefault="001C1B5E" w:rsidP="007065FA">
      <w:pPr>
        <w:pStyle w:val="H1G"/>
        <w:spacing w:before="0" w:after="0" w:line="240" w:lineRule="auto"/>
        <w:ind w:left="0" w:right="0" w:firstLine="0"/>
        <w:jc w:val="both"/>
        <w:rPr>
          <w:lang w:eastAsia="en-GB"/>
        </w:rPr>
      </w:pPr>
      <w:r w:rsidRPr="00A964C8">
        <w:rPr>
          <w:lang w:eastAsia="en-GB"/>
        </w:rPr>
        <w:tab/>
      </w:r>
    </w:p>
    <w:p w:rsidR="003A3146" w:rsidRPr="00A964C8" w:rsidRDefault="003A3146" w:rsidP="00B83BC2">
      <w:pPr>
        <w:pStyle w:val="H1G"/>
        <w:numPr>
          <w:ilvl w:val="0"/>
          <w:numId w:val="4"/>
        </w:numPr>
        <w:spacing w:before="0" w:after="0" w:line="240" w:lineRule="auto"/>
        <w:ind w:right="0"/>
        <w:jc w:val="both"/>
        <w:rPr>
          <w:lang w:eastAsia="en-GB"/>
        </w:rPr>
      </w:pPr>
      <w:r w:rsidRPr="00A964C8">
        <w:rPr>
          <w:lang w:eastAsia="en-GB"/>
        </w:rPr>
        <w:t xml:space="preserve">Supplement 5 to the 07 series of amendments to Regulation </w:t>
      </w:r>
      <w:r w:rsidR="00B83BC2" w:rsidRPr="00A964C8">
        <w:rPr>
          <w:lang w:eastAsia="en-GB"/>
        </w:rPr>
        <w:t xml:space="preserve"> </w:t>
      </w:r>
      <w:r w:rsidRPr="00A964C8">
        <w:rPr>
          <w:lang w:eastAsia="en-GB"/>
        </w:rPr>
        <w:t>N</w:t>
      </w:r>
      <w:r w:rsidR="00B83BC2" w:rsidRPr="00A964C8">
        <w:rPr>
          <w:lang w:eastAsia="en-GB"/>
        </w:rPr>
        <w:t>o. 83</w:t>
      </w:r>
    </w:p>
    <w:p w:rsidR="00C16B9A" w:rsidRPr="00A964C8" w:rsidRDefault="00C16B9A" w:rsidP="00B83BC2">
      <w:pPr>
        <w:pStyle w:val="SingleTxtG"/>
        <w:spacing w:after="0" w:line="240" w:lineRule="auto"/>
        <w:ind w:left="0" w:right="0"/>
        <w:rPr>
          <w:i/>
          <w:lang w:eastAsia="en-GB"/>
        </w:rPr>
      </w:pPr>
    </w:p>
    <w:p w:rsidR="003A3146" w:rsidRPr="00A964C8" w:rsidRDefault="00B42D39" w:rsidP="0049356B">
      <w:pPr>
        <w:pStyle w:val="SingleTxtG"/>
        <w:spacing w:after="0" w:line="240" w:lineRule="auto"/>
        <w:ind w:left="0" w:right="0" w:firstLine="720"/>
        <w:rPr>
          <w:lang w:eastAsia="en-GB"/>
        </w:rPr>
      </w:pPr>
      <w:r w:rsidRPr="00A964C8">
        <w:rPr>
          <w:i/>
          <w:lang w:eastAsia="en-GB"/>
        </w:rPr>
        <w:t>Insert a new paragraph 12.1</w:t>
      </w:r>
      <w:r w:rsidR="003A3146" w:rsidRPr="00A964C8">
        <w:rPr>
          <w:i/>
          <w:lang w:eastAsia="en-GB"/>
        </w:rPr>
        <w:t>.</w:t>
      </w:r>
      <w:r w:rsidRPr="00A964C8">
        <w:rPr>
          <w:i/>
          <w:lang w:eastAsia="en-GB"/>
        </w:rPr>
        <w:t>2.</w:t>
      </w:r>
      <w:r w:rsidR="003A3146" w:rsidRPr="00A964C8">
        <w:rPr>
          <w:i/>
          <w:lang w:eastAsia="en-GB"/>
        </w:rPr>
        <w:t>,</w:t>
      </w:r>
      <w:r w:rsidR="003A3146" w:rsidRPr="00A964C8">
        <w:rPr>
          <w:lang w:eastAsia="en-GB"/>
        </w:rPr>
        <w:t xml:space="preserve"> to read:</w:t>
      </w:r>
    </w:p>
    <w:p w:rsidR="00C31EF3" w:rsidRPr="00A964C8" w:rsidRDefault="00C31EF3" w:rsidP="00B83BC2">
      <w:pPr>
        <w:pStyle w:val="SingleTxtG"/>
        <w:spacing w:after="0" w:line="240" w:lineRule="auto"/>
        <w:ind w:left="0" w:right="0"/>
        <w:rPr>
          <w:lang w:eastAsia="en-GB"/>
        </w:rPr>
      </w:pPr>
    </w:p>
    <w:p w:rsidR="00E010CE" w:rsidRDefault="00B42D39" w:rsidP="00E010CE">
      <w:pPr>
        <w:pStyle w:val="SingleTxtG"/>
        <w:spacing w:after="0" w:line="240" w:lineRule="auto"/>
        <w:ind w:left="2160" w:right="0" w:hanging="1440"/>
        <w:rPr>
          <w:lang w:eastAsia="en-GB"/>
        </w:rPr>
      </w:pPr>
      <w:proofErr w:type="gramStart"/>
      <w:r w:rsidRPr="00A964C8">
        <w:rPr>
          <w:lang w:eastAsia="en-GB"/>
        </w:rPr>
        <w:t>"12</w:t>
      </w:r>
      <w:r w:rsidR="003A3146" w:rsidRPr="00A964C8">
        <w:rPr>
          <w:lang w:eastAsia="en-GB"/>
        </w:rPr>
        <w:t>.</w:t>
      </w:r>
      <w:r w:rsidRPr="00A964C8">
        <w:rPr>
          <w:lang w:eastAsia="en-GB"/>
        </w:rPr>
        <w:t>1</w:t>
      </w:r>
      <w:r w:rsidR="003A3146" w:rsidRPr="00A964C8">
        <w:rPr>
          <w:lang w:eastAsia="en-GB"/>
        </w:rPr>
        <w:t>.</w:t>
      </w:r>
      <w:r w:rsidRPr="00A964C8">
        <w:rPr>
          <w:lang w:eastAsia="en-GB"/>
        </w:rPr>
        <w:t>2.</w:t>
      </w:r>
      <w:r w:rsidR="0049356B" w:rsidRPr="00A964C8">
        <w:rPr>
          <w:lang w:eastAsia="en-GB"/>
        </w:rPr>
        <w:tab/>
      </w:r>
      <w:r w:rsidR="00E010CE" w:rsidRPr="00E22599">
        <w:rPr>
          <w:lang w:eastAsia="en-GB"/>
        </w:rPr>
        <w:t xml:space="preserve">As from the official date of </w:t>
      </w:r>
      <w:r w:rsidR="008D7D4B">
        <w:rPr>
          <w:lang w:eastAsia="en-GB"/>
        </w:rPr>
        <w:t>entry into force of Supplement 5 to the 07</w:t>
      </w:r>
      <w:r w:rsidR="00E010CE" w:rsidRPr="00E22599">
        <w:rPr>
          <w:lang w:eastAsia="en-GB"/>
        </w:rPr>
        <w:t xml:space="preserve"> series of amendments to Regulation No. 83, </w:t>
      </w:r>
      <w:r w:rsidR="00E010CE" w:rsidRPr="004A18AA">
        <w:rPr>
          <w:strike/>
          <w:lang w:eastAsia="en-GB"/>
        </w:rPr>
        <w:t xml:space="preserve">and by way of derogation to the obligations of Contracting Parties during the transitional period set out in paragraphs </w:t>
      </w:r>
      <w:r w:rsidR="008C08A8">
        <w:rPr>
          <w:strike/>
          <w:lang w:eastAsia="en-GB"/>
        </w:rPr>
        <w:t>12.1.1.</w:t>
      </w:r>
      <w:proofErr w:type="gramEnd"/>
      <w:r w:rsidR="00E010CE" w:rsidRPr="004A18AA">
        <w:rPr>
          <w:strike/>
          <w:lang w:eastAsia="en-GB"/>
        </w:rPr>
        <w:t xml:space="preserve"> </w:t>
      </w:r>
      <w:proofErr w:type="gramStart"/>
      <w:r w:rsidR="00E010CE" w:rsidRPr="004A18AA">
        <w:rPr>
          <w:strike/>
          <w:lang w:eastAsia="en-GB"/>
        </w:rPr>
        <w:t>above</w:t>
      </w:r>
      <w:proofErr w:type="gramEnd"/>
      <w:r w:rsidR="00E010CE" w:rsidRPr="004A18AA">
        <w:rPr>
          <w:strike/>
          <w:lang w:eastAsia="en-GB"/>
        </w:rPr>
        <w:t>,</w:t>
      </w:r>
      <w:r w:rsidR="00E010CE" w:rsidRPr="00E22599">
        <w:rPr>
          <w:lang w:eastAsia="en-GB"/>
        </w:rPr>
        <w:t xml:space="preserve"> the Contracting Parties applying this Regulation and also applying in their national/regional territory the provisions on the Worldwide Harmonized Light Vehicle Test Procedure (WLTP) set out in global technical regulation No. 15 may </w:t>
      </w:r>
      <w:r w:rsidR="00E010CE" w:rsidRPr="00EC0EEA">
        <w:rPr>
          <w:strike/>
          <w:lang w:eastAsia="en-GB"/>
        </w:rPr>
        <w:t>no longer accept</w:t>
      </w:r>
      <w:r w:rsidR="00E010CE">
        <w:rPr>
          <w:lang w:eastAsia="en-GB"/>
        </w:rPr>
        <w:t xml:space="preserve"> </w:t>
      </w:r>
      <w:r w:rsidR="00E010CE" w:rsidRPr="00EC0EEA">
        <w:rPr>
          <w:b/>
          <w:lang w:eastAsia="en-GB"/>
        </w:rPr>
        <w:t>refuse</w:t>
      </w:r>
      <w:r w:rsidR="00E010CE" w:rsidRPr="00E22599">
        <w:rPr>
          <w:lang w:eastAsia="en-GB"/>
        </w:rPr>
        <w:t xml:space="preserve"> type approvals granted on the basis of this Regulation as an alternative to compliance with their national/regional legislation.</w:t>
      </w:r>
    </w:p>
    <w:p w:rsidR="00E010CE" w:rsidRPr="00A964C8" w:rsidRDefault="00E010CE" w:rsidP="00E010CE">
      <w:pPr>
        <w:pStyle w:val="SingleTxtG"/>
        <w:spacing w:after="0" w:line="240" w:lineRule="auto"/>
        <w:ind w:left="2160" w:right="0"/>
        <w:rPr>
          <w:lang w:eastAsia="en-GB"/>
        </w:rPr>
      </w:pPr>
      <w:r w:rsidRPr="004607BB">
        <w:rPr>
          <w:b/>
        </w:rPr>
        <w:t>The provisions of this paragraph are limited until the requirements under the 1958 Agreement have been adapted to include WLTP</w:t>
      </w:r>
      <w:r>
        <w:t>.</w:t>
      </w:r>
      <w:r w:rsidRPr="00E22599">
        <w:rPr>
          <w:lang w:eastAsia="en-GB"/>
        </w:rPr>
        <w:t>"</w:t>
      </w:r>
    </w:p>
    <w:p w:rsidR="00C16B9A" w:rsidRPr="00A964C8" w:rsidRDefault="001C1B5E" w:rsidP="00B83BC2">
      <w:pPr>
        <w:pStyle w:val="H1G"/>
        <w:spacing w:before="0" w:after="0" w:line="240" w:lineRule="auto"/>
        <w:ind w:left="0" w:right="0" w:firstLine="0"/>
        <w:jc w:val="both"/>
        <w:rPr>
          <w:lang w:eastAsia="en-GB"/>
        </w:rPr>
      </w:pPr>
      <w:r w:rsidRPr="00A964C8">
        <w:rPr>
          <w:lang w:eastAsia="en-GB"/>
        </w:rPr>
        <w:tab/>
      </w:r>
    </w:p>
    <w:p w:rsidR="003A3146" w:rsidRPr="00A964C8" w:rsidRDefault="00091441" w:rsidP="00C16B9A">
      <w:pPr>
        <w:pStyle w:val="H1G"/>
        <w:numPr>
          <w:ilvl w:val="0"/>
          <w:numId w:val="4"/>
        </w:numPr>
        <w:spacing w:before="0" w:after="0" w:line="240" w:lineRule="auto"/>
        <w:ind w:right="0"/>
        <w:jc w:val="both"/>
        <w:rPr>
          <w:lang w:eastAsia="en-GB"/>
        </w:rPr>
      </w:pPr>
      <w:r w:rsidRPr="00A964C8">
        <w:rPr>
          <w:lang w:eastAsia="en-GB"/>
        </w:rPr>
        <w:t>Supplement 7 to the 01</w:t>
      </w:r>
      <w:r w:rsidR="003A3146" w:rsidRPr="00A964C8">
        <w:rPr>
          <w:lang w:eastAsia="en-GB"/>
        </w:rPr>
        <w:t xml:space="preserve"> series of</w:t>
      </w:r>
      <w:r w:rsidRPr="00A964C8">
        <w:rPr>
          <w:lang w:eastAsia="en-GB"/>
        </w:rPr>
        <w:t xml:space="preserve"> amendments to Regulation No. 101</w:t>
      </w:r>
    </w:p>
    <w:p w:rsidR="00C31EF3" w:rsidRPr="00A964C8" w:rsidRDefault="00C31EF3" w:rsidP="00C31EF3">
      <w:pPr>
        <w:pStyle w:val="SingleTxtG"/>
        <w:spacing w:after="0" w:line="240" w:lineRule="auto"/>
        <w:ind w:left="0" w:right="0" w:firstLine="360"/>
        <w:rPr>
          <w:i/>
          <w:lang w:eastAsia="en-GB"/>
        </w:rPr>
      </w:pPr>
    </w:p>
    <w:p w:rsidR="003A3146" w:rsidRPr="00A964C8" w:rsidRDefault="007E209D" w:rsidP="00EC7A70">
      <w:pPr>
        <w:pStyle w:val="SingleTxtG"/>
        <w:spacing w:after="0" w:line="240" w:lineRule="auto"/>
        <w:ind w:left="0" w:right="0" w:firstLine="720"/>
        <w:rPr>
          <w:lang w:eastAsia="en-GB"/>
        </w:rPr>
      </w:pPr>
      <w:r w:rsidRPr="00A964C8">
        <w:rPr>
          <w:i/>
          <w:lang w:eastAsia="en-GB"/>
        </w:rPr>
        <w:t>Insert a new paragraph 13.5</w:t>
      </w:r>
      <w:r w:rsidR="003A3146" w:rsidRPr="00A964C8">
        <w:rPr>
          <w:i/>
          <w:lang w:eastAsia="en-GB"/>
        </w:rPr>
        <w:t>.</w:t>
      </w:r>
      <w:r w:rsidR="003A3146" w:rsidRPr="00A964C8">
        <w:rPr>
          <w:lang w:eastAsia="en-GB"/>
        </w:rPr>
        <w:t>, to read:</w:t>
      </w:r>
    </w:p>
    <w:p w:rsidR="00C31EF3" w:rsidRPr="00A964C8" w:rsidRDefault="00C31EF3" w:rsidP="00C31EF3">
      <w:pPr>
        <w:pStyle w:val="SingleTxtG"/>
        <w:spacing w:after="0" w:line="240" w:lineRule="auto"/>
        <w:ind w:left="0" w:right="0" w:firstLine="360"/>
        <w:rPr>
          <w:lang w:eastAsia="en-GB"/>
        </w:rPr>
      </w:pPr>
    </w:p>
    <w:p w:rsidR="005A30C5" w:rsidRDefault="007E209D" w:rsidP="005A30C5">
      <w:pPr>
        <w:pStyle w:val="SingleTxtG"/>
        <w:spacing w:after="0" w:line="240" w:lineRule="auto"/>
        <w:ind w:left="2160" w:right="0" w:hanging="1440"/>
        <w:rPr>
          <w:lang w:eastAsia="en-GB"/>
        </w:rPr>
      </w:pPr>
      <w:proofErr w:type="gramStart"/>
      <w:r w:rsidRPr="00A964C8">
        <w:rPr>
          <w:lang w:eastAsia="en-GB"/>
        </w:rPr>
        <w:t>"13</w:t>
      </w:r>
      <w:r w:rsidR="003A3146" w:rsidRPr="00A964C8">
        <w:rPr>
          <w:lang w:eastAsia="en-GB"/>
        </w:rPr>
        <w:t>.</w:t>
      </w:r>
      <w:r w:rsidRPr="00A964C8">
        <w:rPr>
          <w:lang w:eastAsia="en-GB"/>
        </w:rPr>
        <w:t>5</w:t>
      </w:r>
      <w:r w:rsidR="003A3146" w:rsidRPr="00A964C8">
        <w:rPr>
          <w:lang w:eastAsia="en-GB"/>
        </w:rPr>
        <w:t>.</w:t>
      </w:r>
      <w:r w:rsidR="003A3146" w:rsidRPr="00A964C8">
        <w:rPr>
          <w:lang w:eastAsia="en-GB"/>
        </w:rPr>
        <w:tab/>
      </w:r>
      <w:r w:rsidR="005A30C5" w:rsidRPr="00E22599">
        <w:rPr>
          <w:lang w:eastAsia="en-GB"/>
        </w:rPr>
        <w:t xml:space="preserve">As from the official date of </w:t>
      </w:r>
      <w:r w:rsidR="005A30C5">
        <w:rPr>
          <w:lang w:eastAsia="en-GB"/>
        </w:rPr>
        <w:t>entry into force of Supplement 7 to the 01</w:t>
      </w:r>
      <w:r w:rsidR="005A30C5" w:rsidRPr="00E22599">
        <w:rPr>
          <w:lang w:eastAsia="en-GB"/>
        </w:rPr>
        <w:t xml:space="preserve"> series of</w:t>
      </w:r>
      <w:r w:rsidR="00920D20">
        <w:rPr>
          <w:lang w:eastAsia="en-GB"/>
        </w:rPr>
        <w:t xml:space="preserve"> amendments to Regulation No. 101</w:t>
      </w:r>
      <w:r w:rsidR="005A30C5" w:rsidRPr="00E22599">
        <w:rPr>
          <w:lang w:eastAsia="en-GB"/>
        </w:rPr>
        <w:t xml:space="preserve">, </w:t>
      </w:r>
      <w:r w:rsidR="005A30C5" w:rsidRPr="004A18AA">
        <w:rPr>
          <w:strike/>
          <w:lang w:eastAsia="en-GB"/>
        </w:rPr>
        <w:t>and by way of derogation to the obligations of Contracting Parties during the transitional</w:t>
      </w:r>
      <w:r w:rsidR="000273D9">
        <w:rPr>
          <w:strike/>
          <w:lang w:eastAsia="en-GB"/>
        </w:rPr>
        <w:t xml:space="preserve"> period set out in paragraphs 13.1.</w:t>
      </w:r>
      <w:proofErr w:type="gramEnd"/>
      <w:r w:rsidR="000273D9">
        <w:rPr>
          <w:strike/>
          <w:lang w:eastAsia="en-GB"/>
        </w:rPr>
        <w:t xml:space="preserve"> </w:t>
      </w:r>
      <w:proofErr w:type="gramStart"/>
      <w:r w:rsidR="000273D9">
        <w:rPr>
          <w:strike/>
          <w:lang w:eastAsia="en-GB"/>
        </w:rPr>
        <w:t>to</w:t>
      </w:r>
      <w:proofErr w:type="gramEnd"/>
      <w:r w:rsidR="000273D9">
        <w:rPr>
          <w:strike/>
          <w:lang w:eastAsia="en-GB"/>
        </w:rPr>
        <w:t xml:space="preserve"> 13.4</w:t>
      </w:r>
      <w:r w:rsidR="005A30C5" w:rsidRPr="004A18AA">
        <w:rPr>
          <w:strike/>
          <w:lang w:eastAsia="en-GB"/>
        </w:rPr>
        <w:t xml:space="preserve">. </w:t>
      </w:r>
      <w:proofErr w:type="gramStart"/>
      <w:r w:rsidR="005A30C5" w:rsidRPr="004A18AA">
        <w:rPr>
          <w:strike/>
          <w:lang w:eastAsia="en-GB"/>
        </w:rPr>
        <w:t>above</w:t>
      </w:r>
      <w:proofErr w:type="gramEnd"/>
      <w:r w:rsidR="005A30C5" w:rsidRPr="004A18AA">
        <w:rPr>
          <w:strike/>
          <w:lang w:eastAsia="en-GB"/>
        </w:rPr>
        <w:t>,</w:t>
      </w:r>
      <w:r w:rsidR="005A30C5" w:rsidRPr="00E22599">
        <w:rPr>
          <w:lang w:eastAsia="en-GB"/>
        </w:rPr>
        <w:t xml:space="preserve"> the Contracting </w:t>
      </w:r>
      <w:r w:rsidR="005A30C5" w:rsidRPr="00E22599">
        <w:rPr>
          <w:lang w:eastAsia="en-GB"/>
        </w:rPr>
        <w:lastRenderedPageBreak/>
        <w:t xml:space="preserve">Parties applying this Regulation and also applying in their national/regional territory the provisions on the Worldwide Harmonized Light Vehicle Test Procedure (WLTP) set out in global technical regulation No. 15 may </w:t>
      </w:r>
      <w:r w:rsidR="005A30C5" w:rsidRPr="00EC0EEA">
        <w:rPr>
          <w:strike/>
          <w:lang w:eastAsia="en-GB"/>
        </w:rPr>
        <w:t>no longer accept</w:t>
      </w:r>
      <w:r w:rsidR="005A30C5">
        <w:rPr>
          <w:lang w:eastAsia="en-GB"/>
        </w:rPr>
        <w:t xml:space="preserve"> </w:t>
      </w:r>
      <w:r w:rsidR="005A30C5" w:rsidRPr="00EC0EEA">
        <w:rPr>
          <w:b/>
          <w:lang w:eastAsia="en-GB"/>
        </w:rPr>
        <w:t>refuse</w:t>
      </w:r>
      <w:r w:rsidR="005A30C5" w:rsidRPr="00E22599">
        <w:rPr>
          <w:lang w:eastAsia="en-GB"/>
        </w:rPr>
        <w:t xml:space="preserve"> type approvals granted on the basis of this Regulation as an alternative to compliance with their national/regional legislation.</w:t>
      </w:r>
    </w:p>
    <w:p w:rsidR="005A30C5" w:rsidRPr="00A964C8" w:rsidRDefault="005A30C5" w:rsidP="005A30C5">
      <w:pPr>
        <w:pStyle w:val="SingleTxtG"/>
        <w:spacing w:after="0" w:line="240" w:lineRule="auto"/>
        <w:ind w:left="2160" w:right="0"/>
        <w:rPr>
          <w:lang w:eastAsia="en-GB"/>
        </w:rPr>
      </w:pPr>
      <w:r w:rsidRPr="004607BB">
        <w:rPr>
          <w:b/>
        </w:rPr>
        <w:t>The provisions of this paragraph are limited until the requirements under the 1958 Agreement have been adapted to include WLTP</w:t>
      </w:r>
      <w:r>
        <w:t>.</w:t>
      </w:r>
      <w:r w:rsidRPr="00E22599">
        <w:rPr>
          <w:lang w:eastAsia="en-GB"/>
        </w:rPr>
        <w:t>"</w:t>
      </w:r>
    </w:p>
    <w:p w:rsidR="005614C4" w:rsidRDefault="005614C4" w:rsidP="005A30C5">
      <w:pPr>
        <w:pStyle w:val="SingleTxtG"/>
        <w:spacing w:after="0" w:line="240" w:lineRule="auto"/>
        <w:ind w:left="2160" w:right="0" w:hanging="1440"/>
        <w:rPr>
          <w:u w:val="single"/>
        </w:rPr>
      </w:pPr>
    </w:p>
    <w:p w:rsidR="006D7830" w:rsidRDefault="005614C4" w:rsidP="006D7830">
      <w:pPr>
        <w:pStyle w:val="HChG"/>
        <w:spacing w:before="0" w:after="0" w:line="240" w:lineRule="auto"/>
        <w:ind w:left="0" w:right="0" w:firstLine="0"/>
        <w:jc w:val="both"/>
        <w:rPr>
          <w:lang w:eastAsia="en-GB"/>
        </w:rPr>
      </w:pPr>
      <w:r>
        <w:rPr>
          <w:lang w:eastAsia="en-GB"/>
        </w:rPr>
        <w:tab/>
      </w:r>
    </w:p>
    <w:p w:rsidR="001C1B5E" w:rsidRDefault="005614C4" w:rsidP="009505A1">
      <w:pPr>
        <w:pStyle w:val="HChG"/>
        <w:numPr>
          <w:ilvl w:val="0"/>
          <w:numId w:val="3"/>
        </w:numPr>
        <w:spacing w:before="0" w:after="0" w:line="240" w:lineRule="auto"/>
        <w:ind w:right="0"/>
        <w:jc w:val="both"/>
        <w:rPr>
          <w:lang w:eastAsia="en-GB"/>
        </w:rPr>
      </w:pPr>
      <w:r>
        <w:rPr>
          <w:lang w:eastAsia="en-GB"/>
        </w:rPr>
        <w:t>Justification</w:t>
      </w:r>
    </w:p>
    <w:p w:rsidR="002E57E5" w:rsidRPr="002E57E5" w:rsidRDefault="002E57E5" w:rsidP="002E57E5">
      <w:pPr>
        <w:rPr>
          <w:lang w:eastAsia="en-GB"/>
        </w:rPr>
      </w:pPr>
    </w:p>
    <w:p w:rsidR="00BF5E78" w:rsidRPr="00051F1B" w:rsidRDefault="00A964C8" w:rsidP="00BF5E78">
      <w:pPr>
        <w:pStyle w:val="ListParagraph"/>
        <w:numPr>
          <w:ilvl w:val="0"/>
          <w:numId w:val="5"/>
        </w:numPr>
        <w:jc w:val="both"/>
        <w:rPr>
          <w:lang w:eastAsia="en-GB"/>
        </w:rPr>
      </w:pPr>
      <w:r>
        <w:rPr>
          <w:lang w:eastAsia="en-GB"/>
        </w:rPr>
        <w:t xml:space="preserve">Basically, the added new paragraphs do not </w:t>
      </w:r>
      <w:r w:rsidR="00477E7C">
        <w:rPr>
          <w:lang w:eastAsia="en-GB"/>
        </w:rPr>
        <w:t xml:space="preserve">really </w:t>
      </w:r>
      <w:r>
        <w:rPr>
          <w:lang w:eastAsia="en-GB"/>
        </w:rPr>
        <w:t>entail a derogation to the existing</w:t>
      </w:r>
      <w:r w:rsidR="00AC1FA2">
        <w:rPr>
          <w:lang w:eastAsia="en-GB"/>
        </w:rPr>
        <w:t xml:space="preserve"> transitional provisions of Regulation No. 83 and Regulation No. </w:t>
      </w:r>
      <w:r>
        <w:rPr>
          <w:lang w:eastAsia="en-GB"/>
        </w:rPr>
        <w:t xml:space="preserve">101 </w:t>
      </w:r>
      <w:r w:rsidR="00477E7C">
        <w:rPr>
          <w:lang w:eastAsia="en-GB"/>
        </w:rPr>
        <w:t>which (</w:t>
      </w:r>
      <w:r>
        <w:rPr>
          <w:lang w:eastAsia="en-GB"/>
        </w:rPr>
        <w:t>exc</w:t>
      </w:r>
      <w:r w:rsidR="00477E7C">
        <w:rPr>
          <w:lang w:eastAsia="en-GB"/>
        </w:rPr>
        <w:t>ept p</w:t>
      </w:r>
      <w:r w:rsidR="00880EAF">
        <w:rPr>
          <w:lang w:eastAsia="en-GB"/>
        </w:rPr>
        <w:t xml:space="preserve">artly for Regulation No. </w:t>
      </w:r>
      <w:r>
        <w:rPr>
          <w:lang w:eastAsia="en-GB"/>
        </w:rPr>
        <w:t>101</w:t>
      </w:r>
      <w:r w:rsidR="00477E7C">
        <w:rPr>
          <w:lang w:eastAsia="en-GB"/>
        </w:rPr>
        <w:t xml:space="preserve">) simply state that Contracting Parties cannot refuse to </w:t>
      </w:r>
      <w:r w:rsidR="00477E7C" w:rsidRPr="00797CEB">
        <w:rPr>
          <w:u w:val="single"/>
          <w:lang w:eastAsia="en-GB"/>
        </w:rPr>
        <w:t>grant</w:t>
      </w:r>
      <w:r w:rsidR="00477E7C">
        <w:rPr>
          <w:lang w:eastAsia="en-GB"/>
        </w:rPr>
        <w:t xml:space="preserve"> approvals as from the date of entry into force</w:t>
      </w:r>
      <w:r>
        <w:rPr>
          <w:lang w:eastAsia="en-GB"/>
        </w:rPr>
        <w:t>.</w:t>
      </w:r>
      <w:r w:rsidR="00477E7C">
        <w:rPr>
          <w:lang w:eastAsia="en-GB"/>
        </w:rPr>
        <w:t xml:space="preserve">  They also state the mandatory application, for the </w:t>
      </w:r>
      <w:r w:rsidR="00477E7C" w:rsidRPr="00797CEB">
        <w:rPr>
          <w:u w:val="single"/>
          <w:lang w:eastAsia="en-GB"/>
        </w:rPr>
        <w:t>granting</w:t>
      </w:r>
      <w:r w:rsidR="00477E7C">
        <w:rPr>
          <w:lang w:eastAsia="en-GB"/>
        </w:rPr>
        <w:t xml:space="preserve"> of approvals, of Supplement 2 to the 06 series of amendments to Regulation No. 83.  The existing transitional provisions, except for Regulation No. 101, do not state anything on </w:t>
      </w:r>
      <w:r w:rsidR="00477E7C" w:rsidRPr="00797CEB">
        <w:rPr>
          <w:u w:val="single"/>
          <w:lang w:eastAsia="en-GB"/>
        </w:rPr>
        <w:t>accepting</w:t>
      </w:r>
      <w:r w:rsidR="00477E7C">
        <w:rPr>
          <w:lang w:eastAsia="en-GB"/>
        </w:rPr>
        <w:t xml:space="preserve"> the approvals.  The acceptance of type approvals is a cornerstone of the 1958 Agreement and any </w:t>
      </w:r>
      <w:r w:rsidR="00007B2F" w:rsidRPr="00A964C8">
        <w:t>"</w:t>
      </w:r>
      <w:r w:rsidR="00477E7C">
        <w:rPr>
          <w:lang w:eastAsia="en-GB"/>
        </w:rPr>
        <w:t>derogation</w:t>
      </w:r>
      <w:r w:rsidR="00007B2F" w:rsidRPr="00A964C8">
        <w:t>"</w:t>
      </w:r>
      <w:r w:rsidR="00477E7C">
        <w:rPr>
          <w:lang w:eastAsia="en-GB"/>
        </w:rPr>
        <w:t xml:space="preserve"> is in fact to the pri</w:t>
      </w:r>
      <w:r w:rsidR="001B3D4D">
        <w:rPr>
          <w:lang w:eastAsia="en-GB"/>
        </w:rPr>
        <w:t>nciples of the 1958 Agreement, not to the current transitional provisions</w:t>
      </w:r>
      <w:r w:rsidR="00B42BDA">
        <w:rPr>
          <w:lang w:eastAsia="en-GB"/>
        </w:rPr>
        <w:t>.</w:t>
      </w:r>
      <w:r w:rsidR="00AE19E5">
        <w:rPr>
          <w:lang w:eastAsia="en-GB"/>
        </w:rPr>
        <w:t xml:space="preserve"> </w:t>
      </w:r>
      <w:r w:rsidR="00477E7C">
        <w:rPr>
          <w:lang w:eastAsia="en-GB"/>
        </w:rPr>
        <w:t xml:space="preserve">In addition, </w:t>
      </w:r>
      <w:r w:rsidR="00477E7C" w:rsidRPr="00797CEB">
        <w:rPr>
          <w:b/>
          <w:lang w:eastAsia="en-GB"/>
        </w:rPr>
        <w:t>mentioning such “derogation” could be misinterpreted</w:t>
      </w:r>
      <w:r w:rsidR="00477E7C">
        <w:rPr>
          <w:lang w:eastAsia="en-GB"/>
        </w:rPr>
        <w:t xml:space="preserve"> </w:t>
      </w:r>
      <w:r w:rsidR="00797CEB">
        <w:rPr>
          <w:lang w:eastAsia="en-GB"/>
        </w:rPr>
        <w:t xml:space="preserve">“as preventing” the </w:t>
      </w:r>
      <w:r w:rsidR="00797CEB" w:rsidRPr="00797CEB">
        <w:rPr>
          <w:u w:val="single"/>
          <w:lang w:eastAsia="en-GB"/>
        </w:rPr>
        <w:t>granting</w:t>
      </w:r>
      <w:r w:rsidR="00797CEB">
        <w:rPr>
          <w:lang w:eastAsia="en-GB"/>
        </w:rPr>
        <w:t xml:space="preserve"> of type approvals to Regulation No. 83, while this possibility </w:t>
      </w:r>
      <w:r w:rsidR="00797CEB" w:rsidRPr="00797CEB">
        <w:rPr>
          <w:u w:val="single"/>
          <w:lang w:eastAsia="en-GB"/>
        </w:rPr>
        <w:t>must</w:t>
      </w:r>
      <w:r w:rsidR="00797CEB">
        <w:rPr>
          <w:lang w:eastAsia="en-GB"/>
        </w:rPr>
        <w:t xml:space="preserve"> remain possible </w:t>
      </w:r>
      <w:r w:rsidR="00626984">
        <w:rPr>
          <w:lang w:eastAsia="en-GB"/>
        </w:rPr>
        <w:t>(even though these type approvals may be refused by some Contracting Parties).</w:t>
      </w:r>
    </w:p>
    <w:p w:rsidR="004C44AC" w:rsidRPr="00CA1F82" w:rsidRDefault="004C44AC" w:rsidP="004C44AC">
      <w:pPr>
        <w:pStyle w:val="ListParagraph"/>
        <w:ind w:left="1080"/>
        <w:jc w:val="both"/>
        <w:rPr>
          <w:b/>
          <w:lang w:eastAsia="en-GB"/>
        </w:rPr>
      </w:pPr>
      <w:r w:rsidRPr="00CA1F82">
        <w:rPr>
          <w:b/>
          <w:lang w:eastAsia="en-GB"/>
        </w:rPr>
        <w:t xml:space="preserve">In conclusion, OICA suggests it would be best to delete the wording implying </w:t>
      </w:r>
      <w:proofErr w:type="gramStart"/>
      <w:r w:rsidRPr="00CA1F82">
        <w:rPr>
          <w:b/>
          <w:lang w:eastAsia="en-GB"/>
        </w:rPr>
        <w:t>a derogation</w:t>
      </w:r>
      <w:proofErr w:type="gramEnd"/>
      <w:r w:rsidRPr="00CA1F82">
        <w:rPr>
          <w:b/>
          <w:lang w:eastAsia="en-GB"/>
        </w:rPr>
        <w:t xml:space="preserve"> to the current transitional provisions.</w:t>
      </w:r>
    </w:p>
    <w:p w:rsidR="00477E7C" w:rsidRDefault="00477E7C" w:rsidP="00477E7C">
      <w:pPr>
        <w:pStyle w:val="ListParagraph"/>
        <w:ind w:left="1080"/>
        <w:jc w:val="both"/>
        <w:rPr>
          <w:lang w:eastAsia="en-GB"/>
        </w:rPr>
      </w:pPr>
    </w:p>
    <w:p w:rsidR="004C44AC" w:rsidRDefault="00552677" w:rsidP="00731D8F">
      <w:pPr>
        <w:pStyle w:val="ListParagraph"/>
        <w:numPr>
          <w:ilvl w:val="0"/>
          <w:numId w:val="5"/>
        </w:numPr>
        <w:jc w:val="both"/>
        <w:rPr>
          <w:lang w:eastAsia="en-GB"/>
        </w:rPr>
      </w:pPr>
      <w:r>
        <w:rPr>
          <w:lang w:eastAsia="en-GB"/>
        </w:rPr>
        <w:t xml:space="preserve">In order to avoid further misinterpretation on </w:t>
      </w:r>
      <w:r w:rsidR="00DB1F19">
        <w:rPr>
          <w:lang w:eastAsia="en-GB"/>
        </w:rPr>
        <w:t xml:space="preserve">the </w:t>
      </w:r>
      <w:r>
        <w:rPr>
          <w:lang w:eastAsia="en-GB"/>
        </w:rPr>
        <w:t>acceptance of type approval</w:t>
      </w:r>
      <w:r w:rsidR="00DB1F19">
        <w:rPr>
          <w:lang w:eastAsia="en-GB"/>
        </w:rPr>
        <w:t>s according to Regulations No. 83/101 as alternative to national/regional legislation,</w:t>
      </w:r>
      <w:r>
        <w:rPr>
          <w:lang w:eastAsia="en-GB"/>
        </w:rPr>
        <w:t xml:space="preserve"> OICA suggests </w:t>
      </w:r>
      <w:proofErr w:type="gramStart"/>
      <w:r>
        <w:rPr>
          <w:lang w:eastAsia="en-GB"/>
        </w:rPr>
        <w:t>to replace</w:t>
      </w:r>
      <w:proofErr w:type="gramEnd"/>
      <w:r>
        <w:rPr>
          <w:lang w:eastAsia="en-GB"/>
        </w:rPr>
        <w:t xml:space="preserve"> “may no longer accept” by “may refuse”. </w:t>
      </w:r>
      <w:r w:rsidR="0077278F">
        <w:rPr>
          <w:lang w:eastAsia="en-GB"/>
        </w:rPr>
        <w:t xml:space="preserve">Indeed, “may no longer accept” could be interpreted as “are not allowed to accept anymore”, whereas </w:t>
      </w:r>
      <w:r w:rsidR="00E90580">
        <w:rPr>
          <w:lang w:eastAsia="en-GB"/>
        </w:rPr>
        <w:t xml:space="preserve">the relevant </w:t>
      </w:r>
      <w:r w:rsidR="0077278F">
        <w:rPr>
          <w:lang w:eastAsia="en-GB"/>
        </w:rPr>
        <w:t xml:space="preserve">Contracting Parties </w:t>
      </w:r>
      <w:r w:rsidR="00E90580">
        <w:rPr>
          <w:lang w:eastAsia="en-GB"/>
        </w:rPr>
        <w:t>in fact w</w:t>
      </w:r>
      <w:r w:rsidR="008E090A">
        <w:rPr>
          <w:lang w:eastAsia="en-GB"/>
        </w:rPr>
        <w:t>ould</w:t>
      </w:r>
      <w:r w:rsidR="0077278F">
        <w:rPr>
          <w:lang w:eastAsia="en-GB"/>
        </w:rPr>
        <w:t xml:space="preserve"> be </w:t>
      </w:r>
      <w:r w:rsidR="00E90580">
        <w:rPr>
          <w:lang w:eastAsia="en-GB"/>
        </w:rPr>
        <w:t xml:space="preserve">free to accept or refuse </w:t>
      </w:r>
      <w:r w:rsidR="0077278F">
        <w:rPr>
          <w:lang w:eastAsia="en-GB"/>
        </w:rPr>
        <w:t xml:space="preserve">these </w:t>
      </w:r>
      <w:r>
        <w:rPr>
          <w:lang w:eastAsia="en-GB"/>
        </w:rPr>
        <w:t xml:space="preserve">type approvals. </w:t>
      </w:r>
    </w:p>
    <w:p w:rsidR="001C621D" w:rsidRDefault="001C621D" w:rsidP="001C621D">
      <w:pPr>
        <w:pStyle w:val="ListParagraph"/>
        <w:ind w:left="1080"/>
        <w:jc w:val="both"/>
        <w:rPr>
          <w:lang w:eastAsia="en-GB"/>
        </w:rPr>
      </w:pPr>
    </w:p>
    <w:p w:rsidR="004C44AC" w:rsidRDefault="004C44AC" w:rsidP="004C44AC">
      <w:pPr>
        <w:pStyle w:val="ListParagraph"/>
        <w:numPr>
          <w:ilvl w:val="0"/>
          <w:numId w:val="5"/>
        </w:numPr>
        <w:jc w:val="both"/>
        <w:rPr>
          <w:lang w:eastAsia="en-GB"/>
        </w:rPr>
      </w:pPr>
      <w:r>
        <w:rPr>
          <w:lang w:eastAsia="en-GB"/>
        </w:rPr>
        <w:t xml:space="preserve">Finally, </w:t>
      </w:r>
      <w:r w:rsidR="007870E0">
        <w:rPr>
          <w:lang w:eastAsia="en-GB"/>
        </w:rPr>
        <w:t xml:space="preserve">OICA thinks it is </w:t>
      </w:r>
      <w:r w:rsidR="00374F31">
        <w:rPr>
          <w:lang w:eastAsia="en-GB"/>
        </w:rPr>
        <w:t xml:space="preserve">important to </w:t>
      </w:r>
      <w:r w:rsidR="002A4640">
        <w:rPr>
          <w:lang w:eastAsia="en-GB"/>
        </w:rPr>
        <w:t>define a sunset clause</w:t>
      </w:r>
      <w:r w:rsidR="00EE5A12">
        <w:rPr>
          <w:lang w:eastAsia="en-GB"/>
        </w:rPr>
        <w:t xml:space="preserve"> </w:t>
      </w:r>
      <w:r w:rsidR="00333FAB">
        <w:rPr>
          <w:lang w:eastAsia="en-GB"/>
        </w:rPr>
        <w:t>for the validity of these new provisions</w:t>
      </w:r>
      <w:r w:rsidR="00EE5A12">
        <w:rPr>
          <w:lang w:eastAsia="en-GB"/>
        </w:rPr>
        <w:t xml:space="preserve">, the end time being when WLTP will be implemented under the 1958 agreement. </w:t>
      </w:r>
    </w:p>
    <w:p w:rsidR="00AA2E9E" w:rsidRDefault="00AA2E9E" w:rsidP="00AA2E9E">
      <w:pPr>
        <w:jc w:val="both"/>
        <w:rPr>
          <w:lang w:eastAsia="en-GB"/>
        </w:rPr>
      </w:pPr>
    </w:p>
    <w:p w:rsidR="005F7BB4" w:rsidRDefault="005F7BB4" w:rsidP="005D4D73">
      <w:pPr>
        <w:pStyle w:val="ListParagraph"/>
        <w:rPr>
          <w:lang w:eastAsia="en-GB"/>
        </w:rPr>
      </w:pPr>
    </w:p>
    <w:p w:rsidR="00CB6CC4" w:rsidRPr="002E57E5" w:rsidRDefault="00CB6CC4" w:rsidP="00D259F5">
      <w:pPr>
        <w:rPr>
          <w:lang w:eastAsia="en-GB"/>
        </w:rPr>
      </w:pPr>
    </w:p>
    <w:sectPr w:rsidR="00CB6CC4" w:rsidRPr="002E57E5" w:rsidSect="001C1B5E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7F" w:rsidRDefault="00071C7F" w:rsidP="00FB3A75">
      <w:pPr>
        <w:spacing w:line="240" w:lineRule="auto"/>
      </w:pPr>
      <w:r>
        <w:separator/>
      </w:r>
    </w:p>
  </w:endnote>
  <w:endnote w:type="continuationSeparator" w:id="0">
    <w:p w:rsidR="00071C7F" w:rsidRDefault="00071C7F" w:rsidP="00FB3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5E" w:rsidRPr="001C1B5E" w:rsidRDefault="001C1B5E" w:rsidP="001C1B5E">
    <w:pPr>
      <w:spacing w:line="240" w:lineRule="auto"/>
      <w:rPr>
        <w:sz w:val="16"/>
      </w:rPr>
    </w:pPr>
    <w:r w:rsidRPr="001C1B5E">
      <w:rPr>
        <w:sz w:val="16"/>
      </w:rPr>
      <w:fldChar w:fldCharType="begin"/>
    </w:r>
    <w:r w:rsidRPr="001C1B5E">
      <w:rPr>
        <w:sz w:val="16"/>
      </w:rPr>
      <w:instrText xml:space="preserve"> PAGE  \* MERGEFORMAT </w:instrText>
    </w:r>
    <w:r w:rsidRPr="001C1B5E">
      <w:rPr>
        <w:sz w:val="16"/>
      </w:rPr>
      <w:fldChar w:fldCharType="separate"/>
    </w:r>
    <w:r w:rsidR="00F3175A" w:rsidRPr="00F3175A">
      <w:rPr>
        <w:b/>
        <w:noProof/>
        <w:sz w:val="18"/>
      </w:rPr>
      <w:t>2</w:t>
    </w:r>
    <w:r w:rsidRPr="001C1B5E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5E" w:rsidRPr="001C1B5E" w:rsidRDefault="001C1B5E" w:rsidP="001C1B5E">
    <w:pPr>
      <w:pStyle w:val="Footer"/>
      <w:jc w:val="right"/>
      <w:rPr>
        <w:b/>
        <w:sz w:val="18"/>
        <w:szCs w:val="18"/>
      </w:rPr>
    </w:pPr>
    <w:r w:rsidRPr="001C1B5E">
      <w:rPr>
        <w:b/>
        <w:sz w:val="18"/>
        <w:szCs w:val="18"/>
      </w:rPr>
      <w:fldChar w:fldCharType="begin"/>
    </w:r>
    <w:r w:rsidRPr="001C1B5E">
      <w:rPr>
        <w:b/>
        <w:sz w:val="18"/>
        <w:szCs w:val="18"/>
      </w:rPr>
      <w:instrText xml:space="preserve"> PAGE  \* MERGEFORMAT </w:instrText>
    </w:r>
    <w:r w:rsidRPr="001C1B5E">
      <w:rPr>
        <w:b/>
        <w:sz w:val="18"/>
        <w:szCs w:val="18"/>
      </w:rPr>
      <w:fldChar w:fldCharType="separate"/>
    </w:r>
    <w:r w:rsidR="00F3175A">
      <w:rPr>
        <w:b/>
        <w:noProof/>
        <w:sz w:val="18"/>
        <w:szCs w:val="18"/>
      </w:rPr>
      <w:t>1</w:t>
    </w:r>
    <w:r w:rsidRPr="001C1B5E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7F" w:rsidRDefault="00071C7F" w:rsidP="00FB3A75">
      <w:pPr>
        <w:spacing w:line="240" w:lineRule="auto"/>
      </w:pPr>
      <w:r>
        <w:separator/>
      </w:r>
    </w:p>
  </w:footnote>
  <w:footnote w:type="continuationSeparator" w:id="0">
    <w:p w:rsidR="00071C7F" w:rsidRDefault="00071C7F" w:rsidP="00FB3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ook w:val="04A0" w:firstRow="1" w:lastRow="0" w:firstColumn="1" w:lastColumn="0" w:noHBand="0" w:noVBand="1"/>
    </w:tblPr>
    <w:tblGrid>
      <w:gridCol w:w="5812"/>
      <w:gridCol w:w="3969"/>
    </w:tblGrid>
    <w:tr w:rsidR="00FB3A75" w:rsidTr="00FB3A75">
      <w:trPr>
        <w:trHeight w:val="141"/>
      </w:trPr>
      <w:tc>
        <w:tcPr>
          <w:tcW w:w="5812" w:type="dxa"/>
          <w:hideMark/>
        </w:tcPr>
        <w:p w:rsidR="00FB3A75" w:rsidRDefault="00FB3A75">
          <w:pPr>
            <w:tabs>
              <w:tab w:val="center" w:pos="4153"/>
              <w:tab w:val="right" w:pos="8306"/>
            </w:tabs>
          </w:pPr>
          <w:r>
            <w:t>Note by the secretariat</w:t>
          </w:r>
        </w:p>
      </w:tc>
      <w:tc>
        <w:tcPr>
          <w:tcW w:w="3969" w:type="dxa"/>
          <w:hideMark/>
        </w:tcPr>
        <w:p w:rsidR="00FB3A75" w:rsidRDefault="00FB3A75">
          <w:pPr>
            <w:jc w:val="right"/>
            <w:rPr>
              <w:b/>
              <w:bCs/>
              <w:lang w:val="it-IT"/>
            </w:rPr>
          </w:pPr>
          <w:r>
            <w:rPr>
              <w:lang w:val="it-IT"/>
            </w:rPr>
            <w:t xml:space="preserve">Informal document </w:t>
          </w:r>
          <w:r>
            <w:rPr>
              <w:b/>
              <w:bCs/>
              <w:lang w:val="it-IT"/>
            </w:rPr>
            <w:t>WP.29-170-</w:t>
          </w:r>
          <w:r w:rsidR="00766D13">
            <w:rPr>
              <w:b/>
              <w:bCs/>
              <w:lang w:val="it-IT"/>
            </w:rPr>
            <w:t>0</w:t>
          </w:r>
          <w:r w:rsidR="0040637B">
            <w:rPr>
              <w:b/>
              <w:bCs/>
              <w:lang w:val="it-IT"/>
            </w:rPr>
            <w:t>5</w:t>
          </w:r>
        </w:p>
        <w:p w:rsidR="00FB3A75" w:rsidRDefault="00FB3A75" w:rsidP="00766D13">
          <w:pPr>
            <w:jc w:val="right"/>
          </w:pPr>
          <w:r>
            <w:rPr>
              <w:lang w:val="pt-BR"/>
            </w:rPr>
            <w:t>(170</w:t>
          </w:r>
          <w:r>
            <w:rPr>
              <w:vertAlign w:val="superscript"/>
              <w:lang w:val="pt-BR"/>
            </w:rPr>
            <w:t>th</w:t>
          </w:r>
          <w:r>
            <w:rPr>
              <w:lang w:val="pt-BR"/>
            </w:rPr>
            <w:t xml:space="preserve"> WP.29, 15-18 November 2016,</w:t>
          </w:r>
          <w:r>
            <w:rPr>
              <w:lang w:val="pt-BR"/>
            </w:rPr>
            <w:br/>
            <w:t xml:space="preserve">agenda item </w:t>
          </w:r>
          <w:r w:rsidR="00766D13">
            <w:rPr>
              <w:lang w:val="pt-BR"/>
            </w:rPr>
            <w:t>4</w:t>
          </w:r>
          <w:r>
            <w:rPr>
              <w:lang w:val="pt-BR"/>
            </w:rPr>
            <w:t>.</w:t>
          </w:r>
          <w:r w:rsidR="00766D13">
            <w:rPr>
              <w:lang w:val="pt-BR"/>
            </w:rPr>
            <w:t>2</w:t>
          </w:r>
          <w:r>
            <w:rPr>
              <w:lang w:val="pt-BR"/>
            </w:rPr>
            <w:t>.)</w:t>
          </w:r>
        </w:p>
      </w:tc>
    </w:tr>
  </w:tbl>
  <w:p w:rsidR="00FB3A75" w:rsidRPr="00FB3A75" w:rsidRDefault="00FB3A7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5548B" w:rsidRPr="00F5548B" w:rsidTr="00F5548B">
      <w:tc>
        <w:tcPr>
          <w:tcW w:w="4814" w:type="dxa"/>
        </w:tcPr>
        <w:p w:rsidR="00F5548B" w:rsidRPr="00F5548B" w:rsidRDefault="00F5548B" w:rsidP="00F5548B">
          <w:pPr>
            <w:pStyle w:val="Header"/>
            <w:pBdr>
              <w:bottom w:val="none" w:sz="0" w:space="0" w:color="auto"/>
            </w:pBdr>
            <w:rPr>
              <w:b w:val="0"/>
            </w:rPr>
          </w:pPr>
          <w:r w:rsidRPr="00F5548B">
            <w:rPr>
              <w:rFonts w:eastAsia="HGSGothicM"/>
              <w:b w:val="0"/>
              <w:kern w:val="2"/>
              <w:lang w:val="en-US" w:eastAsia="ko-KR"/>
            </w:rPr>
            <w:t>Submitted</w:t>
          </w:r>
          <w:r w:rsidRPr="00F5548B">
            <w:rPr>
              <w:rFonts w:eastAsia="HGSGothicM"/>
              <w:b w:val="0"/>
              <w:kern w:val="2"/>
              <w:lang w:val="en-US" w:eastAsia="ja-JP"/>
            </w:rPr>
            <w:t xml:space="preserve"> by the expert from OICA</w:t>
          </w:r>
        </w:p>
      </w:tc>
      <w:tc>
        <w:tcPr>
          <w:tcW w:w="4814" w:type="dxa"/>
        </w:tcPr>
        <w:p w:rsidR="00F5548B" w:rsidRPr="00F5548B" w:rsidRDefault="00F5548B" w:rsidP="00F5548B">
          <w:pPr>
            <w:jc w:val="right"/>
            <w:rPr>
              <w:lang w:val="en-US"/>
            </w:rPr>
          </w:pPr>
          <w:r w:rsidRPr="00F5548B">
            <w:rPr>
              <w:lang w:val="en-US"/>
            </w:rPr>
            <w:t xml:space="preserve">Informal document </w:t>
          </w:r>
          <w:r w:rsidR="00F3175A">
            <w:rPr>
              <w:b/>
              <w:lang w:val="en-US"/>
            </w:rPr>
            <w:t>GRPE-74-16</w:t>
          </w:r>
        </w:p>
        <w:p w:rsidR="00F5548B" w:rsidRPr="00F5548B" w:rsidRDefault="00F5548B" w:rsidP="00F5548B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 w:rsidRPr="00F5548B">
            <w:rPr>
              <w:rFonts w:eastAsia="HGSGothicM"/>
              <w:kern w:val="2"/>
              <w:lang w:val="en-US" w:eastAsia="ar-SA"/>
            </w:rPr>
            <w:t>7</w:t>
          </w:r>
          <w:r w:rsidRPr="00F5548B">
            <w:rPr>
              <w:rFonts w:eastAsia="HGSGothicM"/>
              <w:kern w:val="2"/>
              <w:lang w:val="en-US" w:eastAsia="ja-JP"/>
            </w:rPr>
            <w:t>4</w:t>
          </w:r>
          <w:r w:rsidRPr="00F5548B">
            <w:rPr>
              <w:rFonts w:eastAsia="HGSGothicM"/>
              <w:kern w:val="2"/>
              <w:vertAlign w:val="superscript"/>
              <w:lang w:val="en-US" w:eastAsia="ja-JP"/>
            </w:rPr>
            <w:t>th</w:t>
          </w:r>
          <w:r w:rsidRPr="00F5548B">
            <w:rPr>
              <w:rFonts w:eastAsia="HGSGothicM"/>
              <w:kern w:val="2"/>
              <w:lang w:val="en-US" w:eastAsia="ar-SA"/>
            </w:rPr>
            <w:t xml:space="preserve"> GRPE, </w:t>
          </w:r>
          <w:r w:rsidRPr="00F5548B">
            <w:rPr>
              <w:rFonts w:eastAsia="HGSGothicM"/>
              <w:kern w:val="2"/>
              <w:lang w:val="en-US" w:eastAsia="ja-JP"/>
            </w:rPr>
            <w:t>9</w:t>
          </w:r>
          <w:r w:rsidRPr="00F5548B">
            <w:rPr>
              <w:rFonts w:eastAsia="HGSGothicM" w:hint="eastAsia"/>
              <w:kern w:val="2"/>
              <w:lang w:val="en-US" w:eastAsia="ja-JP"/>
            </w:rPr>
            <w:t>-</w:t>
          </w:r>
          <w:r w:rsidRPr="00F5548B">
            <w:rPr>
              <w:rFonts w:eastAsia="HGSGothicM"/>
              <w:kern w:val="2"/>
              <w:lang w:val="en-US" w:eastAsia="ja-JP"/>
            </w:rPr>
            <w:t>13</w:t>
          </w:r>
          <w:r w:rsidRPr="00F5548B">
            <w:rPr>
              <w:rFonts w:eastAsia="HGSGothicM"/>
              <w:kern w:val="2"/>
              <w:lang w:val="en-US" w:eastAsia="ar-SA"/>
            </w:rPr>
            <w:t xml:space="preserve"> J</w:t>
          </w:r>
          <w:r w:rsidRPr="00F5548B">
            <w:rPr>
              <w:rFonts w:eastAsia="HGSGothicM"/>
              <w:kern w:val="2"/>
              <w:lang w:val="en-US" w:eastAsia="ja-JP"/>
            </w:rPr>
            <w:t>anuary</w:t>
          </w:r>
          <w:r w:rsidRPr="00F5548B">
            <w:rPr>
              <w:rFonts w:eastAsia="HGSGothicM"/>
              <w:kern w:val="2"/>
              <w:lang w:val="en-US" w:eastAsia="ar-SA"/>
            </w:rPr>
            <w:t xml:space="preserve"> 2017</w:t>
          </w:r>
          <w:r w:rsidRPr="00F5548B">
            <w:rPr>
              <w:rFonts w:eastAsia="HGSGothicM"/>
              <w:kern w:val="2"/>
              <w:lang w:val="en-US" w:eastAsia="ko-KR"/>
            </w:rPr>
            <w:t xml:space="preserve"> </w:t>
          </w:r>
        </w:p>
        <w:p w:rsidR="00F5548B" w:rsidRPr="00F5548B" w:rsidRDefault="00F5548B" w:rsidP="00F5548B">
          <w:pPr>
            <w:pStyle w:val="Header"/>
            <w:pBdr>
              <w:bottom w:val="none" w:sz="0" w:space="0" w:color="auto"/>
            </w:pBdr>
            <w:jc w:val="right"/>
            <w:rPr>
              <w:b w:val="0"/>
            </w:rPr>
          </w:pPr>
          <w:r w:rsidRPr="00F5548B">
            <w:rPr>
              <w:rFonts w:eastAsia="HGSGothicM"/>
              <w:b w:val="0"/>
              <w:kern w:val="2"/>
              <w:lang w:val="en-US" w:eastAsia="ko-KR"/>
            </w:rPr>
            <w:t xml:space="preserve"> </w:t>
          </w:r>
          <w:r w:rsidRPr="00F5548B">
            <w:rPr>
              <w:rFonts w:eastAsia="HGSGothicM"/>
              <w:b w:val="0"/>
              <w:kern w:val="2"/>
              <w:lang w:val="en-US" w:eastAsia="ar-SA"/>
            </w:rPr>
            <w:t xml:space="preserve">agenda item </w:t>
          </w:r>
          <w:r>
            <w:rPr>
              <w:rFonts w:eastAsia="HGSGothicM"/>
              <w:b w:val="0"/>
              <w:kern w:val="2"/>
              <w:lang w:val="en-US" w:eastAsia="ja-JP"/>
            </w:rPr>
            <w:t>3</w:t>
          </w:r>
          <w:r w:rsidRPr="00F5548B">
            <w:rPr>
              <w:rFonts w:eastAsia="HGSGothicM" w:hint="eastAsia"/>
              <w:b w:val="0"/>
              <w:kern w:val="2"/>
              <w:lang w:val="en-US" w:eastAsia="ja-JP"/>
            </w:rPr>
            <w:t>(</w:t>
          </w:r>
          <w:r>
            <w:rPr>
              <w:rFonts w:eastAsia="HGSGothicM"/>
              <w:b w:val="0"/>
              <w:kern w:val="2"/>
              <w:lang w:val="en-US" w:eastAsia="ja-JP"/>
            </w:rPr>
            <w:t>b</w:t>
          </w:r>
          <w:r w:rsidRPr="00F5548B">
            <w:rPr>
              <w:rFonts w:eastAsia="HGSGothicM"/>
              <w:b w:val="0"/>
              <w:kern w:val="2"/>
              <w:lang w:val="en-US" w:eastAsia="ja-JP"/>
            </w:rPr>
            <w:t>)</w:t>
          </w:r>
        </w:p>
      </w:tc>
    </w:tr>
  </w:tbl>
  <w:p w:rsidR="00F5548B" w:rsidRDefault="00F5548B" w:rsidP="00F5548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74A5"/>
    <w:multiLevelType w:val="hybridMultilevel"/>
    <w:tmpl w:val="053659E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44241"/>
    <w:multiLevelType w:val="hybridMultilevel"/>
    <w:tmpl w:val="D6446E16"/>
    <w:lvl w:ilvl="0" w:tplc="59C44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467B80"/>
    <w:multiLevelType w:val="hybridMultilevel"/>
    <w:tmpl w:val="E4504ECE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E3510"/>
    <w:rsid w:val="00007B2F"/>
    <w:rsid w:val="000273D9"/>
    <w:rsid w:val="00051F1B"/>
    <w:rsid w:val="00057301"/>
    <w:rsid w:val="000669F5"/>
    <w:rsid w:val="00071C7F"/>
    <w:rsid w:val="00091441"/>
    <w:rsid w:val="000B2FFA"/>
    <w:rsid w:val="000C1354"/>
    <w:rsid w:val="00112F7E"/>
    <w:rsid w:val="001407BA"/>
    <w:rsid w:val="001409C0"/>
    <w:rsid w:val="00161575"/>
    <w:rsid w:val="001A7437"/>
    <w:rsid w:val="001B3D4D"/>
    <w:rsid w:val="001C1B5E"/>
    <w:rsid w:val="001C621D"/>
    <w:rsid w:val="001E1973"/>
    <w:rsid w:val="001E2DD7"/>
    <w:rsid w:val="00242A5F"/>
    <w:rsid w:val="00243396"/>
    <w:rsid w:val="0025440C"/>
    <w:rsid w:val="00283310"/>
    <w:rsid w:val="00284047"/>
    <w:rsid w:val="002A39AD"/>
    <w:rsid w:val="002A4117"/>
    <w:rsid w:val="002A4640"/>
    <w:rsid w:val="002B0926"/>
    <w:rsid w:val="002C633C"/>
    <w:rsid w:val="002D475E"/>
    <w:rsid w:val="002D558C"/>
    <w:rsid w:val="002E57E5"/>
    <w:rsid w:val="002F5909"/>
    <w:rsid w:val="003055E5"/>
    <w:rsid w:val="00333FAB"/>
    <w:rsid w:val="003450D9"/>
    <w:rsid w:val="003516FA"/>
    <w:rsid w:val="00353DC9"/>
    <w:rsid w:val="00374F31"/>
    <w:rsid w:val="003929E9"/>
    <w:rsid w:val="003930EB"/>
    <w:rsid w:val="00394A93"/>
    <w:rsid w:val="003A3146"/>
    <w:rsid w:val="003B5E7D"/>
    <w:rsid w:val="003C10B9"/>
    <w:rsid w:val="003E3D97"/>
    <w:rsid w:val="003E5FAF"/>
    <w:rsid w:val="003F0D14"/>
    <w:rsid w:val="00401CCB"/>
    <w:rsid w:val="004028ED"/>
    <w:rsid w:val="0040637B"/>
    <w:rsid w:val="0040702F"/>
    <w:rsid w:val="0040720D"/>
    <w:rsid w:val="0041389B"/>
    <w:rsid w:val="004144ED"/>
    <w:rsid w:val="00414BD7"/>
    <w:rsid w:val="004607BB"/>
    <w:rsid w:val="004746C7"/>
    <w:rsid w:val="00477E7C"/>
    <w:rsid w:val="0049356B"/>
    <w:rsid w:val="004A18AA"/>
    <w:rsid w:val="004B5A77"/>
    <w:rsid w:val="004C44AC"/>
    <w:rsid w:val="00503AEA"/>
    <w:rsid w:val="005076CB"/>
    <w:rsid w:val="0051594F"/>
    <w:rsid w:val="00522C0B"/>
    <w:rsid w:val="00532BE8"/>
    <w:rsid w:val="005440D6"/>
    <w:rsid w:val="00552677"/>
    <w:rsid w:val="005614C4"/>
    <w:rsid w:val="00585AC4"/>
    <w:rsid w:val="005A30C5"/>
    <w:rsid w:val="005A6352"/>
    <w:rsid w:val="005B11D4"/>
    <w:rsid w:val="005B5D3B"/>
    <w:rsid w:val="005D3742"/>
    <w:rsid w:val="005D4D73"/>
    <w:rsid w:val="005F7BB4"/>
    <w:rsid w:val="00621003"/>
    <w:rsid w:val="00626984"/>
    <w:rsid w:val="00626D1B"/>
    <w:rsid w:val="0063674E"/>
    <w:rsid w:val="00663D75"/>
    <w:rsid w:val="006832CF"/>
    <w:rsid w:val="00684DA1"/>
    <w:rsid w:val="00697763"/>
    <w:rsid w:val="006B1622"/>
    <w:rsid w:val="006B26B0"/>
    <w:rsid w:val="006C0A8A"/>
    <w:rsid w:val="006D5270"/>
    <w:rsid w:val="006D7830"/>
    <w:rsid w:val="006E3560"/>
    <w:rsid w:val="007065FA"/>
    <w:rsid w:val="0070708F"/>
    <w:rsid w:val="00731D8F"/>
    <w:rsid w:val="007330A1"/>
    <w:rsid w:val="0075757F"/>
    <w:rsid w:val="00766D13"/>
    <w:rsid w:val="0077278F"/>
    <w:rsid w:val="00783427"/>
    <w:rsid w:val="007860C1"/>
    <w:rsid w:val="007870E0"/>
    <w:rsid w:val="00797CEB"/>
    <w:rsid w:val="007E209D"/>
    <w:rsid w:val="00804EE5"/>
    <w:rsid w:val="00846F6A"/>
    <w:rsid w:val="00855020"/>
    <w:rsid w:val="00855267"/>
    <w:rsid w:val="00880EAF"/>
    <w:rsid w:val="00894A9A"/>
    <w:rsid w:val="008A5BA9"/>
    <w:rsid w:val="008C08A8"/>
    <w:rsid w:val="008D7D4B"/>
    <w:rsid w:val="008E090A"/>
    <w:rsid w:val="008F1098"/>
    <w:rsid w:val="00904637"/>
    <w:rsid w:val="00920D20"/>
    <w:rsid w:val="00930F93"/>
    <w:rsid w:val="009342A0"/>
    <w:rsid w:val="009505A1"/>
    <w:rsid w:val="00961CAF"/>
    <w:rsid w:val="0097400E"/>
    <w:rsid w:val="009A2A7E"/>
    <w:rsid w:val="009B059A"/>
    <w:rsid w:val="009C13E3"/>
    <w:rsid w:val="009C46F0"/>
    <w:rsid w:val="009D1028"/>
    <w:rsid w:val="009E3510"/>
    <w:rsid w:val="009E3829"/>
    <w:rsid w:val="00A03070"/>
    <w:rsid w:val="00A045AD"/>
    <w:rsid w:val="00A10406"/>
    <w:rsid w:val="00A16A7E"/>
    <w:rsid w:val="00A50547"/>
    <w:rsid w:val="00A942DA"/>
    <w:rsid w:val="00A964C8"/>
    <w:rsid w:val="00AA2E9E"/>
    <w:rsid w:val="00AA3C17"/>
    <w:rsid w:val="00AA513F"/>
    <w:rsid w:val="00AB3B48"/>
    <w:rsid w:val="00AC1FA2"/>
    <w:rsid w:val="00AE19E5"/>
    <w:rsid w:val="00B42BDA"/>
    <w:rsid w:val="00B42D39"/>
    <w:rsid w:val="00B634A3"/>
    <w:rsid w:val="00B83BC2"/>
    <w:rsid w:val="00B95FA0"/>
    <w:rsid w:val="00BA3748"/>
    <w:rsid w:val="00BB25FD"/>
    <w:rsid w:val="00BE5F73"/>
    <w:rsid w:val="00BF09A9"/>
    <w:rsid w:val="00BF5E78"/>
    <w:rsid w:val="00BF69CF"/>
    <w:rsid w:val="00C16027"/>
    <w:rsid w:val="00C16B9A"/>
    <w:rsid w:val="00C17AEB"/>
    <w:rsid w:val="00C20698"/>
    <w:rsid w:val="00C31EF3"/>
    <w:rsid w:val="00C64308"/>
    <w:rsid w:val="00C65283"/>
    <w:rsid w:val="00C65466"/>
    <w:rsid w:val="00C65A92"/>
    <w:rsid w:val="00C76B16"/>
    <w:rsid w:val="00C93159"/>
    <w:rsid w:val="00C93401"/>
    <w:rsid w:val="00C93CB2"/>
    <w:rsid w:val="00CA1F82"/>
    <w:rsid w:val="00CA21D1"/>
    <w:rsid w:val="00CA4CBE"/>
    <w:rsid w:val="00CB684C"/>
    <w:rsid w:val="00CB6CC4"/>
    <w:rsid w:val="00D259F5"/>
    <w:rsid w:val="00D46B5C"/>
    <w:rsid w:val="00D527C6"/>
    <w:rsid w:val="00D55560"/>
    <w:rsid w:val="00D556F4"/>
    <w:rsid w:val="00D55C53"/>
    <w:rsid w:val="00D64ADD"/>
    <w:rsid w:val="00D7671A"/>
    <w:rsid w:val="00D8302B"/>
    <w:rsid w:val="00D96633"/>
    <w:rsid w:val="00D979AC"/>
    <w:rsid w:val="00DB1F19"/>
    <w:rsid w:val="00DD396E"/>
    <w:rsid w:val="00DE3249"/>
    <w:rsid w:val="00DE3A95"/>
    <w:rsid w:val="00E010CE"/>
    <w:rsid w:val="00E22599"/>
    <w:rsid w:val="00E33BCE"/>
    <w:rsid w:val="00E54A5D"/>
    <w:rsid w:val="00E87B21"/>
    <w:rsid w:val="00E90580"/>
    <w:rsid w:val="00EC0EEA"/>
    <w:rsid w:val="00EC7A70"/>
    <w:rsid w:val="00EE5A12"/>
    <w:rsid w:val="00F3175A"/>
    <w:rsid w:val="00F47CDF"/>
    <w:rsid w:val="00F501AD"/>
    <w:rsid w:val="00F5548B"/>
    <w:rsid w:val="00F834A3"/>
    <w:rsid w:val="00FB3A75"/>
    <w:rsid w:val="00FC3ECF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83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2E5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5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83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2E5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5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Romain</dc:creator>
  <cp:lastModifiedBy>United Nations</cp:lastModifiedBy>
  <cp:revision>2</cp:revision>
  <cp:lastPrinted>2017-01-04T16:04:00Z</cp:lastPrinted>
  <dcterms:created xsi:type="dcterms:W3CDTF">2017-01-11T17:38:00Z</dcterms:created>
  <dcterms:modified xsi:type="dcterms:W3CDTF">2017-01-11T17:38:00Z</dcterms:modified>
</cp:coreProperties>
</file>