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D25586" w:rsidRPr="00D25586" w14:paraId="2345589A" w14:textId="77777777" w:rsidTr="004B3A52">
        <w:trPr>
          <w:cantSplit/>
          <w:trHeight w:hRule="exact" w:val="851"/>
        </w:trPr>
        <w:tc>
          <w:tcPr>
            <w:tcW w:w="1276" w:type="dxa"/>
            <w:tcBorders>
              <w:bottom w:val="single" w:sz="4" w:space="0" w:color="auto"/>
            </w:tcBorders>
            <w:vAlign w:val="bottom"/>
          </w:tcPr>
          <w:p w14:paraId="56DEF66F" w14:textId="77777777" w:rsidR="00D25586" w:rsidRPr="00D25586" w:rsidRDefault="00D25586" w:rsidP="00D25586">
            <w:pPr>
              <w:spacing w:after="80"/>
            </w:pPr>
          </w:p>
        </w:tc>
        <w:tc>
          <w:tcPr>
            <w:tcW w:w="2268" w:type="dxa"/>
            <w:tcBorders>
              <w:bottom w:val="single" w:sz="4" w:space="0" w:color="auto"/>
            </w:tcBorders>
            <w:vAlign w:val="bottom"/>
          </w:tcPr>
          <w:p w14:paraId="42A0F510" w14:textId="77777777" w:rsidR="00D25586" w:rsidRPr="00D25586" w:rsidRDefault="00D25586" w:rsidP="00D25586">
            <w:pPr>
              <w:spacing w:after="80" w:line="300" w:lineRule="exact"/>
              <w:rPr>
                <w:b/>
                <w:sz w:val="24"/>
                <w:szCs w:val="24"/>
              </w:rPr>
            </w:pPr>
            <w:r w:rsidRPr="00D25586">
              <w:rPr>
                <w:sz w:val="28"/>
                <w:szCs w:val="28"/>
              </w:rPr>
              <w:t>United Nations</w:t>
            </w:r>
          </w:p>
        </w:tc>
        <w:tc>
          <w:tcPr>
            <w:tcW w:w="6095" w:type="dxa"/>
            <w:gridSpan w:val="2"/>
            <w:tcBorders>
              <w:bottom w:val="single" w:sz="4" w:space="0" w:color="auto"/>
            </w:tcBorders>
            <w:vAlign w:val="bottom"/>
          </w:tcPr>
          <w:p w14:paraId="33E64081" w14:textId="61CC4D55" w:rsidR="00D25586" w:rsidRPr="00D25586" w:rsidRDefault="00D25586" w:rsidP="00D25586">
            <w:pPr>
              <w:jc w:val="right"/>
            </w:pPr>
            <w:r w:rsidRPr="00D25586">
              <w:rPr>
                <w:sz w:val="40"/>
              </w:rPr>
              <w:t>ECE</w:t>
            </w:r>
            <w:r w:rsidR="00176FD1">
              <w:t>/TRANS/WP.29/GRPE/74/Add.2</w:t>
            </w:r>
          </w:p>
        </w:tc>
      </w:tr>
      <w:tr w:rsidR="00D25586" w:rsidRPr="00D25586" w14:paraId="5ABB89DB" w14:textId="77777777" w:rsidTr="004B3A52">
        <w:trPr>
          <w:cantSplit/>
          <w:trHeight w:hRule="exact" w:val="2835"/>
        </w:trPr>
        <w:tc>
          <w:tcPr>
            <w:tcW w:w="1276" w:type="dxa"/>
            <w:tcBorders>
              <w:top w:val="single" w:sz="4" w:space="0" w:color="auto"/>
              <w:bottom w:val="single" w:sz="12" w:space="0" w:color="auto"/>
            </w:tcBorders>
          </w:tcPr>
          <w:p w14:paraId="3664C737" w14:textId="77777777" w:rsidR="00D25586" w:rsidRPr="00D25586" w:rsidRDefault="00D25586" w:rsidP="00D25586">
            <w:pPr>
              <w:spacing w:before="120"/>
            </w:pPr>
            <w:r w:rsidRPr="00D25586">
              <w:rPr>
                <w:noProof/>
                <w:lang w:eastAsia="en-GB"/>
              </w:rPr>
              <w:drawing>
                <wp:inline distT="0" distB="0" distL="0" distR="0" wp14:anchorId="346417FB" wp14:editId="7EF8B4CC">
                  <wp:extent cx="716915" cy="592455"/>
                  <wp:effectExtent l="0" t="0" r="698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33B5675" w14:textId="77777777" w:rsidR="00D25586" w:rsidRPr="00D25586" w:rsidRDefault="00D25586" w:rsidP="00D25586">
            <w:pPr>
              <w:spacing w:before="120" w:line="420" w:lineRule="exact"/>
              <w:rPr>
                <w:sz w:val="40"/>
                <w:szCs w:val="40"/>
              </w:rPr>
            </w:pPr>
            <w:r w:rsidRPr="00D25586">
              <w:rPr>
                <w:b/>
                <w:sz w:val="40"/>
                <w:szCs w:val="40"/>
              </w:rPr>
              <w:t>Economic and Social Council</w:t>
            </w:r>
          </w:p>
        </w:tc>
        <w:tc>
          <w:tcPr>
            <w:tcW w:w="2835" w:type="dxa"/>
            <w:tcBorders>
              <w:top w:val="single" w:sz="4" w:space="0" w:color="auto"/>
              <w:bottom w:val="single" w:sz="12" w:space="0" w:color="auto"/>
            </w:tcBorders>
          </w:tcPr>
          <w:p w14:paraId="2670994D" w14:textId="77777777" w:rsidR="00D25586" w:rsidRPr="00D25586" w:rsidRDefault="00D25586" w:rsidP="00D25586">
            <w:pPr>
              <w:spacing w:before="240" w:line="240" w:lineRule="exact"/>
            </w:pPr>
            <w:r w:rsidRPr="00D25586">
              <w:t>Distr.: General</w:t>
            </w:r>
          </w:p>
          <w:p w14:paraId="48B5EDCC" w14:textId="48EDD80F" w:rsidR="00D25586" w:rsidRPr="00D25586" w:rsidRDefault="00E36230" w:rsidP="00D25586">
            <w:pPr>
              <w:spacing w:line="240" w:lineRule="exact"/>
            </w:pPr>
            <w:r>
              <w:t>21 March 2017</w:t>
            </w:r>
          </w:p>
          <w:p w14:paraId="06708840" w14:textId="77777777" w:rsidR="00D25586" w:rsidRPr="00D25586" w:rsidRDefault="00D25586" w:rsidP="00D25586">
            <w:pPr>
              <w:spacing w:line="240" w:lineRule="exact"/>
            </w:pPr>
          </w:p>
          <w:p w14:paraId="2627AA43" w14:textId="3A8F3252" w:rsidR="00D25586" w:rsidRPr="00D25586" w:rsidRDefault="00D25586" w:rsidP="00D25586">
            <w:pPr>
              <w:spacing w:line="240" w:lineRule="exact"/>
            </w:pPr>
            <w:r w:rsidRPr="00D25586">
              <w:t>English</w:t>
            </w:r>
            <w:r>
              <w:t xml:space="preserve"> only</w:t>
            </w:r>
          </w:p>
        </w:tc>
      </w:tr>
    </w:tbl>
    <w:p w14:paraId="67A47544" w14:textId="77777777" w:rsidR="00D25586" w:rsidRPr="00D25586" w:rsidRDefault="00D25586" w:rsidP="00D25586">
      <w:pPr>
        <w:spacing w:before="100" w:line="240" w:lineRule="auto"/>
        <w:rPr>
          <w:b/>
          <w:sz w:val="28"/>
          <w:szCs w:val="28"/>
        </w:rPr>
      </w:pPr>
      <w:r w:rsidRPr="00D25586">
        <w:rPr>
          <w:b/>
          <w:sz w:val="28"/>
          <w:szCs w:val="28"/>
        </w:rPr>
        <w:t>Economic Commission for Europe</w:t>
      </w:r>
    </w:p>
    <w:p w14:paraId="2B33A252" w14:textId="77777777" w:rsidR="00D25586" w:rsidRPr="00D25586" w:rsidRDefault="00D25586" w:rsidP="00D25586">
      <w:pPr>
        <w:spacing w:before="100" w:line="240" w:lineRule="auto"/>
        <w:rPr>
          <w:sz w:val="28"/>
          <w:szCs w:val="28"/>
        </w:rPr>
      </w:pPr>
      <w:r w:rsidRPr="00D25586">
        <w:rPr>
          <w:sz w:val="28"/>
          <w:szCs w:val="28"/>
        </w:rPr>
        <w:t>Inland Transport Committee</w:t>
      </w:r>
    </w:p>
    <w:p w14:paraId="76E6FDDA" w14:textId="77777777" w:rsidR="00D25586" w:rsidRPr="00D25586" w:rsidRDefault="00D25586" w:rsidP="00D25586">
      <w:pPr>
        <w:spacing w:before="100" w:line="240" w:lineRule="auto"/>
        <w:rPr>
          <w:b/>
          <w:sz w:val="24"/>
          <w:szCs w:val="24"/>
        </w:rPr>
      </w:pPr>
      <w:r w:rsidRPr="00D25586">
        <w:rPr>
          <w:b/>
          <w:sz w:val="24"/>
          <w:szCs w:val="24"/>
        </w:rPr>
        <w:t>World Forum for Harmonization of Vehicle Regulations</w:t>
      </w:r>
    </w:p>
    <w:p w14:paraId="16A57AC6" w14:textId="77777777" w:rsidR="00D25586" w:rsidRPr="00D25586" w:rsidRDefault="00D25586" w:rsidP="00D25586">
      <w:pPr>
        <w:spacing w:before="100" w:line="240" w:lineRule="auto"/>
        <w:rPr>
          <w:b/>
          <w:sz w:val="22"/>
          <w:szCs w:val="24"/>
        </w:rPr>
      </w:pPr>
      <w:r w:rsidRPr="00D25586">
        <w:rPr>
          <w:b/>
          <w:sz w:val="22"/>
          <w:szCs w:val="24"/>
        </w:rPr>
        <w:t>Working Party on Pollution and Energy</w:t>
      </w:r>
    </w:p>
    <w:p w14:paraId="6563CB07" w14:textId="521E8A53" w:rsidR="00D25586" w:rsidRPr="00D25586" w:rsidRDefault="00D25586" w:rsidP="00D25586">
      <w:pPr>
        <w:spacing w:before="100" w:line="240" w:lineRule="auto"/>
        <w:rPr>
          <w:b/>
        </w:rPr>
      </w:pPr>
      <w:r w:rsidRPr="00D25586">
        <w:rPr>
          <w:b/>
        </w:rPr>
        <w:t>Seventy-</w:t>
      </w:r>
      <w:r w:rsidR="00176FD1">
        <w:rPr>
          <w:b/>
        </w:rPr>
        <w:t>fourth</w:t>
      </w:r>
      <w:r w:rsidRPr="00D25586">
        <w:rPr>
          <w:b/>
        </w:rPr>
        <w:t xml:space="preserve"> </w:t>
      </w:r>
      <w:proofErr w:type="gramStart"/>
      <w:r w:rsidRPr="00D25586">
        <w:rPr>
          <w:b/>
        </w:rPr>
        <w:t>session</w:t>
      </w:r>
      <w:proofErr w:type="gramEnd"/>
    </w:p>
    <w:p w14:paraId="4070C839" w14:textId="72F25489" w:rsidR="00D25586" w:rsidRPr="00D25586" w:rsidRDefault="00176FD1" w:rsidP="00D25586">
      <w:pPr>
        <w:spacing w:line="240" w:lineRule="auto"/>
      </w:pPr>
      <w:r>
        <w:t>Geneva, 10-13 January 2017</w:t>
      </w:r>
    </w:p>
    <w:p w14:paraId="3142F452" w14:textId="4F93A8D0" w:rsidR="00D25586" w:rsidRDefault="00D25586" w:rsidP="00D25586">
      <w:pPr>
        <w:pStyle w:val="HChG"/>
      </w:pPr>
      <w:r w:rsidRPr="00D25586">
        <w:rPr>
          <w:b w:val="0"/>
          <w:sz w:val="20"/>
        </w:rPr>
        <w:tab/>
      </w:r>
      <w:r w:rsidRPr="00D25586">
        <w:rPr>
          <w:b w:val="0"/>
          <w:sz w:val="20"/>
        </w:rPr>
        <w:tab/>
      </w:r>
      <w:r w:rsidRPr="00D25586">
        <w:t>Report of the Working Party on Pollution and Energy (GRPE) on its seventy-</w:t>
      </w:r>
      <w:r w:rsidR="00176FD1">
        <w:t>fourth</w:t>
      </w:r>
      <w:r w:rsidRPr="00D25586">
        <w:t xml:space="preserve"> session</w:t>
      </w:r>
    </w:p>
    <w:p w14:paraId="6DF800F9" w14:textId="4BE13D3E" w:rsidR="00220BA5" w:rsidRDefault="00176FD1" w:rsidP="00220BA5">
      <w:pPr>
        <w:spacing w:after="240"/>
        <w:ind w:left="2552" w:right="1134" w:hanging="1418"/>
        <w:jc w:val="both"/>
        <w:rPr>
          <w:b/>
        </w:rPr>
      </w:pPr>
      <w:r>
        <w:rPr>
          <w:b/>
        </w:rPr>
        <w:t>Addendum 2</w:t>
      </w:r>
    </w:p>
    <w:p w14:paraId="2A25248D" w14:textId="630F7321" w:rsidR="00220BA5" w:rsidRDefault="00220BA5" w:rsidP="00220BA5">
      <w:pPr>
        <w:spacing w:before="360" w:after="240" w:line="300" w:lineRule="exact"/>
        <w:ind w:left="1134" w:right="1134"/>
        <w:rPr>
          <w:b/>
          <w:sz w:val="28"/>
          <w:szCs w:val="28"/>
        </w:rPr>
      </w:pPr>
      <w:r w:rsidRPr="00220BA5">
        <w:rPr>
          <w:b/>
          <w:sz w:val="28"/>
          <w:szCs w:val="28"/>
        </w:rPr>
        <w:t xml:space="preserve">Adopted </w:t>
      </w:r>
      <w:r w:rsidR="006D4E33">
        <w:rPr>
          <w:b/>
          <w:sz w:val="28"/>
          <w:szCs w:val="28"/>
        </w:rPr>
        <w:t xml:space="preserve">technical report on the development </w:t>
      </w:r>
      <w:r w:rsidR="00E05698" w:rsidRPr="00E05698">
        <w:rPr>
          <w:b/>
          <w:sz w:val="28"/>
          <w:szCs w:val="28"/>
        </w:rPr>
        <w:t xml:space="preserve">of </w:t>
      </w:r>
      <w:r w:rsidR="00E05698">
        <w:rPr>
          <w:b/>
          <w:sz w:val="28"/>
          <w:szCs w:val="28"/>
        </w:rPr>
        <w:t xml:space="preserve">a </w:t>
      </w:r>
      <w:r w:rsidR="00176FD1">
        <w:rPr>
          <w:b/>
          <w:sz w:val="28"/>
          <w:szCs w:val="28"/>
        </w:rPr>
        <w:t xml:space="preserve">draft </w:t>
      </w:r>
      <w:r w:rsidR="00E05698">
        <w:rPr>
          <w:b/>
          <w:sz w:val="28"/>
          <w:szCs w:val="28"/>
        </w:rPr>
        <w:t xml:space="preserve">new </w:t>
      </w:r>
      <w:r w:rsidR="00176FD1">
        <w:rPr>
          <w:b/>
          <w:sz w:val="28"/>
          <w:szCs w:val="28"/>
        </w:rPr>
        <w:t xml:space="preserve">global technical regulation </w:t>
      </w:r>
      <w:r w:rsidR="00176FD1" w:rsidRPr="00176FD1">
        <w:rPr>
          <w:b/>
          <w:sz w:val="28"/>
          <w:szCs w:val="28"/>
        </w:rPr>
        <w:t xml:space="preserve">on </w:t>
      </w:r>
      <w:proofErr w:type="spellStart"/>
      <w:r w:rsidR="00E36230">
        <w:rPr>
          <w:b/>
          <w:sz w:val="28"/>
          <w:szCs w:val="28"/>
        </w:rPr>
        <w:t>EVAP</w:t>
      </w:r>
      <w:r w:rsidR="00176FD1" w:rsidRPr="00176FD1">
        <w:rPr>
          <w:b/>
          <w:sz w:val="28"/>
          <w:szCs w:val="28"/>
        </w:rPr>
        <w:t>orative</w:t>
      </w:r>
      <w:proofErr w:type="spellEnd"/>
      <w:r w:rsidR="00176FD1" w:rsidRPr="00176FD1">
        <w:rPr>
          <w:b/>
          <w:sz w:val="28"/>
          <w:szCs w:val="28"/>
        </w:rPr>
        <w:t xml:space="preserve"> emission test procedure for the </w:t>
      </w:r>
      <w:proofErr w:type="gramStart"/>
      <w:r w:rsidR="00176FD1" w:rsidRPr="00176FD1">
        <w:rPr>
          <w:b/>
          <w:sz w:val="28"/>
          <w:szCs w:val="28"/>
        </w:rPr>
        <w:t>Worldwide</w:t>
      </w:r>
      <w:proofErr w:type="gramEnd"/>
      <w:r w:rsidR="00176FD1" w:rsidRPr="00176FD1">
        <w:rPr>
          <w:b/>
          <w:sz w:val="28"/>
          <w:szCs w:val="28"/>
        </w:rPr>
        <w:t xml:space="preserve"> harmonized Light vehicles Test Procedure (WLTP EVAP)</w:t>
      </w:r>
    </w:p>
    <w:p w14:paraId="63C149CF" w14:textId="6D2A49AE" w:rsidR="00704B4E" w:rsidRPr="00704B4E" w:rsidRDefault="00704B4E" w:rsidP="00D52372">
      <w:pPr>
        <w:pStyle w:val="SingleTxtG"/>
        <w:tabs>
          <w:tab w:val="left" w:pos="8505"/>
        </w:tabs>
        <w:ind w:firstLine="567"/>
      </w:pPr>
      <w:r w:rsidRPr="00704B4E">
        <w:t xml:space="preserve">The text reproduced below was </w:t>
      </w:r>
      <w:r>
        <w:t xml:space="preserve">adopted </w:t>
      </w:r>
      <w:r w:rsidR="00176FD1">
        <w:t>on the basis of GRPE-74</w:t>
      </w:r>
      <w:r w:rsidR="006D4E33">
        <w:t>-</w:t>
      </w:r>
      <w:r w:rsidR="00176FD1">
        <w:t>04 (see para. 19</w:t>
      </w:r>
      <w:r>
        <w:t xml:space="preserve"> of the report)</w:t>
      </w:r>
      <w:r w:rsidR="006D4E33">
        <w:t>.</w:t>
      </w:r>
    </w:p>
    <w:p w14:paraId="291F2F6D" w14:textId="11579A7C" w:rsidR="00181587" w:rsidRPr="00C47377" w:rsidRDefault="00A40525" w:rsidP="00CF4967">
      <w:pPr>
        <w:pStyle w:val="HChG"/>
      </w:pPr>
      <w:r w:rsidRPr="00C47377">
        <w:rPr>
          <w:highlight w:val="yellow"/>
        </w:rPr>
        <w:br w:type="page"/>
      </w:r>
      <w:r w:rsidR="00181587" w:rsidRPr="00C47377">
        <w:lastRenderedPageBreak/>
        <w:tab/>
      </w:r>
      <w:r w:rsidR="00181587" w:rsidRPr="00C47377">
        <w:tab/>
      </w:r>
      <w:r w:rsidR="00F35E79">
        <w:rPr>
          <w:szCs w:val="28"/>
        </w:rPr>
        <w:t xml:space="preserve">Technical report on the development of </w:t>
      </w:r>
      <w:r w:rsidR="00DF3303" w:rsidRPr="00DF3303">
        <w:rPr>
          <w:szCs w:val="28"/>
        </w:rPr>
        <w:t xml:space="preserve">a </w:t>
      </w:r>
      <w:r w:rsidR="00176FD1" w:rsidRPr="00176FD1">
        <w:rPr>
          <w:szCs w:val="28"/>
        </w:rPr>
        <w:t xml:space="preserve">draft new global technical regulation on </w:t>
      </w:r>
      <w:proofErr w:type="spellStart"/>
      <w:r w:rsidR="00E36230">
        <w:rPr>
          <w:szCs w:val="28"/>
        </w:rPr>
        <w:t>EVAP</w:t>
      </w:r>
      <w:r w:rsidR="00176FD1" w:rsidRPr="00176FD1">
        <w:rPr>
          <w:szCs w:val="28"/>
        </w:rPr>
        <w:t>orative</w:t>
      </w:r>
      <w:proofErr w:type="spellEnd"/>
      <w:r w:rsidR="00176FD1" w:rsidRPr="00176FD1">
        <w:rPr>
          <w:szCs w:val="28"/>
        </w:rPr>
        <w:t xml:space="preserve"> emission test procedure for the Worldwide harmonized Light vehicles Test Procedure (WLTP EVAP)</w:t>
      </w:r>
    </w:p>
    <w:p w14:paraId="2C6B30C1" w14:textId="603C1173" w:rsidR="00181587" w:rsidRDefault="00181587" w:rsidP="00181587">
      <w:pPr>
        <w:pStyle w:val="HChG"/>
      </w:pPr>
      <w:r w:rsidRPr="00C47377">
        <w:tab/>
        <w:t>I.</w:t>
      </w:r>
      <w:r w:rsidRPr="00C47377">
        <w:tab/>
      </w:r>
      <w:r w:rsidR="00F35E79">
        <w:t>Introduction</w:t>
      </w:r>
    </w:p>
    <w:p w14:paraId="29DCF6DE" w14:textId="3C7F7016" w:rsidR="00EC3D61" w:rsidRDefault="00EC3D61" w:rsidP="00EC3D61">
      <w:pPr>
        <w:pStyle w:val="SingleTxtG"/>
      </w:pPr>
      <w:r>
        <w:t>1.</w:t>
      </w:r>
      <w:r>
        <w:tab/>
        <w:t xml:space="preserve">Compliance with emission standards is a central issue of vehicle certification worldwide. Emissions comprise criteria pollutants having a direct (mainly local) negative impact on health and environment, as well as pollutants having a negative environmental impact on a global scale. Regulatory emission standards </w:t>
      </w:r>
      <w:r w:rsidR="00E36230">
        <w:t xml:space="preserve">are typically </w:t>
      </w:r>
      <w:r>
        <w:t>complex documents, describing measurement procedures under a variety of well-defined conditions, setting limit values for emissions, but also defining other elements such as durability and on-board monitoring of emission control devices.</w:t>
      </w:r>
    </w:p>
    <w:p w14:paraId="1CF77DD7" w14:textId="79169744" w:rsidR="00EC3D61" w:rsidRDefault="00EC3D61" w:rsidP="00EC3D61">
      <w:pPr>
        <w:pStyle w:val="SingleTxtG"/>
      </w:pPr>
      <w:r>
        <w:t>2.</w:t>
      </w:r>
      <w:r>
        <w:tab/>
        <w:t xml:space="preserve">Most manufacturers produce vehicles for a global clientele or at least for several regions. </w:t>
      </w:r>
      <w:r w:rsidR="00E36230">
        <w:t>While</w:t>
      </w:r>
      <w:r>
        <w:t xml:space="preserve">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 therefore, have a strong interest in harmonizing vehicle emission test procedures and performance requirements as much as possible on a global scale. Regulators also have an interest in global harmonization since it offers more efficient development and adaptation to technical progress, potential collaboration at market surveillance and facilitates the exchange of information between authorities.</w:t>
      </w:r>
    </w:p>
    <w:p w14:paraId="5DA356C1" w14:textId="36AEBC18" w:rsidR="00EC3D61" w:rsidRDefault="00EC3D61" w:rsidP="00EC3D61">
      <w:pPr>
        <w:pStyle w:val="SingleTxtG"/>
      </w:pPr>
      <w:r>
        <w:t>3.</w:t>
      </w:r>
      <w:r>
        <w:tab/>
        <w:t xml:space="preserve">The development of </w:t>
      </w:r>
      <w:r w:rsidR="00E36230">
        <w:t xml:space="preserve">the </w:t>
      </w:r>
      <w:r w:rsidR="00E36230" w:rsidRPr="00E36230">
        <w:t xml:space="preserve">Worldwide harmonized Light vehicles Test Procedure </w:t>
      </w:r>
      <w:r w:rsidR="00E36230">
        <w:t>(</w:t>
      </w:r>
      <w:r>
        <w:t>WLTP</w:t>
      </w:r>
      <w:r w:rsidR="00E36230">
        <w:t>)</w:t>
      </w:r>
      <w:r>
        <w:t xml:space="preserve"> is being carried out under a program launched by the World Forum for the Harmonization of Vehicle Regulations (WP.29) of the United Nations Economic Commission for Europe (UNECE) through the Working Party on Pollution and Energy (GRPE). The aim </w:t>
      </w:r>
      <w:r w:rsidR="008C5FDB">
        <w:t>of this project is to develop WLTP</w:t>
      </w:r>
      <w:r>
        <w:t xml:space="preserve">. A roadmap for the development of a UN </w:t>
      </w:r>
      <w:r w:rsidR="006348CA">
        <w:t>Global Technical Regulation (</w:t>
      </w:r>
      <w:r>
        <w:t>GTR) was first presented in August 2009.</w:t>
      </w:r>
      <w:r w:rsidRPr="00EC3D61">
        <w:rPr>
          <w:vertAlign w:val="superscript"/>
        </w:rPr>
        <w:footnoteReference w:id="2"/>
      </w:r>
    </w:p>
    <w:p w14:paraId="5E44060C" w14:textId="24E53D6F" w:rsidR="00EC3D61" w:rsidRDefault="00DF77F3" w:rsidP="00EC3D61">
      <w:pPr>
        <w:pStyle w:val="SingleTxtG"/>
      </w:pPr>
      <w:r>
        <w:t>4</w:t>
      </w:r>
      <w:r w:rsidR="00EC3D61">
        <w:t>.</w:t>
      </w:r>
      <w:r w:rsidR="00EC3D61">
        <w:tab/>
        <w:t>In a first phase (WLTP Phase 1) the objective was to develop a harmonized test procedure covering the measurement of exhaust emissions after a cold start (Type I test).</w:t>
      </w:r>
    </w:p>
    <w:p w14:paraId="72A8F5B0" w14:textId="3A6B2EFD" w:rsidR="00EC3D61" w:rsidRDefault="00DF77F3" w:rsidP="00EC3D61">
      <w:pPr>
        <w:pStyle w:val="SingleTxtG"/>
      </w:pPr>
      <w:r>
        <w:t>5</w:t>
      </w:r>
      <w:r w:rsidR="00EC3D61">
        <w:t>.</w:t>
      </w:r>
      <w:r w:rsidR="00EC3D61">
        <w:tab/>
        <w:t xml:space="preserve">The informal group on WLTP started in 2009. The original schedule and scope were described in ECE/TRANS/WP.29/AC.3/26 and Add.1. The informal group of WLTP submitted a GTR text of WLTP and it was adopted as GTR (No.15 of the Global registry) in November 2013 by </w:t>
      </w:r>
      <w:r w:rsidR="00EC3D61" w:rsidRPr="00535706">
        <w:t>the Executive Committee of the 1998 Agreement (AC.3)</w:t>
      </w:r>
      <w:r w:rsidR="00EC3D61">
        <w:t>.</w:t>
      </w:r>
    </w:p>
    <w:p w14:paraId="56E66064" w14:textId="317CEDE7" w:rsidR="00EC3D61" w:rsidRDefault="00DF77F3" w:rsidP="00EC3D61">
      <w:pPr>
        <w:pStyle w:val="SingleTxtG"/>
      </w:pPr>
      <w:r>
        <w:t>6</w:t>
      </w:r>
      <w:r w:rsidR="00EC3D61">
        <w:t>.</w:t>
      </w:r>
      <w:r w:rsidR="00EC3D61">
        <w:tab/>
        <w:t>In the second phase (WLTP Phase 2) the objective is to develop harmonized test procedures covering other test types. A starting note on WLTP Phase 2 was first presented at the seventieth session of GRPE in January 2015.</w:t>
      </w:r>
    </w:p>
    <w:p w14:paraId="5F0CB51E" w14:textId="6BFF63BD" w:rsidR="00EC3D61" w:rsidRDefault="00DF77F3" w:rsidP="00EC3D61">
      <w:pPr>
        <w:pStyle w:val="SingleTxtG"/>
      </w:pPr>
      <w:r>
        <w:t>7</w:t>
      </w:r>
      <w:r w:rsidR="00EC3D61">
        <w:t>.</w:t>
      </w:r>
      <w:r w:rsidR="00EC3D61">
        <w:tab/>
      </w:r>
      <w:r w:rsidR="00385865">
        <w:t xml:space="preserve">The </w:t>
      </w:r>
      <w:r w:rsidR="0013329A">
        <w:t xml:space="preserve">Technical Sponsors presented the </w:t>
      </w:r>
      <w:r w:rsidR="00385865">
        <w:t xml:space="preserve">request for the </w:t>
      </w:r>
      <w:r w:rsidR="0013329A">
        <w:t xml:space="preserve">Phase 2 </w:t>
      </w:r>
      <w:r w:rsidR="00385865">
        <w:t xml:space="preserve">mandate </w:t>
      </w:r>
      <w:r w:rsidR="0013329A">
        <w:t>at</w:t>
      </w:r>
      <w:r w:rsidR="00385865">
        <w:t xml:space="preserve"> the seventy-first session of GRPE in June 2015 (GRPE-71-27)</w:t>
      </w:r>
      <w:r w:rsidR="0013329A">
        <w:t xml:space="preserve">. Phase 2 of the mandate was </w:t>
      </w:r>
      <w:r w:rsidR="00385865">
        <w:t xml:space="preserve">adopted by AC.3 in </w:t>
      </w:r>
      <w:r w:rsidR="0013329A">
        <w:t xml:space="preserve">June 2016 </w:t>
      </w:r>
      <w:r w:rsidR="00385865">
        <w:t>(</w:t>
      </w:r>
      <w:r w:rsidR="0013329A">
        <w:t>ECE/TRANS/WP.29/AC.3/44</w:t>
      </w:r>
      <w:r w:rsidR="00385865">
        <w:t>).</w:t>
      </w:r>
    </w:p>
    <w:p w14:paraId="058D231B" w14:textId="4D3554D8" w:rsidR="00EC3D61" w:rsidRDefault="00DF77F3" w:rsidP="00EC3D61">
      <w:pPr>
        <w:pStyle w:val="SingleTxtG"/>
      </w:pPr>
      <w:r>
        <w:t>8</w:t>
      </w:r>
      <w:r w:rsidR="00EC3D61">
        <w:t>.</w:t>
      </w:r>
      <w:r w:rsidR="00EC3D61">
        <w:tab/>
        <w:t>The work of the group on WLTP Phase 2 should be completed by the end of 2018.</w:t>
      </w:r>
    </w:p>
    <w:p w14:paraId="73923743" w14:textId="3810BB2D" w:rsidR="00F820F3" w:rsidRDefault="00B51726" w:rsidP="00EC3D61">
      <w:pPr>
        <w:pStyle w:val="SingleTxtG"/>
      </w:pPr>
      <w:r>
        <w:lastRenderedPageBreak/>
        <w:t>9</w:t>
      </w:r>
      <w:r w:rsidR="00EC3D61">
        <w:t>.</w:t>
      </w:r>
      <w:r w:rsidR="00EC3D61">
        <w:tab/>
        <w:t>Among the several working items to be addressed in the WLTP Phase 2, it was proposed to complete the development of a harmonized test procedure for evaporative emissions within 2016 and to present a GTR proposal in January 2017 as a separate GTR from GTR</w:t>
      </w:r>
      <w:r w:rsidR="006348CA">
        <w:t xml:space="preserve"> No. </w:t>
      </w:r>
      <w:r w:rsidR="00EC3D61">
        <w:t>15.</w:t>
      </w:r>
    </w:p>
    <w:p w14:paraId="445057FD" w14:textId="4D4BAD64" w:rsidR="006348CA" w:rsidRDefault="00B51726" w:rsidP="006348CA">
      <w:pPr>
        <w:pStyle w:val="SingleTxtG"/>
      </w:pPr>
      <w:r>
        <w:t>10</w:t>
      </w:r>
      <w:r w:rsidR="006348CA">
        <w:t>.</w:t>
      </w:r>
      <w:r w:rsidR="006348CA">
        <w:tab/>
        <w:t xml:space="preserve">It should be noted that since the beginning of the WLTP process, the European Union </w:t>
      </w:r>
      <w:r w:rsidR="00CC6818">
        <w:t xml:space="preserve">(EU) </w:t>
      </w:r>
      <w:r w:rsidR="006348CA">
        <w:t>had a strong political objective set by its own legislation (Regulations (EC) 715/2007 and 692/2008) and communications (Communication on the application and future development of Community legislation concerning vehicle emissions from light-duty vehicles and access to repair and maintenance information (Euro 5 and 6) - (2008/C 182/08)) to review the test procedure for evaporative emissions to ensure that:</w:t>
      </w:r>
    </w:p>
    <w:p w14:paraId="594C5B00" w14:textId="4EE8FB4A" w:rsidR="006348CA" w:rsidRDefault="006348CA" w:rsidP="006348CA">
      <w:pPr>
        <w:pStyle w:val="SingleTxtG"/>
      </w:pPr>
      <w:r>
        <w:tab/>
        <w:t>(a)</w:t>
      </w:r>
      <w:r>
        <w:tab/>
        <w:t xml:space="preserve">Evaporative emissions are effectively limited throughout the normal life of </w:t>
      </w:r>
      <w:r>
        <w:tab/>
      </w:r>
      <w:r>
        <w:tab/>
        <w:t>the vehicles under normal conditions of use;</w:t>
      </w:r>
    </w:p>
    <w:p w14:paraId="614C03E3" w14:textId="6ECFD0D8" w:rsidR="006348CA" w:rsidRDefault="006348CA" w:rsidP="006348CA">
      <w:pPr>
        <w:pStyle w:val="SingleTxtG"/>
      </w:pPr>
      <w:r>
        <w:tab/>
        <w:t>(b)</w:t>
      </w:r>
      <w:r>
        <w:tab/>
        <w:t xml:space="preserve">Due to the expected wider introduction of biofuels, the effects of long term </w:t>
      </w:r>
      <w:r>
        <w:tab/>
      </w:r>
      <w:r>
        <w:tab/>
        <w:t>use of fuels containing ethanol on evaporative emissions are duly controlled.</w:t>
      </w:r>
    </w:p>
    <w:p w14:paraId="7DEBDCDB" w14:textId="4A26F1C3" w:rsidR="006348CA" w:rsidRDefault="00B51726" w:rsidP="006348CA">
      <w:pPr>
        <w:pStyle w:val="SingleTxtG"/>
      </w:pPr>
      <w:r>
        <w:t>11</w:t>
      </w:r>
      <w:r w:rsidR="006348CA">
        <w:t>.</w:t>
      </w:r>
      <w:r w:rsidR="006348CA">
        <w:tab/>
        <w:t>Japan also had a strong desire to complete the development within 2016, because they were in the process of revising their evaporative emission procedure.</w:t>
      </w:r>
    </w:p>
    <w:p w14:paraId="3C1B695A" w14:textId="545C15A6" w:rsidR="006348CA" w:rsidRDefault="006348CA" w:rsidP="006348CA">
      <w:pPr>
        <w:pStyle w:val="HChG"/>
      </w:pPr>
      <w:r w:rsidRPr="00C47377">
        <w:tab/>
        <w:t>I</w:t>
      </w:r>
      <w:r>
        <w:t>I</w:t>
      </w:r>
      <w:r w:rsidRPr="00C47377">
        <w:t>.</w:t>
      </w:r>
      <w:r w:rsidRPr="00C47377">
        <w:tab/>
      </w:r>
      <w:r>
        <w:t>Objective of WLTP</w:t>
      </w:r>
    </w:p>
    <w:p w14:paraId="1D188A76" w14:textId="26CD8684" w:rsidR="0092718A" w:rsidRDefault="00B51726" w:rsidP="0092718A">
      <w:pPr>
        <w:pStyle w:val="SingleTxtG"/>
      </w:pPr>
      <w:r>
        <w:t>12</w:t>
      </w:r>
      <w:r w:rsidR="0092718A">
        <w:t>.</w:t>
      </w:r>
      <w:r w:rsidR="0092718A">
        <w:tab/>
        <w:t>The primary objective of the GTR developed in the WLTP process is to form the basis for the emission regulation of light-duty vehicles within regional type approval and certification procedures, as well as an objective and comparable source of information to consumers on expected fuel/energy consumption and electric range, if applicable. Each of the Contracting Parties to the 1998 Agreement could then transpose this new standard into their own legislative framework.</w:t>
      </w:r>
    </w:p>
    <w:p w14:paraId="51849666" w14:textId="3BA59195" w:rsidR="0092718A" w:rsidRDefault="00B51726" w:rsidP="0092718A">
      <w:pPr>
        <w:pStyle w:val="SingleTxtG"/>
      </w:pPr>
      <w:r>
        <w:t>13</w:t>
      </w:r>
      <w:r w:rsidR="0092718A">
        <w:t>.</w:t>
      </w:r>
      <w:r w:rsidR="0092718A">
        <w:tab/>
        <w:t>As a result of this overarching objective, the work on WLTP aimed to develop a test procedure that would fulfil the following basic demands:</w:t>
      </w:r>
    </w:p>
    <w:p w14:paraId="668AB679" w14:textId="49BFC39C" w:rsidR="0092718A" w:rsidRDefault="0092718A" w:rsidP="0092718A">
      <w:pPr>
        <w:pStyle w:val="SingleTxtG"/>
        <w:ind w:left="2268" w:hanging="567"/>
      </w:pPr>
      <w:r>
        <w:t>(a)</w:t>
      </w:r>
      <w:r>
        <w:tab/>
        <w:t>The test procedure should be globally harmonized and applicable, and</w:t>
      </w:r>
    </w:p>
    <w:p w14:paraId="72871D9D" w14:textId="117F3B9B" w:rsidR="0092718A" w:rsidRDefault="0092718A" w:rsidP="0092718A">
      <w:pPr>
        <w:pStyle w:val="SingleTxtG"/>
        <w:ind w:left="2268" w:hanging="567"/>
      </w:pPr>
      <w:r>
        <w:t>(b)</w:t>
      </w:r>
      <w:r>
        <w:tab/>
        <w:t>The results should be representative for average real-world vehicle performance in terms of emissions, fuel and/or energy consumption.</w:t>
      </w:r>
    </w:p>
    <w:p w14:paraId="44881230" w14:textId="733C8847" w:rsidR="0092718A" w:rsidRDefault="00B51726" w:rsidP="0092718A">
      <w:pPr>
        <w:pStyle w:val="SingleTxtG"/>
      </w:pPr>
      <w:r>
        <w:t>14</w:t>
      </w:r>
      <w:r w:rsidR="00F449A1">
        <w:t>.</w:t>
      </w:r>
      <w:r w:rsidR="00F449A1">
        <w:tab/>
      </w:r>
      <w:r w:rsidR="0092718A">
        <w:t>One of the essential elements to be addressed within the mandate for WLTP is the evapo</w:t>
      </w:r>
      <w:r w:rsidR="00F449A1">
        <w:t>rative emission test procedure.</w:t>
      </w:r>
    </w:p>
    <w:p w14:paraId="7849DCD3" w14:textId="0A4F3951" w:rsidR="0092718A" w:rsidRDefault="00B51726" w:rsidP="0092718A">
      <w:pPr>
        <w:pStyle w:val="SingleTxtG"/>
      </w:pPr>
      <w:r>
        <w:t>15</w:t>
      </w:r>
      <w:r w:rsidR="00F449A1">
        <w:t>.</w:t>
      </w:r>
      <w:r w:rsidR="00F449A1">
        <w:tab/>
      </w:r>
      <w:r w:rsidR="0092718A">
        <w:t xml:space="preserve">Evaporative emissions from vehicles </w:t>
      </w:r>
      <w:proofErr w:type="gramStart"/>
      <w:r w:rsidR="0092718A">
        <w:t>is</w:t>
      </w:r>
      <w:proofErr w:type="gramEnd"/>
      <w:r w:rsidR="0092718A">
        <w:t xml:space="preserve"> a complex phenomenon involving different sources and depending on multiple factors. Among these, the fleet composition and the typical ambient temperatures differ strongly from region to region. As a consequence, in some cases different solutions have been implemented at regional level to control certain evaporative emissions sources such as, for instance, refuelling emissions or potential leaks. For this reason aiming at a fully harmonized test procedure for all evaporative emissions was considered unrealistic and therefore it was decided to focus only on those elements of the procedure that can be more easily harmonized.</w:t>
      </w:r>
    </w:p>
    <w:p w14:paraId="1F14ED3F" w14:textId="0956C114" w:rsidR="00F449A1" w:rsidRDefault="00F449A1" w:rsidP="00F449A1">
      <w:pPr>
        <w:pStyle w:val="HChG"/>
      </w:pPr>
      <w:r w:rsidRPr="00C47377">
        <w:lastRenderedPageBreak/>
        <w:tab/>
        <w:t>I</w:t>
      </w:r>
      <w:r>
        <w:t>II</w:t>
      </w:r>
      <w:r w:rsidRPr="00C47377">
        <w:t>.</w:t>
      </w:r>
      <w:r w:rsidRPr="00C47377">
        <w:tab/>
      </w:r>
      <w:r w:rsidRPr="00F449A1">
        <w:t>Organisation, structure of the project and contributions of the different subgroups to the GTR</w:t>
      </w:r>
    </w:p>
    <w:p w14:paraId="2F63E1EE" w14:textId="3793AC5C" w:rsidR="00DE5DAC" w:rsidRPr="00DE5DAC" w:rsidRDefault="00DE5DAC" w:rsidP="00DE5DAC">
      <w:pPr>
        <w:keepNext/>
        <w:keepLines/>
        <w:tabs>
          <w:tab w:val="right" w:pos="851"/>
        </w:tabs>
        <w:spacing w:before="360" w:after="240" w:line="270" w:lineRule="exact"/>
        <w:ind w:left="1134" w:right="1134" w:hanging="1134"/>
        <w:rPr>
          <w:b/>
          <w:sz w:val="24"/>
        </w:rPr>
      </w:pPr>
      <w:bookmarkStart w:id="0" w:name="_Toc435001970"/>
      <w:bookmarkStart w:id="1" w:name="_Ref437505417"/>
      <w:bookmarkStart w:id="2" w:name="_Toc437857348"/>
      <w:r w:rsidRPr="00DE5DAC">
        <w:rPr>
          <w:b/>
          <w:sz w:val="24"/>
        </w:rPr>
        <w:tab/>
        <w:t>A.</w:t>
      </w:r>
      <w:r w:rsidRPr="00DE5DAC">
        <w:rPr>
          <w:b/>
          <w:sz w:val="24"/>
        </w:rPr>
        <w:tab/>
      </w:r>
      <w:bookmarkEnd w:id="0"/>
      <w:bookmarkEnd w:id="1"/>
      <w:bookmarkEnd w:id="2"/>
      <w:r w:rsidR="00C77EF6" w:rsidRPr="00C77EF6">
        <w:rPr>
          <w:b/>
          <w:sz w:val="24"/>
        </w:rPr>
        <w:t>WLTP Informal Working Group (WLTP-IWG)</w:t>
      </w:r>
    </w:p>
    <w:p w14:paraId="17C6D990" w14:textId="0A29DC2E" w:rsidR="0057716A" w:rsidRDefault="00B51726" w:rsidP="0057716A">
      <w:pPr>
        <w:spacing w:after="120"/>
        <w:ind w:left="1134" w:right="1134"/>
        <w:jc w:val="both"/>
      </w:pPr>
      <w:r>
        <w:t>16</w:t>
      </w:r>
      <w:r w:rsidR="0057716A">
        <w:t>.</w:t>
      </w:r>
      <w:r w:rsidR="0057716A">
        <w:tab/>
        <w:t>In its November 2007 sessi</w:t>
      </w:r>
      <w:r w:rsidR="00C77EF6">
        <w:t>on, WP.29 decided to set up an I</w:t>
      </w:r>
      <w:r w:rsidR="0057716A">
        <w:t xml:space="preserve">nformal </w:t>
      </w:r>
      <w:r w:rsidR="00C77EF6">
        <w:t>Working G</w:t>
      </w:r>
      <w:r w:rsidR="0057716A">
        <w:t xml:space="preserve">roup </w:t>
      </w:r>
      <w:r w:rsidR="00C77EF6">
        <w:t xml:space="preserve">(IWG) on WLTP </w:t>
      </w:r>
      <w:r w:rsidR="0057716A">
        <w:t>under GRPE to prepare a road map for the development of the WLTP</w:t>
      </w:r>
      <w:r w:rsidR="0091478A" w:rsidRPr="0091478A">
        <w:rPr>
          <w:rFonts w:eastAsia="MS Mincho"/>
          <w:vertAlign w:val="superscript"/>
          <w:lang w:eastAsia="de-DE"/>
        </w:rPr>
        <w:footnoteReference w:id="3"/>
      </w:r>
      <w:r w:rsidR="0057716A">
        <w:t>. After various meetings and intense discussions, WLTP informal working group presented a first road map in June 2009 consisting of three phases. This initial roadmap was subsequently revised a number of times, and consists of the following main tasks:</w:t>
      </w:r>
    </w:p>
    <w:p w14:paraId="429537FD" w14:textId="424360E3" w:rsidR="0057716A" w:rsidRDefault="0057716A" w:rsidP="0057716A">
      <w:pPr>
        <w:spacing w:after="120"/>
        <w:ind w:left="2268" w:right="1134" w:hanging="567"/>
        <w:jc w:val="both"/>
      </w:pPr>
      <w:r>
        <w:t>(a)</w:t>
      </w:r>
      <w:r>
        <w:tab/>
        <w:t xml:space="preserve">Phase 1a (2009 - 2013): development of the worldwide harmonized light duty driving cycle and the basic emission test procedure (Type I test). This led to the first version of GTR No. 15, </w:t>
      </w:r>
      <w:r w:rsidR="00032F18">
        <w:t xml:space="preserve">which was adopted by AC.3 in March 2014 </w:t>
      </w:r>
      <w:r w:rsidR="00032F18" w:rsidRPr="00032F18">
        <w:t>(ECE/TRANS/WP.29/2014/27 and its Corr.1)</w:t>
      </w:r>
      <w:r>
        <w:t>;</w:t>
      </w:r>
    </w:p>
    <w:p w14:paraId="7191B41B" w14:textId="7968D072" w:rsidR="0057716A" w:rsidRDefault="0057716A" w:rsidP="0057716A">
      <w:pPr>
        <w:spacing w:after="120"/>
        <w:ind w:left="2268" w:right="1134" w:hanging="567"/>
        <w:jc w:val="both"/>
      </w:pPr>
      <w:r>
        <w:t>(b)</w:t>
      </w:r>
      <w:r>
        <w:tab/>
        <w:t>Phase 1b (2013</w:t>
      </w:r>
      <w:r w:rsidR="00C77EF6">
        <w:t xml:space="preserve"> </w:t>
      </w:r>
      <w:r>
        <w:t>-</w:t>
      </w:r>
      <w:r w:rsidR="00C77EF6">
        <w:t xml:space="preserve"> </w:t>
      </w:r>
      <w:r>
        <w:t xml:space="preserve">2016): further development and refinement of the Type I test procedure, </w:t>
      </w:r>
      <w:r w:rsidR="00032F18" w:rsidRPr="00032F18">
        <w:t xml:space="preserve">which was adopted by AC.3 in </w:t>
      </w:r>
      <w:r w:rsidR="001E3FD9">
        <w:t>November 2016 (ECE/TRANS/WP.29/2016</w:t>
      </w:r>
      <w:r w:rsidR="00032F18" w:rsidRPr="00032F18">
        <w:t>/</w:t>
      </w:r>
      <w:r w:rsidR="001E3FD9">
        <w:t>69</w:t>
      </w:r>
      <w:r w:rsidR="00032F18" w:rsidRPr="00032F18">
        <w:t>)</w:t>
      </w:r>
      <w:r>
        <w:t>;</w:t>
      </w:r>
    </w:p>
    <w:p w14:paraId="7DB76FC8" w14:textId="6FD980A9" w:rsidR="0057716A" w:rsidRDefault="0057716A" w:rsidP="0057716A">
      <w:pPr>
        <w:spacing w:after="120"/>
        <w:ind w:left="2268" w:right="1134" w:hanging="567"/>
        <w:jc w:val="both"/>
      </w:pPr>
      <w:r>
        <w:t>(c)</w:t>
      </w:r>
      <w:r>
        <w:tab/>
        <w:t>Phase 2 (2016 - 2019): low temperature/high altitude test procedure, durability, in-service conformity, technical requiremen</w:t>
      </w:r>
      <w:r w:rsidR="001E3FD9">
        <w:t>ts for On-Board Diagnostics (OBD), Mobile Air-C</w:t>
      </w:r>
      <w:r>
        <w:t>onditioning (MAC) system energy efficiency, evaporative emissions;</w:t>
      </w:r>
    </w:p>
    <w:p w14:paraId="01485527" w14:textId="77777777" w:rsidR="0057716A" w:rsidRDefault="0057716A" w:rsidP="0057716A">
      <w:pPr>
        <w:spacing w:after="120"/>
        <w:ind w:left="2268" w:right="1134" w:hanging="567"/>
        <w:jc w:val="both"/>
      </w:pPr>
      <w:r>
        <w:t xml:space="preserve">(d) </w:t>
      </w:r>
      <w:r>
        <w:tab/>
        <w:t>Phase 3 (2019 - …): emission limit values and OBD threshold limits, definition of reference fuels, comparison with regional requirements.</w:t>
      </w:r>
    </w:p>
    <w:p w14:paraId="4BFB18D7" w14:textId="6761D481" w:rsidR="0057716A" w:rsidRDefault="00B51726" w:rsidP="0057716A">
      <w:pPr>
        <w:spacing w:after="120"/>
        <w:ind w:left="1134" w:right="1134"/>
        <w:jc w:val="both"/>
      </w:pPr>
      <w:r>
        <w:t>17</w:t>
      </w:r>
      <w:r w:rsidR="0057716A">
        <w:t>.</w:t>
      </w:r>
      <w:r w:rsidR="0057716A">
        <w:tab/>
        <w:t xml:space="preserve">The test procedure for evaporative emissions was developed in 2016 as </w:t>
      </w:r>
      <w:r w:rsidR="00DF77F3">
        <w:t xml:space="preserve">a </w:t>
      </w:r>
      <w:r w:rsidR="0057716A">
        <w:t>Phase 2 activity of WLTP-I</w:t>
      </w:r>
      <w:r w:rsidR="00C77EF6">
        <w:t>W</w:t>
      </w:r>
      <w:r w:rsidR="0057716A">
        <w:t>G.</w:t>
      </w:r>
    </w:p>
    <w:p w14:paraId="7354677C" w14:textId="7EF2C507" w:rsidR="00C77EF6" w:rsidRPr="00DE5DAC" w:rsidRDefault="00C77EF6" w:rsidP="00C77EF6">
      <w:pPr>
        <w:keepNext/>
        <w:keepLines/>
        <w:tabs>
          <w:tab w:val="right" w:pos="851"/>
        </w:tabs>
        <w:spacing w:before="360" w:after="240" w:line="270" w:lineRule="exact"/>
        <w:ind w:left="1134" w:right="1134" w:hanging="1134"/>
        <w:rPr>
          <w:b/>
          <w:sz w:val="24"/>
        </w:rPr>
      </w:pPr>
      <w:r>
        <w:rPr>
          <w:b/>
          <w:sz w:val="24"/>
        </w:rPr>
        <w:tab/>
        <w:t>B</w:t>
      </w:r>
      <w:r w:rsidR="00CC6818">
        <w:rPr>
          <w:b/>
          <w:sz w:val="24"/>
        </w:rPr>
        <w:t>.</w:t>
      </w:r>
      <w:r w:rsidR="00CC6818">
        <w:rPr>
          <w:b/>
          <w:sz w:val="24"/>
        </w:rPr>
        <w:tab/>
        <w:t xml:space="preserve">WLTP </w:t>
      </w:r>
      <w:proofErr w:type="spellStart"/>
      <w:r w:rsidR="00CC6818" w:rsidRPr="00CC6818">
        <w:rPr>
          <w:b/>
          <w:sz w:val="24"/>
        </w:rPr>
        <w:t>EVAPorative</w:t>
      </w:r>
      <w:proofErr w:type="spellEnd"/>
      <w:r w:rsidR="00CC6818">
        <w:rPr>
          <w:b/>
          <w:sz w:val="24"/>
        </w:rPr>
        <w:t xml:space="preserve"> emissions Task Force (WLTP </w:t>
      </w:r>
      <w:r w:rsidRPr="00DE5DAC">
        <w:rPr>
          <w:b/>
          <w:sz w:val="24"/>
        </w:rPr>
        <w:t>EVAP)</w:t>
      </w:r>
    </w:p>
    <w:p w14:paraId="06271A81" w14:textId="7DA02D64" w:rsidR="00C77EF6" w:rsidRDefault="00B51726" w:rsidP="00C77EF6">
      <w:pPr>
        <w:spacing w:after="120"/>
        <w:ind w:left="1134" w:right="1134"/>
        <w:jc w:val="both"/>
      </w:pPr>
      <w:r>
        <w:t>18</w:t>
      </w:r>
      <w:r w:rsidR="00C77EF6">
        <w:t>.</w:t>
      </w:r>
      <w:r w:rsidR="00C77EF6">
        <w:tab/>
        <w:t>In its January 2016 session, WLTP informal working g</w:t>
      </w:r>
      <w:r w:rsidR="0091478A">
        <w:t>roup decided to set up an EVAP Task F</w:t>
      </w:r>
      <w:r w:rsidR="00C77EF6">
        <w:t>orce to develop the harmonized evaporative emissions test procedure. At the first task force meeting, the following objectives were agreed upon:</w:t>
      </w:r>
    </w:p>
    <w:p w14:paraId="253085E1" w14:textId="03D8C7F2" w:rsidR="00C77EF6" w:rsidRDefault="00C77EF6" w:rsidP="00C77EF6">
      <w:pPr>
        <w:spacing w:after="120"/>
        <w:ind w:left="2268" w:right="1134" w:hanging="567"/>
        <w:jc w:val="both"/>
      </w:pPr>
      <w:r>
        <w:t>(a)</w:t>
      </w:r>
      <w:r>
        <w:tab/>
        <w:t>To establish the harmonized evaporative emissions test procedure (avoiding Contracting Party’s option as much as possible);</w:t>
      </w:r>
    </w:p>
    <w:p w14:paraId="518CD95C" w14:textId="5BED9099" w:rsidR="00C77EF6" w:rsidRDefault="0091478A" w:rsidP="00C77EF6">
      <w:pPr>
        <w:spacing w:after="120"/>
        <w:ind w:left="2268" w:right="1134" w:hanging="567"/>
        <w:jc w:val="both"/>
      </w:pPr>
      <w:r>
        <w:t>(b)</w:t>
      </w:r>
      <w:r w:rsidR="00C77EF6">
        <w:tab/>
        <w:t>The test result could be used for mutual recognition;</w:t>
      </w:r>
    </w:p>
    <w:p w14:paraId="237B8959" w14:textId="48795086" w:rsidR="00C77EF6" w:rsidRDefault="0091478A" w:rsidP="00C77EF6">
      <w:pPr>
        <w:spacing w:after="120"/>
        <w:ind w:left="2268" w:right="1134" w:hanging="567"/>
        <w:jc w:val="both"/>
      </w:pPr>
      <w:r>
        <w:t>(c)</w:t>
      </w:r>
      <w:r w:rsidR="00C77EF6">
        <w:tab/>
        <w:t>Adoption of the GTR at the seventy-fourth GRPE session in January 2017.</w:t>
      </w:r>
    </w:p>
    <w:p w14:paraId="6F02F162" w14:textId="03F46AEB" w:rsidR="00C77EF6" w:rsidRPr="00F820F3" w:rsidRDefault="00B51726" w:rsidP="00C77EF6">
      <w:pPr>
        <w:spacing w:after="120"/>
        <w:ind w:left="1134" w:right="1134"/>
        <w:jc w:val="both"/>
      </w:pPr>
      <w:r>
        <w:t>19</w:t>
      </w:r>
      <w:r w:rsidR="0091478A">
        <w:t>.</w:t>
      </w:r>
      <w:r w:rsidR="0091478A">
        <w:tab/>
      </w:r>
      <w:r w:rsidR="00C77EF6">
        <w:t>To achieve these objectives, the discussion points shown below were ident</w:t>
      </w:r>
      <w:r w:rsidR="0091478A">
        <w:t>ified and discussed over seven Task F</w:t>
      </w:r>
      <w:r w:rsidR="00C77EF6">
        <w:t>orce meetings held in 2016. In the October 2016 WLTP meeting, the WLTP informal group adopted the Evaporative</w:t>
      </w:r>
      <w:r w:rsidR="0091478A">
        <w:t xml:space="preserve"> Emission GTR proposed by the EVAP Task F</w:t>
      </w:r>
      <w:r w:rsidR="00C77EF6">
        <w:t>orce.</w:t>
      </w:r>
    </w:p>
    <w:p w14:paraId="74158166" w14:textId="6F63D182" w:rsidR="00F820F3" w:rsidRPr="00F820F3" w:rsidRDefault="0091478A" w:rsidP="00F820F3">
      <w:pPr>
        <w:spacing w:line="240" w:lineRule="auto"/>
        <w:ind w:left="1134"/>
        <w:outlineLvl w:val="0"/>
        <w:rPr>
          <w:lang w:eastAsia="x-none"/>
        </w:rPr>
      </w:pPr>
      <w:r>
        <w:rPr>
          <w:lang w:eastAsia="x-none"/>
        </w:rPr>
        <w:lastRenderedPageBreak/>
        <w:t>Table 1</w:t>
      </w:r>
    </w:p>
    <w:p w14:paraId="78120DD4" w14:textId="313F1E98" w:rsidR="00F820F3" w:rsidRDefault="0091478A" w:rsidP="00F820F3">
      <w:pPr>
        <w:spacing w:after="120" w:line="240" w:lineRule="auto"/>
        <w:ind w:left="1134"/>
        <w:outlineLvl w:val="0"/>
        <w:rPr>
          <w:noProof/>
          <w:lang w:val="en-US"/>
        </w:rPr>
      </w:pPr>
      <w:r w:rsidRPr="0091478A">
        <w:rPr>
          <w:b/>
          <w:lang w:eastAsia="x-none"/>
        </w:rPr>
        <w:t xml:space="preserve">Major </w:t>
      </w:r>
      <w:r w:rsidR="00586C76">
        <w:rPr>
          <w:b/>
          <w:lang w:eastAsia="x-none"/>
        </w:rPr>
        <w:t>discussion points of WLTP EVAP Task F</w:t>
      </w:r>
      <w:r w:rsidRPr="0091478A">
        <w:rPr>
          <w:b/>
          <w:lang w:eastAsia="x-none"/>
        </w:rPr>
        <w:t>orce</w:t>
      </w:r>
    </w:p>
    <w:p w14:paraId="5D856DBB" w14:textId="2558F90C" w:rsidR="00586C76" w:rsidRPr="00F820F3" w:rsidRDefault="00586C76" w:rsidP="00F820F3">
      <w:pPr>
        <w:spacing w:after="120" w:line="240" w:lineRule="auto"/>
        <w:ind w:left="1134"/>
        <w:outlineLvl w:val="0"/>
        <w:rPr>
          <w:lang w:eastAsia="x-none"/>
        </w:rPr>
      </w:pPr>
      <w:r>
        <w:rPr>
          <w:noProof/>
          <w:lang w:eastAsia="en-GB"/>
        </w:rPr>
        <w:drawing>
          <wp:inline distT="0" distB="0" distL="0" distR="0" wp14:anchorId="36C40A18" wp14:editId="21A07FF1">
            <wp:extent cx="4859020" cy="3340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9020" cy="3340735"/>
                    </a:xfrm>
                    <a:prstGeom prst="rect">
                      <a:avLst/>
                    </a:prstGeom>
                    <a:noFill/>
                  </pic:spPr>
                </pic:pic>
              </a:graphicData>
            </a:graphic>
          </wp:inline>
        </w:drawing>
      </w:r>
    </w:p>
    <w:p w14:paraId="7168163A" w14:textId="77777777" w:rsidR="00586C76" w:rsidRPr="00586C76" w:rsidRDefault="00586C76" w:rsidP="00586C76">
      <w:pPr>
        <w:suppressAutoHyphens w:val="0"/>
        <w:spacing w:before="120" w:after="120" w:line="240" w:lineRule="auto"/>
        <w:ind w:right="567" w:hanging="3261"/>
        <w:jc w:val="both"/>
        <w:rPr>
          <w:rFonts w:ascii="Arial" w:eastAsia="MS Mincho" w:hAnsi="Arial"/>
          <w:sz w:val="22"/>
          <w:szCs w:val="22"/>
          <w:lang w:eastAsia="ja-JP"/>
        </w:rPr>
      </w:pPr>
    </w:p>
    <w:p w14:paraId="4129A635" w14:textId="77777777" w:rsidR="00586C76" w:rsidRPr="00586C76" w:rsidRDefault="00586C76" w:rsidP="00586C76">
      <w:pPr>
        <w:widowControl w:val="0"/>
        <w:tabs>
          <w:tab w:val="left" w:pos="1134"/>
        </w:tabs>
        <w:suppressAutoHyphens w:val="0"/>
        <w:spacing w:line="240" w:lineRule="auto"/>
        <w:ind w:left="1134" w:right="567"/>
        <w:jc w:val="both"/>
        <w:rPr>
          <w:rFonts w:eastAsia="MS Mincho"/>
          <w:b/>
          <w:bCs/>
          <w:kern w:val="2"/>
          <w:sz w:val="22"/>
          <w:szCs w:val="21"/>
          <w:lang w:eastAsia="ja-JP"/>
        </w:rPr>
      </w:pPr>
      <w:r w:rsidRPr="00586C76">
        <w:rPr>
          <w:rFonts w:eastAsia="MS Mincho"/>
          <w:b/>
          <w:bCs/>
          <w:kern w:val="2"/>
          <w:sz w:val="22"/>
          <w:szCs w:val="21"/>
          <w:lang w:eastAsia="ja-JP"/>
        </w:rPr>
        <w:t xml:space="preserve">WLTP EVAP Task force Chairs </w:t>
      </w:r>
    </w:p>
    <w:tbl>
      <w:tblPr>
        <w:tblW w:w="7371" w:type="dxa"/>
        <w:tblInd w:w="1134" w:type="dxa"/>
        <w:tblLayout w:type="fixed"/>
        <w:tblLook w:val="04A0" w:firstRow="1" w:lastRow="0" w:firstColumn="1" w:lastColumn="0" w:noHBand="0" w:noVBand="1"/>
      </w:tblPr>
      <w:tblGrid>
        <w:gridCol w:w="6415"/>
        <w:gridCol w:w="956"/>
      </w:tblGrid>
      <w:tr w:rsidR="00586C76" w:rsidRPr="00586C76" w14:paraId="3919435D" w14:textId="77777777" w:rsidTr="001E55EE">
        <w:tc>
          <w:tcPr>
            <w:tcW w:w="7938" w:type="dxa"/>
            <w:tcBorders>
              <w:top w:val="single" w:sz="4" w:space="0" w:color="auto"/>
              <w:bottom w:val="single" w:sz="18" w:space="0" w:color="auto"/>
            </w:tcBorders>
            <w:shd w:val="clear" w:color="auto" w:fill="auto"/>
            <w:vAlign w:val="bottom"/>
          </w:tcPr>
          <w:p w14:paraId="75DA11E6" w14:textId="77777777" w:rsidR="00586C76" w:rsidRPr="00586C76" w:rsidRDefault="00586C76" w:rsidP="00586C76">
            <w:pPr>
              <w:suppressAutoHyphens w:val="0"/>
              <w:spacing w:before="80" w:after="80" w:line="200" w:lineRule="exact"/>
              <w:ind w:right="567" w:hanging="3261"/>
              <w:jc w:val="both"/>
              <w:rPr>
                <w:rFonts w:ascii="MS Mincho" w:eastAsia="MS Mincho" w:hAnsi="MS Mincho"/>
                <w:i/>
                <w:sz w:val="16"/>
                <w:szCs w:val="22"/>
                <w:lang w:eastAsia="ja-JP"/>
              </w:rPr>
            </w:pPr>
            <w:r w:rsidRPr="00586C76">
              <w:rPr>
                <w:rFonts w:ascii="Arial" w:eastAsia="Calibri" w:hAnsi="Arial"/>
                <w:i/>
                <w:sz w:val="16"/>
                <w:szCs w:val="22"/>
                <w:lang w:eastAsia="de-DE"/>
              </w:rPr>
              <w:t>Chair</w:t>
            </w:r>
            <w:r w:rsidRPr="00586C76">
              <w:rPr>
                <w:rFonts w:ascii="MS Mincho" w:eastAsia="MS Mincho" w:hAnsi="MS Mincho"/>
                <w:i/>
                <w:sz w:val="16"/>
                <w:szCs w:val="22"/>
                <w:lang w:eastAsia="ja-JP"/>
              </w:rPr>
              <w:t>:</w:t>
            </w:r>
          </w:p>
        </w:tc>
        <w:tc>
          <w:tcPr>
            <w:tcW w:w="1134" w:type="dxa"/>
            <w:tcBorders>
              <w:top w:val="single" w:sz="4" w:space="0" w:color="auto"/>
              <w:bottom w:val="single" w:sz="18" w:space="0" w:color="auto"/>
            </w:tcBorders>
            <w:shd w:val="clear" w:color="auto" w:fill="auto"/>
            <w:vAlign w:val="bottom"/>
          </w:tcPr>
          <w:p w14:paraId="49ED8BCE" w14:textId="77777777" w:rsidR="00586C76" w:rsidRPr="00586C76" w:rsidRDefault="00586C76" w:rsidP="00586C76">
            <w:pPr>
              <w:suppressAutoHyphens w:val="0"/>
              <w:spacing w:before="80" w:after="80" w:line="200" w:lineRule="exact"/>
              <w:ind w:right="567" w:hanging="3261"/>
              <w:jc w:val="both"/>
              <w:rPr>
                <w:rFonts w:ascii="Arial" w:eastAsia="MS Mincho" w:hAnsi="Arial"/>
                <w:i/>
                <w:sz w:val="16"/>
                <w:szCs w:val="22"/>
                <w:lang w:eastAsia="ja-JP"/>
              </w:rPr>
            </w:pPr>
          </w:p>
        </w:tc>
      </w:tr>
      <w:tr w:rsidR="00586C76" w:rsidRPr="00644A6B" w14:paraId="2942599D" w14:textId="77777777" w:rsidTr="001E55EE">
        <w:trPr>
          <w:trHeight w:val="530"/>
        </w:trPr>
        <w:tc>
          <w:tcPr>
            <w:tcW w:w="7938" w:type="dxa"/>
            <w:tcBorders>
              <w:top w:val="single" w:sz="18" w:space="0" w:color="auto"/>
              <w:bottom w:val="single" w:sz="18" w:space="0" w:color="auto"/>
            </w:tcBorders>
            <w:shd w:val="clear" w:color="auto" w:fill="auto"/>
          </w:tcPr>
          <w:p w14:paraId="193A2559" w14:textId="77777777" w:rsidR="00586C76" w:rsidRPr="00586C76" w:rsidRDefault="00586C76" w:rsidP="00586C76">
            <w:pPr>
              <w:suppressAutoHyphens w:val="0"/>
              <w:spacing w:before="40" w:after="120" w:line="240" w:lineRule="auto"/>
              <w:ind w:left="1202" w:hanging="1310"/>
              <w:jc w:val="both"/>
              <w:rPr>
                <w:rFonts w:eastAsia="Calibri"/>
                <w:lang w:val="fr-FR" w:eastAsia="de-DE"/>
              </w:rPr>
            </w:pPr>
            <w:proofErr w:type="spellStart"/>
            <w:r w:rsidRPr="00586C76">
              <w:rPr>
                <w:rFonts w:eastAsia="Calibri"/>
                <w:lang w:val="fr-FR" w:eastAsia="de-DE"/>
              </w:rPr>
              <w:t>Takashi</w:t>
            </w:r>
            <w:proofErr w:type="spellEnd"/>
            <w:r w:rsidRPr="00586C76">
              <w:rPr>
                <w:rFonts w:eastAsia="Calibri"/>
                <w:lang w:val="fr-FR" w:eastAsia="de-DE"/>
              </w:rPr>
              <w:t xml:space="preserve"> Fujiwara(</w:t>
            </w:r>
            <w:proofErr w:type="spellStart"/>
            <w:r w:rsidRPr="00586C76">
              <w:rPr>
                <w:rFonts w:eastAsia="Calibri"/>
                <w:lang w:val="fr-FR" w:eastAsia="de-DE"/>
              </w:rPr>
              <w:t>Japan</w:t>
            </w:r>
            <w:proofErr w:type="spellEnd"/>
            <w:r w:rsidRPr="00586C76">
              <w:rPr>
                <w:rFonts w:eastAsia="Calibri"/>
                <w:lang w:val="fr-FR" w:eastAsia="de-DE"/>
              </w:rPr>
              <w:t xml:space="preserve">), </w:t>
            </w:r>
            <w:proofErr w:type="spellStart"/>
            <w:r w:rsidRPr="00586C76">
              <w:rPr>
                <w:rFonts w:eastAsia="Calibri"/>
                <w:lang w:val="fr-FR" w:eastAsia="de-DE"/>
              </w:rPr>
              <w:t>Panagiota</w:t>
            </w:r>
            <w:proofErr w:type="spellEnd"/>
            <w:r w:rsidRPr="00586C76">
              <w:rPr>
                <w:rFonts w:eastAsia="Calibri"/>
                <w:lang w:val="fr-FR" w:eastAsia="de-DE"/>
              </w:rPr>
              <w:t xml:space="preserve"> </w:t>
            </w:r>
            <w:proofErr w:type="spellStart"/>
            <w:r w:rsidRPr="00586C76">
              <w:rPr>
                <w:rFonts w:eastAsia="MS Mincho"/>
                <w:lang w:val="fr-FR" w:eastAsia="ja-JP"/>
              </w:rPr>
              <w:t>D</w:t>
            </w:r>
            <w:r w:rsidRPr="00586C76">
              <w:rPr>
                <w:rFonts w:eastAsia="Calibri"/>
                <w:lang w:val="fr-FR" w:eastAsia="de-DE"/>
              </w:rPr>
              <w:t>ilara</w:t>
            </w:r>
            <w:proofErr w:type="spellEnd"/>
            <w:r w:rsidRPr="00586C76">
              <w:rPr>
                <w:rFonts w:eastAsia="Calibri"/>
                <w:lang w:val="fr-FR" w:eastAsia="de-DE"/>
              </w:rPr>
              <w:t xml:space="preserve"> (</w:t>
            </w:r>
            <w:proofErr w:type="spellStart"/>
            <w:r w:rsidRPr="00586C76">
              <w:rPr>
                <w:rFonts w:eastAsia="Calibri"/>
                <w:lang w:val="fr-FR" w:eastAsia="de-DE"/>
              </w:rPr>
              <w:t>European</w:t>
            </w:r>
            <w:proofErr w:type="spellEnd"/>
            <w:r w:rsidRPr="00586C76">
              <w:rPr>
                <w:rFonts w:eastAsia="Calibri"/>
                <w:lang w:val="fr-FR" w:eastAsia="de-DE"/>
              </w:rPr>
              <w:t xml:space="preserve"> Commission)</w:t>
            </w:r>
          </w:p>
        </w:tc>
        <w:tc>
          <w:tcPr>
            <w:tcW w:w="1134" w:type="dxa"/>
            <w:tcBorders>
              <w:top w:val="single" w:sz="18" w:space="0" w:color="auto"/>
              <w:bottom w:val="single" w:sz="18" w:space="0" w:color="auto"/>
            </w:tcBorders>
            <w:shd w:val="clear" w:color="auto" w:fill="auto"/>
          </w:tcPr>
          <w:p w14:paraId="66B783A6" w14:textId="77777777" w:rsidR="00586C76" w:rsidRPr="00586C76" w:rsidRDefault="00586C76" w:rsidP="00586C76">
            <w:pPr>
              <w:suppressAutoHyphens w:val="0"/>
              <w:spacing w:before="40" w:after="120" w:line="240" w:lineRule="auto"/>
              <w:ind w:hanging="3261"/>
              <w:jc w:val="both"/>
              <w:rPr>
                <w:rFonts w:ascii="Arial" w:eastAsia="Calibri" w:hAnsi="Arial"/>
                <w:lang w:val="fr-FR" w:eastAsia="de-DE"/>
              </w:rPr>
            </w:pPr>
          </w:p>
        </w:tc>
      </w:tr>
    </w:tbl>
    <w:p w14:paraId="71749B7F" w14:textId="6524A906" w:rsidR="00586C76" w:rsidRPr="00586C76" w:rsidRDefault="00586C76" w:rsidP="00586C76">
      <w:pPr>
        <w:keepNext/>
        <w:keepLines/>
        <w:tabs>
          <w:tab w:val="right" w:pos="851"/>
        </w:tabs>
        <w:spacing w:before="360" w:after="240" w:line="270" w:lineRule="exact"/>
        <w:ind w:left="1134" w:right="1134" w:hanging="1134"/>
        <w:rPr>
          <w:b/>
          <w:sz w:val="24"/>
        </w:rPr>
      </w:pPr>
      <w:bookmarkStart w:id="3" w:name="_Toc435001978"/>
      <w:bookmarkStart w:id="4" w:name="_Ref436149615"/>
      <w:bookmarkStart w:id="5" w:name="_Toc465622264"/>
      <w:r w:rsidRPr="00644A6B">
        <w:rPr>
          <w:b/>
          <w:sz w:val="24"/>
          <w:lang w:val="fr-CH"/>
        </w:rPr>
        <w:tab/>
      </w:r>
      <w:r w:rsidRPr="00586C76">
        <w:rPr>
          <w:b/>
          <w:sz w:val="24"/>
        </w:rPr>
        <w:t>C</w:t>
      </w:r>
      <w:r>
        <w:rPr>
          <w:b/>
          <w:sz w:val="24"/>
        </w:rPr>
        <w:t>.</w:t>
      </w:r>
      <w:r>
        <w:rPr>
          <w:b/>
          <w:sz w:val="24"/>
        </w:rPr>
        <w:tab/>
      </w:r>
      <w:r w:rsidRPr="00586C76">
        <w:rPr>
          <w:b/>
          <w:sz w:val="24"/>
        </w:rPr>
        <w:t>Drafting GTR</w:t>
      </w:r>
      <w:bookmarkEnd w:id="3"/>
      <w:bookmarkEnd w:id="4"/>
      <w:bookmarkEnd w:id="5"/>
    </w:p>
    <w:tbl>
      <w:tblPr>
        <w:tblW w:w="7371" w:type="dxa"/>
        <w:tblInd w:w="1134" w:type="dxa"/>
        <w:tblLayout w:type="fixed"/>
        <w:tblLook w:val="04A0" w:firstRow="1" w:lastRow="0" w:firstColumn="1" w:lastColumn="0" w:noHBand="0" w:noVBand="1"/>
      </w:tblPr>
      <w:tblGrid>
        <w:gridCol w:w="3686"/>
        <w:gridCol w:w="3685"/>
      </w:tblGrid>
      <w:tr w:rsidR="00586C76" w:rsidRPr="00586C76" w14:paraId="1A434158" w14:textId="77777777" w:rsidTr="001E55EE">
        <w:tc>
          <w:tcPr>
            <w:tcW w:w="4536" w:type="dxa"/>
            <w:tcBorders>
              <w:top w:val="single" w:sz="4" w:space="0" w:color="auto"/>
              <w:bottom w:val="single" w:sz="18" w:space="0" w:color="auto"/>
            </w:tcBorders>
            <w:shd w:val="clear" w:color="auto" w:fill="auto"/>
            <w:vAlign w:val="bottom"/>
          </w:tcPr>
          <w:p w14:paraId="217E5192" w14:textId="77777777" w:rsidR="00586C76" w:rsidRPr="00586C76" w:rsidRDefault="00586C76" w:rsidP="00586C76">
            <w:pPr>
              <w:suppressAutoHyphens w:val="0"/>
              <w:spacing w:before="80" w:after="80" w:line="200" w:lineRule="exact"/>
              <w:ind w:right="567" w:hanging="3261"/>
              <w:jc w:val="both"/>
              <w:rPr>
                <w:rFonts w:ascii="Arial" w:eastAsia="Calibri" w:hAnsi="Arial"/>
                <w:i/>
                <w:sz w:val="16"/>
                <w:szCs w:val="22"/>
                <w:lang w:eastAsia="de-DE"/>
              </w:rPr>
            </w:pPr>
            <w:r w:rsidRPr="00586C76">
              <w:rPr>
                <w:rFonts w:ascii="Arial" w:eastAsia="Calibri" w:hAnsi="Arial"/>
                <w:i/>
                <w:sz w:val="16"/>
                <w:szCs w:val="22"/>
                <w:lang w:eastAsia="de-DE"/>
              </w:rPr>
              <w:t>Chair</w:t>
            </w:r>
          </w:p>
        </w:tc>
        <w:tc>
          <w:tcPr>
            <w:tcW w:w="4536" w:type="dxa"/>
            <w:tcBorders>
              <w:top w:val="single" w:sz="4" w:space="0" w:color="auto"/>
              <w:bottom w:val="single" w:sz="18" w:space="0" w:color="auto"/>
            </w:tcBorders>
            <w:shd w:val="clear" w:color="auto" w:fill="auto"/>
            <w:vAlign w:val="bottom"/>
          </w:tcPr>
          <w:p w14:paraId="060C2064" w14:textId="77777777" w:rsidR="00586C76" w:rsidRPr="00586C76" w:rsidRDefault="00586C76" w:rsidP="00586C76">
            <w:pPr>
              <w:suppressAutoHyphens w:val="0"/>
              <w:spacing w:before="80" w:after="80" w:line="200" w:lineRule="exact"/>
              <w:ind w:right="567" w:hanging="3261"/>
              <w:jc w:val="both"/>
              <w:rPr>
                <w:rFonts w:ascii="Arial" w:eastAsia="Calibri" w:hAnsi="Arial"/>
                <w:i/>
                <w:sz w:val="16"/>
                <w:szCs w:val="22"/>
                <w:lang w:eastAsia="de-DE"/>
              </w:rPr>
            </w:pPr>
          </w:p>
        </w:tc>
      </w:tr>
      <w:tr w:rsidR="00586C76" w:rsidRPr="00586C76" w14:paraId="143576B9" w14:textId="77777777" w:rsidTr="001E55EE">
        <w:trPr>
          <w:trHeight w:val="530"/>
        </w:trPr>
        <w:tc>
          <w:tcPr>
            <w:tcW w:w="9072" w:type="dxa"/>
            <w:gridSpan w:val="2"/>
            <w:tcBorders>
              <w:top w:val="single" w:sz="18" w:space="0" w:color="auto"/>
              <w:bottom w:val="single" w:sz="18" w:space="0" w:color="auto"/>
            </w:tcBorders>
            <w:shd w:val="clear" w:color="auto" w:fill="auto"/>
          </w:tcPr>
          <w:p w14:paraId="212E9C78" w14:textId="77777777" w:rsidR="00586C76" w:rsidRPr="00586C76" w:rsidRDefault="00586C76" w:rsidP="00586C76">
            <w:pPr>
              <w:suppressAutoHyphens w:val="0"/>
              <w:spacing w:before="40" w:after="120" w:line="240" w:lineRule="auto"/>
              <w:ind w:right="567"/>
              <w:jc w:val="both"/>
              <w:rPr>
                <w:rFonts w:eastAsia="Calibri"/>
                <w:lang w:eastAsia="de-DE"/>
              </w:rPr>
            </w:pPr>
            <w:r w:rsidRPr="00586C76">
              <w:rPr>
                <w:rFonts w:eastAsia="MS Mincho"/>
                <w:lang w:eastAsia="de-DE"/>
              </w:rPr>
              <w:t xml:space="preserve">Serge </w:t>
            </w:r>
            <w:proofErr w:type="spellStart"/>
            <w:r w:rsidRPr="00586C76">
              <w:rPr>
                <w:rFonts w:eastAsia="MS Mincho"/>
                <w:lang w:eastAsia="de-DE"/>
              </w:rPr>
              <w:t>Dubuc</w:t>
            </w:r>
            <w:proofErr w:type="spellEnd"/>
            <w:r w:rsidRPr="00586C76">
              <w:rPr>
                <w:rFonts w:eastAsia="MS Mincho"/>
                <w:lang w:eastAsia="de-DE"/>
              </w:rPr>
              <w:t xml:space="preserve"> – on behalf of the European Commission</w:t>
            </w:r>
          </w:p>
        </w:tc>
      </w:tr>
    </w:tbl>
    <w:p w14:paraId="6218437D" w14:textId="7FA25D71" w:rsidR="00586C76" w:rsidRPr="00586C76" w:rsidRDefault="00B51726" w:rsidP="00586C76">
      <w:pPr>
        <w:suppressAutoHyphens w:val="0"/>
        <w:spacing w:before="120" w:after="120"/>
        <w:ind w:left="1134" w:right="1134"/>
        <w:jc w:val="both"/>
        <w:rPr>
          <w:rFonts w:eastAsia="MS Mincho"/>
          <w:lang w:eastAsia="ja-JP"/>
        </w:rPr>
      </w:pPr>
      <w:r>
        <w:rPr>
          <w:rFonts w:eastAsia="MS Mincho"/>
          <w:lang w:eastAsia="ja-JP"/>
        </w:rPr>
        <w:t>20</w:t>
      </w:r>
      <w:r w:rsidR="00586C76">
        <w:rPr>
          <w:rFonts w:eastAsia="MS Mincho"/>
          <w:lang w:eastAsia="ja-JP"/>
        </w:rPr>
        <w:t>.</w:t>
      </w:r>
      <w:r w:rsidR="00586C76">
        <w:rPr>
          <w:rFonts w:eastAsia="MS Mincho"/>
          <w:lang w:eastAsia="ja-JP"/>
        </w:rPr>
        <w:tab/>
      </w:r>
      <w:r w:rsidR="00586C76" w:rsidRPr="00586C76">
        <w:rPr>
          <w:rFonts w:eastAsia="MS Mincho"/>
          <w:lang w:eastAsia="ja-JP"/>
        </w:rPr>
        <w:t>The same Drafting Coordinator (DC) for GTR</w:t>
      </w:r>
      <w:r w:rsidR="00A92C62">
        <w:rPr>
          <w:rFonts w:eastAsia="MS Mincho"/>
          <w:lang w:eastAsia="ja-JP"/>
        </w:rPr>
        <w:t xml:space="preserve"> No. </w:t>
      </w:r>
      <w:r w:rsidR="00586C76" w:rsidRPr="00586C76">
        <w:rPr>
          <w:rFonts w:eastAsia="MS Mincho"/>
          <w:lang w:eastAsia="ja-JP"/>
        </w:rPr>
        <w:t xml:space="preserve">15 </w:t>
      </w:r>
      <w:r w:rsidR="00A92C62">
        <w:rPr>
          <w:rFonts w:eastAsia="MS Mincho"/>
          <w:lang w:eastAsia="ja-JP"/>
        </w:rPr>
        <w:t>joined the WLTP EVAP Task F</w:t>
      </w:r>
      <w:r w:rsidR="00586C76" w:rsidRPr="00586C76">
        <w:rPr>
          <w:rFonts w:eastAsia="MS Mincho"/>
          <w:lang w:eastAsia="ja-JP"/>
        </w:rPr>
        <w:t xml:space="preserve">orce. </w:t>
      </w:r>
      <w:r w:rsidR="00586C76" w:rsidRPr="00586C76">
        <w:rPr>
          <w:rFonts w:eastAsia="MS Mincho"/>
          <w:lang w:eastAsia="de-DE"/>
        </w:rPr>
        <w:t>The main objective of the DC would be to coordinate all drafting activities into a logically structured and technically, legislatively and grammatically robust technical regulation.</w:t>
      </w:r>
    </w:p>
    <w:p w14:paraId="57E1F9A9" w14:textId="216109CF" w:rsidR="00586C76" w:rsidRDefault="00B51726" w:rsidP="00586C76">
      <w:pPr>
        <w:suppressAutoHyphens w:val="0"/>
        <w:spacing w:after="120"/>
        <w:ind w:left="1134" w:right="1134"/>
        <w:jc w:val="both"/>
        <w:rPr>
          <w:rFonts w:eastAsia="MS Mincho"/>
          <w:lang w:eastAsia="ja-JP"/>
        </w:rPr>
      </w:pPr>
      <w:r>
        <w:rPr>
          <w:rFonts w:eastAsia="MS Mincho"/>
          <w:lang w:eastAsia="de-DE"/>
        </w:rPr>
        <w:t>21</w:t>
      </w:r>
      <w:r w:rsidR="00586C76">
        <w:rPr>
          <w:rFonts w:eastAsia="MS Mincho"/>
          <w:lang w:eastAsia="de-DE"/>
        </w:rPr>
        <w:t>.</w:t>
      </w:r>
      <w:r w:rsidR="00586C76">
        <w:rPr>
          <w:rFonts w:eastAsia="MS Mincho"/>
          <w:lang w:eastAsia="de-DE"/>
        </w:rPr>
        <w:tab/>
      </w:r>
      <w:r w:rsidR="00586C76" w:rsidRPr="00586C76">
        <w:rPr>
          <w:rFonts w:eastAsia="MS Mincho"/>
          <w:lang w:eastAsia="de-DE"/>
        </w:rPr>
        <w:t xml:space="preserve">The final GTR version at the end of Phase </w:t>
      </w:r>
      <w:r w:rsidR="00586C76" w:rsidRPr="00586C76">
        <w:rPr>
          <w:rFonts w:eastAsia="MS Mincho"/>
          <w:lang w:eastAsia="ja-JP"/>
        </w:rPr>
        <w:t>2a</w:t>
      </w:r>
      <w:r w:rsidR="00586C76" w:rsidRPr="00586C76">
        <w:rPr>
          <w:rFonts w:eastAsia="MS Mincho"/>
          <w:lang w:eastAsia="de-DE"/>
        </w:rPr>
        <w:t xml:space="preserve"> was uploaded to the UNECE website as </w:t>
      </w:r>
      <w:r w:rsidR="00A92C62" w:rsidRPr="00A92C62">
        <w:rPr>
          <w:rFonts w:eastAsia="MS Mincho"/>
          <w:lang w:eastAsia="de-DE"/>
        </w:rPr>
        <w:t>ECE/TRANS/WP.29/GRPE/2017/7</w:t>
      </w:r>
      <w:r w:rsidR="00586C76" w:rsidRPr="00586C76">
        <w:rPr>
          <w:rFonts w:eastAsia="MS Mincho"/>
          <w:lang w:eastAsia="ja-JP"/>
        </w:rPr>
        <w:t>.</w:t>
      </w:r>
    </w:p>
    <w:p w14:paraId="1224D840" w14:textId="5143CCF0" w:rsidR="00A92C62" w:rsidRDefault="00A92C62" w:rsidP="00A92C62">
      <w:pPr>
        <w:pStyle w:val="HChG"/>
      </w:pPr>
      <w:r w:rsidRPr="00C47377">
        <w:lastRenderedPageBreak/>
        <w:tab/>
        <w:t>I</w:t>
      </w:r>
      <w:r>
        <w:t>V</w:t>
      </w:r>
      <w:r w:rsidRPr="00C47377">
        <w:t>.</w:t>
      </w:r>
      <w:r w:rsidRPr="00C47377">
        <w:tab/>
      </w:r>
      <w:r w:rsidRPr="00A92C62">
        <w:t>Test procedure development</w:t>
      </w:r>
    </w:p>
    <w:p w14:paraId="2F3F8635" w14:textId="3A1BE38F" w:rsidR="00A92C62" w:rsidRPr="00DE5DAC" w:rsidRDefault="00A92C62" w:rsidP="00A92C62">
      <w:pPr>
        <w:keepNext/>
        <w:keepLines/>
        <w:tabs>
          <w:tab w:val="right" w:pos="851"/>
        </w:tabs>
        <w:spacing w:before="360" w:after="240" w:line="270" w:lineRule="exact"/>
        <w:ind w:left="1134" w:right="1134" w:hanging="1134"/>
        <w:rPr>
          <w:b/>
          <w:sz w:val="24"/>
        </w:rPr>
      </w:pPr>
      <w:r w:rsidRPr="00DE5DAC">
        <w:rPr>
          <w:b/>
          <w:sz w:val="24"/>
        </w:rPr>
        <w:tab/>
        <w:t>A.</w:t>
      </w:r>
      <w:r w:rsidRPr="00DE5DAC">
        <w:rPr>
          <w:b/>
          <w:sz w:val="24"/>
        </w:rPr>
        <w:tab/>
      </w:r>
      <w:r w:rsidRPr="00A92C62">
        <w:rPr>
          <w:b/>
          <w:sz w:val="24"/>
        </w:rPr>
        <w:t>General Purpose and Requirements</w:t>
      </w:r>
    </w:p>
    <w:p w14:paraId="434CA413" w14:textId="5B77B61F" w:rsidR="00A92C62" w:rsidRDefault="00B51726" w:rsidP="00A92C62">
      <w:pPr>
        <w:spacing w:after="120"/>
        <w:ind w:left="1134" w:right="1134"/>
        <w:jc w:val="both"/>
      </w:pPr>
      <w:r>
        <w:t>22</w:t>
      </w:r>
      <w:r w:rsidR="006A28F4">
        <w:t>.</w:t>
      </w:r>
      <w:r w:rsidR="006A28F4">
        <w:tab/>
      </w:r>
      <w:r w:rsidR="00A92C62">
        <w:t xml:space="preserve">Evaporative emissions from a vehicle can be defined, in a very generic way, as Volatile Organic Compounds (VOCs) emitted by the vehicle itself in different operating conditions but not directly deriving from the combustion process. In petrol vehicles, the most important potential source of evaporative emissions is the loss of fuel through evaporation and permeation mechanisms from the fuel storing system. Fuel-related evaporative emissions may occur during any vehicle operation including parking events, normal </w:t>
      </w:r>
      <w:r w:rsidR="006A28F4">
        <w:t>driving and vehicle refuelling.</w:t>
      </w:r>
    </w:p>
    <w:p w14:paraId="6E3F49BC" w14:textId="20DEBC49" w:rsidR="00A92C62" w:rsidRDefault="00B51726" w:rsidP="00A92C62">
      <w:pPr>
        <w:spacing w:after="120"/>
        <w:ind w:left="1134" w:right="1134"/>
        <w:jc w:val="both"/>
      </w:pPr>
      <w:r>
        <w:t>23</w:t>
      </w:r>
      <w:r w:rsidR="006A28F4">
        <w:t>.</w:t>
      </w:r>
      <w:r w:rsidR="006A28F4">
        <w:tab/>
      </w:r>
      <w:r w:rsidR="00A92C62">
        <w:t>VOCs may also be emitted by specific components of the vehicle like tyres, interior trim or by other fluids (e.g. windshield washer fluid). These emissions are usually quite low and do not depend on how the vehicle is used and on the quality of the fuel. Evaporative emissions in general do not represent a significant problem for diesel vehicles due to the very low vapo</w:t>
      </w:r>
      <w:r w:rsidR="006A28F4">
        <w:t>ur pressure of the diesel fuel.</w:t>
      </w:r>
    </w:p>
    <w:p w14:paraId="0CFCB387" w14:textId="785DC5FA" w:rsidR="00A92C62" w:rsidRDefault="00B51726" w:rsidP="00A92C62">
      <w:pPr>
        <w:spacing w:after="120"/>
        <w:ind w:left="1134" w:right="1134"/>
        <w:jc w:val="both"/>
      </w:pPr>
      <w:r>
        <w:t>24</w:t>
      </w:r>
      <w:r w:rsidR="006A28F4">
        <w:t>.</w:t>
      </w:r>
      <w:r w:rsidR="006A28F4">
        <w:tab/>
      </w:r>
      <w:r w:rsidR="00A92C62">
        <w:t>During parking events, an increase of the temperature of the fuel in the tank due to rising ambient temperature and solar radiation may lead to the evaporation of the lightest petrol fractions with a corresponding increase of the pressure inside the tank. The fuel tank, by design, is usually vented to the atmosphere through a pressure relief valve, so that the tank pressure is maintained slightly above atmospheric. If the pressure inside the tank rises above that value, a mixture of air and petrol vapours may be released into the air. In modern vehicles, the tank is vented through an activated carbon canister which adsorbs and stores the hydrocarbons preventing emissions to the air. This carbon canister has a limited adsorbing capacity (depending on several factors of which the most important are the carbon quality and mass as well as the temperature) and must be periodically purged to desorb the stored hydrocarbons. This occurs during vehicle driving since part of the combustion air flows through the canister removing the adsorbed hydrocarbons which are then burned inside the engine.</w:t>
      </w:r>
    </w:p>
    <w:p w14:paraId="557FE9D4" w14:textId="23FBF6AA" w:rsidR="00A92C62" w:rsidRDefault="00B51726" w:rsidP="00A92C62">
      <w:pPr>
        <w:spacing w:after="120"/>
        <w:ind w:left="1134" w:right="1134"/>
        <w:jc w:val="both"/>
      </w:pPr>
      <w:r>
        <w:t>25</w:t>
      </w:r>
      <w:r w:rsidR="006A28F4">
        <w:t>.</w:t>
      </w:r>
      <w:r w:rsidR="006A28F4">
        <w:tab/>
      </w:r>
      <w:r w:rsidR="00A92C62">
        <w:t>During normal vehicle driving conditions, in addition to the ambient air and solar radiation, the temperature of the fuel in the tank may increase as a consequence of the heat coming from other sources (hot engine and exhaust system, fuel pump, fuel return if present, road surface that may be significantly hotter than the ambient air). The fuel evaporation rate, the amount of fuel being pumped to the engine and the purge flow rate through the canister will determine the carbon canister loading which could lead to excessive emissions in case of breakthrough/saturation. These emissio</w:t>
      </w:r>
      <w:r w:rsidR="006A28F4">
        <w:t>ns are known as running losses.</w:t>
      </w:r>
    </w:p>
    <w:p w14:paraId="273A552A" w14:textId="46C97A0E" w:rsidR="00A92C62" w:rsidRDefault="00B51726" w:rsidP="00A92C62">
      <w:pPr>
        <w:spacing w:after="120"/>
        <w:ind w:left="1134" w:right="1134"/>
        <w:jc w:val="both"/>
      </w:pPr>
      <w:r>
        <w:t>26</w:t>
      </w:r>
      <w:r w:rsidR="006A28F4">
        <w:t>.</w:t>
      </w:r>
      <w:r w:rsidR="006A28F4">
        <w:tab/>
      </w:r>
      <w:r w:rsidR="00A92C62">
        <w:t>Hydrocarbons also escapes the vehicle’s fuel system by permeation through the plastic and rubber components; e.g., hoses, seals, and in vehicles with a non-metallic tank, the fuel tank itself. Permeation does not occur through an opening; instead individual fuel molecules penetrate (i.e. they effectively mix with) the walls of the various components and eventually find their way to the outside. Fuel permeation is significant mainly for plastic or elastomeric materials, depending strongly on the temperature and usually occurs in an</w:t>
      </w:r>
      <w:r w:rsidR="00EC5E63">
        <w:t>y vehicle operating conditions.</w:t>
      </w:r>
    </w:p>
    <w:p w14:paraId="03E1FC5C" w14:textId="7688EC1C" w:rsidR="00A92C62" w:rsidRDefault="00B51726" w:rsidP="00EC5E63">
      <w:pPr>
        <w:spacing w:after="120"/>
        <w:ind w:left="1134" w:right="1134"/>
        <w:jc w:val="both"/>
      </w:pPr>
      <w:r>
        <w:t>27</w:t>
      </w:r>
      <w:r w:rsidR="00EC5E63">
        <w:t>.</w:t>
      </w:r>
      <w:r w:rsidR="00EC5E63">
        <w:tab/>
      </w:r>
      <w:r w:rsidR="00A92C62">
        <w:t xml:space="preserve">Another important source of evaporative emissions is the refuelling operation. When liquid fuel is delivered into the tank, the air/petrol vapour mixture present in the tank is displaced and may be released into the air. Refuelling emissions are partially controlled through the maximum allowed fuel vapour pressure by reducing its value during the hot season. In addition, evaporative emissions during the refuelling operation can be controlled in two different ways. One method is the so-called </w:t>
      </w:r>
      <w:r w:rsidR="00EC5E63" w:rsidRPr="0087221E">
        <w:rPr>
          <w:iCs/>
        </w:rPr>
        <w:t>"</w:t>
      </w:r>
      <w:r w:rsidR="00A92C62">
        <w:t>Stage II</w:t>
      </w:r>
      <w:r w:rsidR="00EC5E63" w:rsidRPr="0087221E">
        <w:rPr>
          <w:iCs/>
        </w:rPr>
        <w:t>"</w:t>
      </w:r>
      <w:r w:rsidR="00A92C62">
        <w:t xml:space="preserve"> vapour recovery system. The </w:t>
      </w:r>
      <w:r w:rsidR="00A92C62">
        <w:lastRenderedPageBreak/>
        <w:t xml:space="preserve">fuel nozzle is designed to draw the air/petrol vapour mixture displaced by the liquid fuel entering the tank and to route it to the underground petrol storage tank of the service station. An alternative method is an </w:t>
      </w:r>
      <w:r w:rsidR="00EC5E63" w:rsidRPr="0087221E">
        <w:rPr>
          <w:iCs/>
        </w:rPr>
        <w:t>"</w:t>
      </w:r>
      <w:r w:rsidR="00A92C62">
        <w:t>On-board Vapour Recovery System</w:t>
      </w:r>
      <w:r w:rsidR="00EC5E63" w:rsidRPr="0087221E">
        <w:rPr>
          <w:iCs/>
        </w:rPr>
        <w:t>"</w:t>
      </w:r>
      <w:r w:rsidR="00A92C62">
        <w:t xml:space="preserve"> (ORVR), which consists in specific design of the fuel system which forces the displaced vapours to be routed to the carbon canister instead of esc</w:t>
      </w:r>
      <w:r w:rsidR="00EC5E63">
        <w:t>aping from the refuelling port.</w:t>
      </w:r>
    </w:p>
    <w:p w14:paraId="0F9B0F92" w14:textId="71B51865" w:rsidR="00A92C62" w:rsidRDefault="00B51726" w:rsidP="00EC5E63">
      <w:pPr>
        <w:spacing w:after="120"/>
        <w:ind w:left="1134" w:right="1134"/>
        <w:jc w:val="both"/>
      </w:pPr>
      <w:r>
        <w:t>28</w:t>
      </w:r>
      <w:r w:rsidR="00EC5E63">
        <w:t>.</w:t>
      </w:r>
      <w:r w:rsidR="00EC5E63">
        <w:tab/>
      </w:r>
      <w:r w:rsidR="00A92C62">
        <w:t>An unintended source of HC emissions may occur from leaks in the fuel system. Leaks may occur in the vapour and/or the liquid part of the fuel system as a result of deterioration and/or faulty operation. Examples of deterioration are corrosion of metallic components (e.g., fuel lines, tanks), cracking of rubber hoses, hardening of seals, mechanical failures. On-board diagnostic systems have been developed to check the integrity of the vapour part of the fuel system and the proper functioning of specific components (e.g. purge valve) and are required in some regions.</w:t>
      </w:r>
    </w:p>
    <w:p w14:paraId="4AB105B7" w14:textId="6E3E1B43" w:rsidR="00A92C62" w:rsidRDefault="00B51726" w:rsidP="00E812DA">
      <w:pPr>
        <w:spacing w:after="120"/>
        <w:ind w:left="1134" w:right="1134"/>
        <w:jc w:val="both"/>
      </w:pPr>
      <w:r>
        <w:t>29</w:t>
      </w:r>
      <w:r w:rsidR="00E812DA">
        <w:t>.</w:t>
      </w:r>
      <w:r w:rsidR="00E812DA">
        <w:tab/>
      </w:r>
      <w:r w:rsidR="00A92C62">
        <w:t>In the existing regional type approval procedures, the various situations that can lead to significant evaporative emissions have been addressed either by developing different tests or by adopting different measures. As an example, in certain regions refuelling emissions are controlled by mandating the use of the Stage II vapour recovery system while in other regions the</w:t>
      </w:r>
      <w:r w:rsidR="00E812DA">
        <w:t xml:space="preserve"> ORVR approach has been chosen.</w:t>
      </w:r>
    </w:p>
    <w:p w14:paraId="043527BC" w14:textId="1879C114" w:rsidR="00A92C62" w:rsidRDefault="00B51726" w:rsidP="00E812DA">
      <w:pPr>
        <w:spacing w:after="120"/>
        <w:ind w:left="1134" w:right="1134"/>
        <w:jc w:val="both"/>
      </w:pPr>
      <w:r>
        <w:t>30</w:t>
      </w:r>
      <w:r w:rsidR="00E812DA">
        <w:t>.</w:t>
      </w:r>
      <w:r w:rsidR="00E812DA">
        <w:tab/>
      </w:r>
      <w:r w:rsidR="00A92C62">
        <w:t>The need to represent real driving conditions as much as possible to make the performance of vehicles at certification and in real life comparable therefore puts some limitations on the level of harmonization to be achieved since, for instance, ambient temperatures vary widely on a global scale while other potential sources of evaporative emissions are addressed in different ways across the regions (e.g. refuelling emissions or potential leaks).</w:t>
      </w:r>
    </w:p>
    <w:p w14:paraId="0641FA24" w14:textId="347ED568" w:rsidR="00A92C62" w:rsidRDefault="00B51726" w:rsidP="00E812DA">
      <w:pPr>
        <w:spacing w:after="120"/>
        <w:ind w:left="1134" w:right="1134"/>
        <w:jc w:val="both"/>
      </w:pPr>
      <w:r>
        <w:t>31</w:t>
      </w:r>
      <w:r w:rsidR="00E812DA">
        <w:t>.</w:t>
      </w:r>
      <w:r w:rsidR="00E812DA">
        <w:tab/>
      </w:r>
      <w:r w:rsidR="00A92C62">
        <w:t>At the same time, striving for the most representative test conditions might conflict with other important test aspects. There are a number of constraints that need to be observed for the development of the test procedure, such as:</w:t>
      </w:r>
    </w:p>
    <w:p w14:paraId="2C25FC50" w14:textId="435F2BE5" w:rsidR="00A92C62" w:rsidRDefault="00E812DA" w:rsidP="00E812DA">
      <w:pPr>
        <w:spacing w:after="120"/>
        <w:ind w:left="1701" w:right="1134"/>
        <w:jc w:val="both"/>
      </w:pPr>
      <w:r>
        <w:t>(a)</w:t>
      </w:r>
      <w:r>
        <w:tab/>
        <w:t>Repeatability</w:t>
      </w:r>
    </w:p>
    <w:p w14:paraId="484D5C9B" w14:textId="0CD57F8D" w:rsidR="00A92C62" w:rsidRDefault="00A92C62" w:rsidP="00E812DA">
      <w:pPr>
        <w:spacing w:after="120"/>
        <w:ind w:left="1701" w:right="1134"/>
        <w:jc w:val="both"/>
      </w:pPr>
      <w:r>
        <w:t xml:space="preserve">If the test is repeated under the same conditions and in the same laboratory, the test result should be similar (within a certain tolerance for accuracy). This means that for example all conditions at the start of the test (such as the pre-conditioning procedure or the test fuel quality) should be well-defined. If it is difficult to control or measure a vehicle parameter, it will be necessary to fix the start condition at a worst- or best-case value while in real world conditions this parameter may always be somewhere in between. Some of the </w:t>
      </w:r>
      <w:r w:rsidR="00E812DA" w:rsidRPr="0087221E">
        <w:rPr>
          <w:iCs/>
        </w:rPr>
        <w:t>"</w:t>
      </w:r>
      <w:r>
        <w:t>representativeness</w:t>
      </w:r>
      <w:r w:rsidR="00E812DA" w:rsidRPr="0087221E">
        <w:rPr>
          <w:iCs/>
        </w:rPr>
        <w:t>"</w:t>
      </w:r>
      <w:r>
        <w:t xml:space="preserve"> of the test is then sacrificed to ob</w:t>
      </w:r>
      <w:r w:rsidR="00E812DA">
        <w:t>tain the goal of repeatability.</w:t>
      </w:r>
    </w:p>
    <w:p w14:paraId="5AE69474" w14:textId="01673269" w:rsidR="00A92C62" w:rsidRDefault="00E812DA" w:rsidP="00E812DA">
      <w:pPr>
        <w:spacing w:after="120"/>
        <w:ind w:left="1134" w:right="1134"/>
        <w:jc w:val="both"/>
      </w:pPr>
      <w:r>
        <w:tab/>
      </w:r>
      <w:r w:rsidR="00A92C62">
        <w:t>(b)</w:t>
      </w:r>
      <w:r>
        <w:tab/>
      </w:r>
      <w:r w:rsidR="00A92C62">
        <w:t>Reproducibility</w:t>
      </w:r>
    </w:p>
    <w:p w14:paraId="5ADA006E" w14:textId="77777777" w:rsidR="00A92C62" w:rsidRDefault="00A92C62" w:rsidP="00E812DA">
      <w:pPr>
        <w:spacing w:after="120"/>
        <w:ind w:left="1701" w:right="1134"/>
        <w:jc w:val="both"/>
      </w:pPr>
      <w:r>
        <w:t>If the test is repeated under the same conditions in a different laboratory, the test result should be similar (within a certain tolerance for accuracy). If results from all labs over the world have to be the comparable, this sets restrictions to the test conditions and the use of cutting-edge measurement instruments. For instance, the temperature profile to be used in the diurnal test cannot be adjusted to the typical average hot season temperatures of each country.</w:t>
      </w:r>
    </w:p>
    <w:p w14:paraId="784F5114" w14:textId="7BECD691" w:rsidR="00A92C62" w:rsidRDefault="00E812DA" w:rsidP="00E812DA">
      <w:pPr>
        <w:spacing w:after="120"/>
        <w:ind w:left="1701" w:right="1134"/>
        <w:jc w:val="both"/>
      </w:pPr>
      <w:r>
        <w:t>(c)</w:t>
      </w:r>
      <w:r>
        <w:tab/>
      </w:r>
      <w:r w:rsidR="00A92C62">
        <w:t>Cost-efficiency</w:t>
      </w:r>
    </w:p>
    <w:p w14:paraId="15E6534C" w14:textId="5490049B" w:rsidR="00A92C62" w:rsidRDefault="00A92C62" w:rsidP="00E812DA">
      <w:pPr>
        <w:spacing w:after="120"/>
        <w:ind w:left="1701" w:right="1134"/>
        <w:jc w:val="both"/>
      </w:pPr>
      <w:r>
        <w:t xml:space="preserve">A test procedure covering the worst case for all the potential sources of evaporative emissions may increase the complexity and the duration of the test or even require additional testing. The costs of a higher test burden will eventually be charged to the consumers, so there is a need to strike a balance between test effort and quality of the results. Additional testing or more complex test procedures can only be justified </w:t>
      </w:r>
      <w:r>
        <w:lastRenderedPageBreak/>
        <w:t>if the expected benefits in terms of emission reduction outweigh the extra testing</w:t>
      </w:r>
      <w:r w:rsidR="00E812DA">
        <w:t xml:space="preserve"> costs. Therefore, some of the </w:t>
      </w:r>
      <w:r w:rsidR="00E812DA" w:rsidRPr="0087221E">
        <w:rPr>
          <w:iCs/>
        </w:rPr>
        <w:t>"</w:t>
      </w:r>
      <w:r w:rsidR="00E812DA">
        <w:t>representativeness</w:t>
      </w:r>
      <w:r w:rsidR="00E812DA" w:rsidRPr="0087221E">
        <w:rPr>
          <w:iCs/>
        </w:rPr>
        <w:t>"</w:t>
      </w:r>
      <w:r>
        <w:t xml:space="preserve"> of the test is compromised to reduce the test burden. For example, the length of the diurnal test is 48 hours, which of course does not cover longer parking events which may be common in </w:t>
      </w:r>
      <w:r w:rsidR="00DF77F3">
        <w:t xml:space="preserve">the </w:t>
      </w:r>
      <w:r>
        <w:t>real world but</w:t>
      </w:r>
      <w:r w:rsidR="00E812DA">
        <w:t xml:space="preserve"> definitely much less frequent.</w:t>
      </w:r>
    </w:p>
    <w:p w14:paraId="401634CB" w14:textId="4B33C6FB" w:rsidR="00A92C62" w:rsidRDefault="00E812DA" w:rsidP="00E812DA">
      <w:pPr>
        <w:spacing w:after="120"/>
        <w:ind w:left="1134" w:right="1134"/>
        <w:jc w:val="both"/>
      </w:pPr>
      <w:r>
        <w:tab/>
      </w:r>
      <w:r w:rsidR="00A92C62">
        <w:t>(d)</w:t>
      </w:r>
      <w:r>
        <w:tab/>
      </w:r>
      <w:r w:rsidR="00A92C62">
        <w:t>Practicability</w:t>
      </w:r>
    </w:p>
    <w:p w14:paraId="2EF433B4" w14:textId="77777777" w:rsidR="00A92C62" w:rsidRDefault="00A92C62" w:rsidP="00E812DA">
      <w:pPr>
        <w:spacing w:after="120"/>
        <w:ind w:left="1701" w:right="1134"/>
        <w:jc w:val="both"/>
      </w:pPr>
      <w:r>
        <w:t>A test procedure needs to be executable in a practical way, without requiring unrealistic efforts from the testing personnel and/or the test equipment. That would be the case, for instance, if the permeation rate through the plastic components of the fuel system was required to be fully stabilized before performing the evaporative emission test. A full stabilization of the permeation rate after the change of the fuel in the tank may require up to several weeks. For this reason, the use of a permeation factor to take into account the potential increase of the permeation rate over time has been introduced in the test procedure.</w:t>
      </w:r>
    </w:p>
    <w:p w14:paraId="4F97FB87" w14:textId="69703FB4" w:rsidR="00A92C62" w:rsidRDefault="00A92C62" w:rsidP="00E812DA">
      <w:pPr>
        <w:spacing w:after="120"/>
        <w:ind w:left="1134" w:right="1134"/>
        <w:jc w:val="both"/>
      </w:pPr>
      <w:r>
        <w:t>The general purpose for WLTP evaporative emission procedure was therefore to primarily aim at a testing procedure that is most representative for real-world conditions, but within the boundaries of it being repeatable, reproducible, cost-effective and practicable. During the discussions in the development process, this often led to discussions in choosing which method to apply.</w:t>
      </w:r>
    </w:p>
    <w:p w14:paraId="44B352BF" w14:textId="77777777" w:rsidR="00E812DA" w:rsidRPr="00DE5DAC" w:rsidRDefault="00E812DA" w:rsidP="00E812DA">
      <w:pPr>
        <w:keepNext/>
        <w:keepLines/>
        <w:tabs>
          <w:tab w:val="right" w:pos="851"/>
        </w:tabs>
        <w:spacing w:before="360" w:after="240" w:line="270" w:lineRule="exact"/>
        <w:ind w:left="1134" w:right="1134" w:hanging="1134"/>
        <w:rPr>
          <w:b/>
          <w:sz w:val="24"/>
        </w:rPr>
      </w:pPr>
      <w:r>
        <w:rPr>
          <w:b/>
          <w:sz w:val="24"/>
        </w:rPr>
        <w:tab/>
        <w:t>B</w:t>
      </w:r>
      <w:r w:rsidRPr="00DE5DAC">
        <w:rPr>
          <w:b/>
          <w:sz w:val="24"/>
        </w:rPr>
        <w:t>.</w:t>
      </w:r>
      <w:r w:rsidRPr="00DE5DAC">
        <w:rPr>
          <w:b/>
          <w:sz w:val="24"/>
        </w:rPr>
        <w:tab/>
      </w:r>
      <w:r>
        <w:rPr>
          <w:b/>
          <w:sz w:val="24"/>
        </w:rPr>
        <w:t>Approach</w:t>
      </w:r>
    </w:p>
    <w:p w14:paraId="146DC7EF" w14:textId="42178F61" w:rsidR="00DF70A3" w:rsidRDefault="00B51726" w:rsidP="00DF70A3">
      <w:pPr>
        <w:spacing w:after="120"/>
        <w:ind w:left="1134" w:right="1134"/>
        <w:jc w:val="both"/>
      </w:pPr>
      <w:r>
        <w:t>32</w:t>
      </w:r>
      <w:r w:rsidR="00DF70A3">
        <w:t>.</w:t>
      </w:r>
      <w:r w:rsidR="00DF70A3">
        <w:tab/>
        <w:t>For the development of the harmonized evapo</w:t>
      </w:r>
      <w:r w:rsidR="00CC6818">
        <w:t xml:space="preserve">rative test procedure, the WLTP </w:t>
      </w:r>
      <w:r w:rsidR="00DF70A3">
        <w:t xml:space="preserve">EVAP Task Force had first to decide the scope of the GTR taking into account existing emissions legislation, in particular those of the UNECE 1958 and 1998 Agreements, those of Japan and the </w:t>
      </w:r>
      <w:r w:rsidR="00F72E30">
        <w:t>United States of America (</w:t>
      </w:r>
      <w:r w:rsidR="00DF70A3">
        <w:t>US</w:t>
      </w:r>
      <w:r w:rsidR="00F72E30">
        <w:t>A)</w:t>
      </w:r>
      <w:r w:rsidR="00DF70A3">
        <w:t xml:space="preserve"> Environmental Protection Agency Standard Part 1066.</w:t>
      </w:r>
    </w:p>
    <w:p w14:paraId="529BEA20" w14:textId="4F092A0C" w:rsidR="00DF70A3" w:rsidRDefault="00B51726" w:rsidP="00DF70A3">
      <w:pPr>
        <w:spacing w:after="120"/>
        <w:ind w:left="1134" w:right="1134"/>
        <w:jc w:val="both"/>
      </w:pPr>
      <w:r>
        <w:t>33</w:t>
      </w:r>
      <w:r w:rsidR="00DF70A3">
        <w:t>.</w:t>
      </w:r>
      <w:r w:rsidR="00DF70A3">
        <w:tab/>
        <w:t>It appeared clear from the beginning that due to the different regional approaches in controlling evaporative emissions only part of the existing emissions legislation could be harmonized. The existing emission legislation for evaporative emissions, depending on the region considered, may address up to six different potential sources:</w:t>
      </w:r>
    </w:p>
    <w:p w14:paraId="4271A059" w14:textId="587BAFDE" w:rsidR="00DF70A3" w:rsidRDefault="005D1ADD" w:rsidP="005D1ADD">
      <w:pPr>
        <w:spacing w:after="120"/>
        <w:ind w:left="2268" w:right="1134" w:hanging="567"/>
        <w:jc w:val="both"/>
      </w:pPr>
      <w:r>
        <w:t>(a)</w:t>
      </w:r>
      <w:r w:rsidR="00DF70A3">
        <w:tab/>
        <w:t xml:space="preserve">Hot soak losses. Hot soak emissions are usually attributed to the evaporation of the petrol from the fuel system/engine immediately after the </w:t>
      </w:r>
      <w:r>
        <w:t>engine is shut off after a trip;</w:t>
      </w:r>
    </w:p>
    <w:p w14:paraId="1C213E31" w14:textId="5460FEF2" w:rsidR="00DF70A3" w:rsidRDefault="00DF70A3" w:rsidP="005D1ADD">
      <w:pPr>
        <w:spacing w:after="120"/>
        <w:ind w:left="2268" w:right="1134" w:hanging="567"/>
        <w:jc w:val="both"/>
      </w:pPr>
      <w:r>
        <w:t xml:space="preserve">(b) </w:t>
      </w:r>
      <w:r>
        <w:tab/>
        <w:t>Diurnal losses. Evaporative emissions coming from the fuel system as a consequence of diurnal temperatures fluctuat</w:t>
      </w:r>
      <w:r w:rsidR="005D1ADD">
        <w:t>ion while the vehicle is parked;</w:t>
      </w:r>
    </w:p>
    <w:p w14:paraId="425B98B2" w14:textId="282168DA" w:rsidR="00DF70A3" w:rsidRDefault="00DF70A3" w:rsidP="005D1ADD">
      <w:pPr>
        <w:spacing w:after="120"/>
        <w:ind w:left="2268" w:right="1134" w:hanging="567"/>
        <w:jc w:val="both"/>
      </w:pPr>
      <w:r>
        <w:t xml:space="preserve">(c) </w:t>
      </w:r>
      <w:r>
        <w:tab/>
        <w:t>Permeation. Hydrocarbons escaping the vehicle’s fuel system by permeation through the plastic and rubber components</w:t>
      </w:r>
      <w:r w:rsidR="005D1ADD">
        <w:t>;</w:t>
      </w:r>
    </w:p>
    <w:p w14:paraId="4EFDB5A9" w14:textId="591B4428" w:rsidR="00DF70A3" w:rsidRDefault="00DF70A3" w:rsidP="005D1ADD">
      <w:pPr>
        <w:spacing w:after="120"/>
        <w:ind w:left="2268" w:right="1134" w:hanging="567"/>
        <w:jc w:val="both"/>
      </w:pPr>
      <w:r>
        <w:t xml:space="preserve">(d) </w:t>
      </w:r>
      <w:r>
        <w:tab/>
        <w:t>Running losses. Emissions from the fuel system/eng</w:t>
      </w:r>
      <w:r w:rsidR="005D1ADD">
        <w:t>ine while the vehicle is driven;</w:t>
      </w:r>
    </w:p>
    <w:p w14:paraId="762EFBCB" w14:textId="5CFB630E" w:rsidR="00DF70A3" w:rsidRDefault="00DF70A3" w:rsidP="005D1ADD">
      <w:pPr>
        <w:spacing w:after="120"/>
        <w:ind w:left="2268" w:right="1134" w:hanging="567"/>
        <w:jc w:val="both"/>
      </w:pPr>
      <w:r>
        <w:t xml:space="preserve">(e) </w:t>
      </w:r>
      <w:r>
        <w:tab/>
        <w:t>Refuelling emissions. Vapours present in the tank displaced by the liquid fuel entering into th</w:t>
      </w:r>
      <w:r w:rsidR="005D1ADD">
        <w:t>e tank through the filler neck;</w:t>
      </w:r>
    </w:p>
    <w:p w14:paraId="037E8E11" w14:textId="517CA56F" w:rsidR="00DF70A3" w:rsidRDefault="005D1ADD" w:rsidP="005D1ADD">
      <w:pPr>
        <w:spacing w:after="120"/>
        <w:ind w:left="2268" w:right="1134" w:hanging="567"/>
        <w:jc w:val="both"/>
      </w:pPr>
      <w:r>
        <w:t xml:space="preserve">(f) </w:t>
      </w:r>
      <w:r>
        <w:tab/>
        <w:t>Leaks. On-Board D</w:t>
      </w:r>
      <w:r w:rsidR="00DF70A3">
        <w:t>iagnostic (OBD) systems have been developed to check the integrity of the vapour part of the fuel system.</w:t>
      </w:r>
    </w:p>
    <w:p w14:paraId="291CC445" w14:textId="5EFD221D" w:rsidR="00DF70A3" w:rsidRDefault="00B51726" w:rsidP="00DF70A3">
      <w:pPr>
        <w:spacing w:after="120"/>
        <w:ind w:left="1134" w:right="1134"/>
        <w:jc w:val="both"/>
      </w:pPr>
      <w:r>
        <w:t>34</w:t>
      </w:r>
      <w:r w:rsidR="005D1ADD">
        <w:t>.</w:t>
      </w:r>
      <w:r w:rsidR="005D1ADD">
        <w:tab/>
      </w:r>
      <w:r w:rsidR="00DF70A3">
        <w:t>While the US</w:t>
      </w:r>
      <w:r w:rsidR="00F72E30">
        <w:t>A</w:t>
      </w:r>
      <w:r w:rsidR="00DF70A3">
        <w:t xml:space="preserve"> emission legislation contains provisions addressing all these potential sources of emissions, the legislation in force in other regions usually addresses only hot soak losses, diurnal losses and permeation when the vehicle is parked.</w:t>
      </w:r>
    </w:p>
    <w:p w14:paraId="4FA25758" w14:textId="4FEE0E24" w:rsidR="00DF70A3" w:rsidRDefault="00B51726" w:rsidP="00DF70A3">
      <w:pPr>
        <w:spacing w:after="120"/>
        <w:ind w:left="1134" w:right="1134"/>
        <w:jc w:val="both"/>
      </w:pPr>
      <w:r>
        <w:lastRenderedPageBreak/>
        <w:t>35</w:t>
      </w:r>
      <w:r w:rsidR="00EC51AC">
        <w:t>.</w:t>
      </w:r>
      <w:r w:rsidR="00EC51AC">
        <w:tab/>
      </w:r>
      <w:r w:rsidR="00DF70A3">
        <w:t>Due to the regional differences in terms mainly of temperatures, fleet composition and requirements for refuelling emissions (for instance, in the EU the use of Stage II vapour recovery systems is mandatory in refuelling stations while in Japan there is no provision at the moment), it was not considered appropriate to try to develop a GTR covering all the potential sources listed above. Therefore, it was decided to limit the extent of the scope of this GTR to the evaporative emissions occurring only during parking events. In other words, it was agreed to develop a GTR covering only the hot soak and diurnal losses plus the permeation.</w:t>
      </w:r>
    </w:p>
    <w:p w14:paraId="21FDA15D" w14:textId="0F44ACCA" w:rsidR="00DF70A3" w:rsidRDefault="00B51726" w:rsidP="00DF70A3">
      <w:pPr>
        <w:spacing w:after="120"/>
        <w:ind w:left="1134" w:right="1134"/>
        <w:jc w:val="both"/>
      </w:pPr>
      <w:r>
        <w:t>36</w:t>
      </w:r>
      <w:r w:rsidR="00EC51AC">
        <w:t>.</w:t>
      </w:r>
      <w:r w:rsidR="00EC51AC">
        <w:tab/>
      </w:r>
      <w:r w:rsidR="00DF70A3">
        <w:t xml:space="preserve">The other aspect that has been considered in defining the scope of the GTR is the vehicle concept and the fuel tank technology. While most of the conventional vehicles with an internal combustion engine have a fuel tank vented to the air through a pressure relief valve, for the majority of hybrid vehicles sealed tanks have been adopted due to the reduced opportunities to purge the carbon canister. Therefore, two different test procedures were initially envisaged to cover these two situations. However, after some discussions it appeared that the development of </w:t>
      </w:r>
      <w:r w:rsidR="00DF77F3">
        <w:t xml:space="preserve">a </w:t>
      </w:r>
      <w:r w:rsidR="00DF70A3">
        <w:t>test procedure for sealed tanks posed some challenges that could not be resolved within the planned timeframe. As a consequence, it was decided to postpone the development of the test procedure for sealed tanks to a later phase.</w:t>
      </w:r>
    </w:p>
    <w:p w14:paraId="1A2430D3" w14:textId="55E2F299" w:rsidR="00DF70A3" w:rsidRDefault="00B51726" w:rsidP="00DF70A3">
      <w:pPr>
        <w:spacing w:after="120"/>
        <w:ind w:left="1134" w:right="1134"/>
        <w:jc w:val="both"/>
      </w:pPr>
      <w:r>
        <w:t>37</w:t>
      </w:r>
      <w:r w:rsidR="00EC51AC">
        <w:t>.</w:t>
      </w:r>
      <w:r w:rsidR="00EC51AC">
        <w:tab/>
      </w:r>
      <w:r w:rsidR="00DF70A3">
        <w:t xml:space="preserve">For conventional vehicles it was instead agreed, upon the proposal of the </w:t>
      </w:r>
      <w:r>
        <w:t>EU</w:t>
      </w:r>
      <w:r w:rsidR="00DF70A3">
        <w:t>, to use as starting point for the discussion the EU revised evaporative emission test procedure developed by the European Commission together with the interes</w:t>
      </w:r>
      <w:r w:rsidR="00DF77F3">
        <w:t>ted stakeholders (industry and m</w:t>
      </w:r>
      <w:r w:rsidR="00DF70A3">
        <w:t>ember States) during the last years and submitted for final approval end of 2015/beginning 2016. Once again, this revised test procedure focuses only on evaporative emissions during parking events.</w:t>
      </w:r>
    </w:p>
    <w:p w14:paraId="7971BF6D" w14:textId="7FE543D9" w:rsidR="00DF70A3" w:rsidRDefault="00B51726" w:rsidP="00DF70A3">
      <w:pPr>
        <w:spacing w:after="120"/>
        <w:ind w:left="1134" w:right="1134"/>
        <w:jc w:val="both"/>
      </w:pPr>
      <w:r>
        <w:t>38</w:t>
      </w:r>
      <w:r w:rsidR="00EC51AC">
        <w:t>.</w:t>
      </w:r>
      <w:r w:rsidR="00EC51AC">
        <w:tab/>
      </w:r>
      <w:r w:rsidR="00DF70A3">
        <w:t>Starting from the newly adopted EU test procedure, the GTR development process focused in particular on:</w:t>
      </w:r>
    </w:p>
    <w:p w14:paraId="1BC9C252" w14:textId="5A9DDF42" w:rsidR="00DF70A3" w:rsidRDefault="00EC51AC" w:rsidP="00EC51AC">
      <w:pPr>
        <w:spacing w:after="120"/>
        <w:ind w:left="2268" w:right="1134" w:hanging="567"/>
        <w:jc w:val="both"/>
      </w:pPr>
      <w:r>
        <w:t>(a)</w:t>
      </w:r>
      <w:r w:rsidR="00DF70A3">
        <w:tab/>
        <w:t>Updated specifications for equipment towards the current state-of-art in measurement technology;</w:t>
      </w:r>
    </w:p>
    <w:p w14:paraId="263071DF" w14:textId="41BB58DD" w:rsidR="00DF70A3" w:rsidRDefault="00EC51AC" w:rsidP="00EC51AC">
      <w:pPr>
        <w:spacing w:after="120"/>
        <w:ind w:left="2268" w:right="1134" w:hanging="567"/>
        <w:jc w:val="both"/>
      </w:pPr>
      <w:r>
        <w:t>(b)</w:t>
      </w:r>
      <w:r w:rsidR="00DF70A3">
        <w:tab/>
        <w:t>Increased representativeness of the test and vehicle conditions.</w:t>
      </w:r>
    </w:p>
    <w:p w14:paraId="2B8D46B0" w14:textId="24FE5C82" w:rsidR="00DF70A3" w:rsidRDefault="00B51726" w:rsidP="00DF70A3">
      <w:pPr>
        <w:spacing w:after="120"/>
        <w:ind w:left="1134" w:right="1134"/>
        <w:jc w:val="both"/>
      </w:pPr>
      <w:r>
        <w:t>39</w:t>
      </w:r>
      <w:r w:rsidR="00EC51AC">
        <w:t>.</w:t>
      </w:r>
      <w:r w:rsidR="00EC51AC">
        <w:tab/>
      </w:r>
      <w:r w:rsidR="00DF70A3">
        <w:t xml:space="preserve">As such, the GTR text was updated and complemented by new elements where necessary. </w:t>
      </w:r>
    </w:p>
    <w:p w14:paraId="3F97FC35" w14:textId="5A0D9A31" w:rsidR="00E812DA" w:rsidRDefault="00B51726" w:rsidP="00DF70A3">
      <w:pPr>
        <w:spacing w:after="120"/>
        <w:ind w:left="1134" w:right="1134"/>
        <w:jc w:val="both"/>
      </w:pPr>
      <w:r>
        <w:t>40</w:t>
      </w:r>
      <w:r w:rsidR="00EC51AC">
        <w:t>.</w:t>
      </w:r>
      <w:r w:rsidR="00EC51AC">
        <w:tab/>
      </w:r>
      <w:r w:rsidR="00AE6E30">
        <w:t>Section IV.C.</w:t>
      </w:r>
      <w:r w:rsidR="00DF70A3">
        <w:t xml:space="preserve"> generally outlines the main improvements in the GTR. The modifications that need </w:t>
      </w:r>
      <w:r w:rsidR="002957A0">
        <w:t>additional</w:t>
      </w:r>
      <w:r w:rsidR="00AE6E30">
        <w:t xml:space="preserve"> clarification are detailed in section IV.D.</w:t>
      </w:r>
    </w:p>
    <w:p w14:paraId="10B55067" w14:textId="63AA11C1" w:rsidR="00D83B0F" w:rsidRPr="00DE5DAC" w:rsidRDefault="00D83B0F" w:rsidP="00D83B0F">
      <w:pPr>
        <w:keepNext/>
        <w:keepLines/>
        <w:tabs>
          <w:tab w:val="right" w:pos="851"/>
        </w:tabs>
        <w:spacing w:before="360" w:after="240" w:line="270" w:lineRule="exact"/>
        <w:ind w:left="1134" w:right="1134" w:hanging="1134"/>
        <w:rPr>
          <w:b/>
          <w:sz w:val="24"/>
        </w:rPr>
      </w:pPr>
      <w:r>
        <w:rPr>
          <w:b/>
          <w:sz w:val="24"/>
        </w:rPr>
        <w:tab/>
      </w:r>
      <w:r w:rsidR="00CC0581">
        <w:rPr>
          <w:b/>
          <w:sz w:val="24"/>
        </w:rPr>
        <w:t>C</w:t>
      </w:r>
      <w:r w:rsidRPr="00DE5DAC">
        <w:rPr>
          <w:b/>
          <w:sz w:val="24"/>
        </w:rPr>
        <w:t>.</w:t>
      </w:r>
      <w:r w:rsidRPr="00DE5DAC">
        <w:rPr>
          <w:b/>
          <w:sz w:val="24"/>
        </w:rPr>
        <w:tab/>
      </w:r>
      <w:r w:rsidRPr="00DF70A3">
        <w:rPr>
          <w:b/>
          <w:sz w:val="24"/>
        </w:rPr>
        <w:t>Improvements in the GTR</w:t>
      </w:r>
    </w:p>
    <w:p w14:paraId="284C273A" w14:textId="637C3186" w:rsidR="00D83B0F" w:rsidRDefault="00B51726" w:rsidP="00D83B0F">
      <w:pPr>
        <w:spacing w:after="120"/>
        <w:ind w:left="1134" w:right="1134"/>
        <w:jc w:val="both"/>
      </w:pPr>
      <w:r>
        <w:t>41</w:t>
      </w:r>
      <w:r w:rsidR="00276C7A">
        <w:t>.</w:t>
      </w:r>
      <w:r w:rsidR="00276C7A">
        <w:tab/>
      </w:r>
      <w:r w:rsidR="00D83B0F">
        <w:t>As a result of extensive analyses and discussions among the involved stakeholders, the WLTP Evaporative Emissions GTR has managed to improve many aspects of the existing emissions tes</w:t>
      </w:r>
      <w:r w:rsidR="00276C7A">
        <w:t>ting procedures. These include:</w:t>
      </w:r>
    </w:p>
    <w:p w14:paraId="0C89B217" w14:textId="26682C43" w:rsidR="00D83B0F" w:rsidRDefault="00276C7A" w:rsidP="00276C7A">
      <w:pPr>
        <w:spacing w:after="120"/>
        <w:ind w:left="2268" w:right="1134" w:hanging="567"/>
        <w:jc w:val="both"/>
      </w:pPr>
      <w:r>
        <w:t>(a)</w:t>
      </w:r>
      <w:r w:rsidR="00D83B0F">
        <w:tab/>
        <w:t>Increased representativeness of the conditioning procedure carried out prior to the start of the evaporative emissions test;</w:t>
      </w:r>
    </w:p>
    <w:p w14:paraId="1981E3EA" w14:textId="77777777" w:rsidR="00D83B0F" w:rsidRDefault="00D83B0F" w:rsidP="00276C7A">
      <w:pPr>
        <w:spacing w:after="120"/>
        <w:ind w:left="2268" w:right="1134" w:hanging="567"/>
        <w:jc w:val="both"/>
      </w:pPr>
      <w:r>
        <w:t xml:space="preserve">(b) </w:t>
      </w:r>
      <w:r>
        <w:tab/>
        <w:t>Increased duration of the diurnal test from 24 hours to 48 hours, covering in this way the majority of parking events;</w:t>
      </w:r>
    </w:p>
    <w:p w14:paraId="27114D65" w14:textId="16E5D236" w:rsidR="00D83B0F" w:rsidRDefault="002957A0" w:rsidP="00276C7A">
      <w:pPr>
        <w:spacing w:after="120"/>
        <w:ind w:left="2268" w:right="1134" w:hanging="567"/>
        <w:jc w:val="both"/>
      </w:pPr>
      <w:r>
        <w:t>(</w:t>
      </w:r>
      <w:proofErr w:type="gramStart"/>
      <w:r>
        <w:t>c</w:t>
      </w:r>
      <w:proofErr w:type="gramEnd"/>
      <w:r>
        <w:t xml:space="preserve">) </w:t>
      </w:r>
      <w:r>
        <w:tab/>
        <w:t xml:space="preserve">Improved how </w:t>
      </w:r>
      <w:r w:rsidR="00D83B0F">
        <w:t xml:space="preserve">the durability aspect is taken into account in the test procedure; </w:t>
      </w:r>
    </w:p>
    <w:p w14:paraId="5DD2D6CF" w14:textId="77777777" w:rsidR="00D83B0F" w:rsidRDefault="00D83B0F" w:rsidP="00276C7A">
      <w:pPr>
        <w:spacing w:after="120"/>
        <w:ind w:left="2268" w:right="1134" w:hanging="567"/>
        <w:jc w:val="both"/>
      </w:pPr>
      <w:r>
        <w:t xml:space="preserve">(d) </w:t>
      </w:r>
      <w:r>
        <w:tab/>
        <w:t>Provisions to take into account the potential long term effect of ethanol on the fuel permeation rate through the plastic components of the fuel system as well as on the reduction of the carbon working capacity.</w:t>
      </w:r>
    </w:p>
    <w:p w14:paraId="7C87A919" w14:textId="35CA071A" w:rsidR="00D83B0F" w:rsidRDefault="00D83B0F" w:rsidP="00D83B0F">
      <w:pPr>
        <w:spacing w:after="120"/>
        <w:ind w:left="1134" w:right="1134"/>
        <w:jc w:val="both"/>
      </w:pPr>
      <w:r>
        <w:lastRenderedPageBreak/>
        <w:t>4</w:t>
      </w:r>
      <w:r w:rsidR="00B51726">
        <w:t>2</w:t>
      </w:r>
      <w:r w:rsidR="00276C7A">
        <w:t>.</w:t>
      </w:r>
      <w:r w:rsidR="00276C7A">
        <w:tab/>
      </w:r>
      <w:r>
        <w:t xml:space="preserve">On a more detailed level, the following list shows the main improvements on specific aspects of the testing methodology which have contributed to increase the representativeness or usefulness of the test results: </w:t>
      </w:r>
    </w:p>
    <w:p w14:paraId="7B6F257B" w14:textId="66B3B652" w:rsidR="00D83B0F" w:rsidRDefault="00276C7A" w:rsidP="00276C7A">
      <w:pPr>
        <w:spacing w:after="120"/>
        <w:ind w:left="2268" w:right="1134" w:hanging="567"/>
        <w:jc w:val="both"/>
      </w:pPr>
      <w:r>
        <w:t>(a)</w:t>
      </w:r>
      <w:r>
        <w:tab/>
      </w:r>
      <w:r w:rsidR="00D83B0F">
        <w:t>The duration of the conditioning drive during which the carbon canister is purged after having been loaded to breakthrough has been significantly reduced compared to the current test procedure described in Regulation</w:t>
      </w:r>
      <w:r>
        <w:t xml:space="preserve"> No.</w:t>
      </w:r>
      <w:r w:rsidR="00D83B0F">
        <w:t xml:space="preserve"> 83. Instead of driving the vehicle over, in total, three New European Driving Cycles (corresponding to one hour of driving and 33 km), in the new test procedure the vehicle will be driven over the following combination of </w:t>
      </w:r>
      <w:r w:rsidR="002957A0">
        <w:t xml:space="preserve">the Worldwide </w:t>
      </w:r>
      <w:r w:rsidR="002957A0" w:rsidRPr="002957A0">
        <w:t>harmonized Light-duty vehicle Test Cycle (WLTC)</w:t>
      </w:r>
      <w:r w:rsidR="00D83B0F">
        <w:t>: Low–Medium–High–Medium phases for Class 2 and 3, twice the Low–Medium–Low phases for Class 1. These cycles will correspond respectively to about 32 and 54 minutes driving. The intention was to focus on urban driving conditions that are the most critical as far as the carbon canister purging is concerned for the re</w:t>
      </w:r>
      <w:r>
        <w:t>duced speeds and trip duration;</w:t>
      </w:r>
    </w:p>
    <w:p w14:paraId="71FDD432" w14:textId="69F310DC" w:rsidR="00D83B0F" w:rsidRDefault="00276C7A" w:rsidP="00276C7A">
      <w:pPr>
        <w:spacing w:after="120"/>
        <w:ind w:left="2268" w:right="1134" w:hanging="567"/>
        <w:jc w:val="both"/>
      </w:pPr>
      <w:r>
        <w:t>(b)</w:t>
      </w:r>
      <w:r>
        <w:tab/>
      </w:r>
      <w:r w:rsidR="00D83B0F">
        <w:t>The duration of the diurnal test has been extended from 24 hours to 48 hours in order to cover the majority of the parking events. The intention was to reduce the possibility that the carbon canister is saturated after the first day of parking and then evaporative emissions are no longer controlled. The 48-hour test was first introduced in the US</w:t>
      </w:r>
      <w:r w:rsidR="00F72E30">
        <w:t>A</w:t>
      </w:r>
      <w:r w:rsidR="00D83B0F">
        <w:t xml:space="preserve"> in the nineties to cover two day parking events occu</w:t>
      </w:r>
      <w:r w:rsidR="00324EA7">
        <w:t>rring mainly during the weekend;</w:t>
      </w:r>
    </w:p>
    <w:p w14:paraId="31C26D63" w14:textId="640D45C1" w:rsidR="00D83B0F" w:rsidRDefault="00276C7A" w:rsidP="00276C7A">
      <w:pPr>
        <w:spacing w:after="120"/>
        <w:ind w:left="2268" w:right="1134" w:hanging="567"/>
        <w:jc w:val="both"/>
      </w:pPr>
      <w:r>
        <w:t>(c)</w:t>
      </w:r>
      <w:r>
        <w:tab/>
      </w:r>
      <w:r w:rsidR="00D83B0F">
        <w:t>In addition, for a more conservative approach, the severity of the test may be increased by selecting the possibility to consider, as result of the diurnal test, the total evaporative emissions measured during the 48 hours. This implies additional measures to improve the effectiveness of the evaporative emission control system, like more aggressive purging strategies</w:t>
      </w:r>
      <w:r w:rsidR="00324EA7">
        <w:t xml:space="preserve"> and/or larger carbon canisters;</w:t>
      </w:r>
    </w:p>
    <w:p w14:paraId="1C15CDA9" w14:textId="060BF087" w:rsidR="00D83B0F" w:rsidRDefault="00276C7A" w:rsidP="00276C7A">
      <w:pPr>
        <w:spacing w:after="120"/>
        <w:ind w:left="2268" w:right="1134" w:hanging="567"/>
        <w:jc w:val="both"/>
      </w:pPr>
      <w:r>
        <w:t>(d)</w:t>
      </w:r>
      <w:r>
        <w:tab/>
      </w:r>
      <w:r w:rsidR="00D83B0F">
        <w:t xml:space="preserve">The legislation requires emission control systems to be effective over the useful life of the vehicle (corresponding, for instance, to 160,000 km in Regulation </w:t>
      </w:r>
      <w:r w:rsidR="00324EA7">
        <w:t xml:space="preserve">No. </w:t>
      </w:r>
      <w:r w:rsidR="00D83B0F">
        <w:t xml:space="preserve">83). In order to better cover this aspect and to take into account the potential long term effect of ethanol on carbon working capacity, the evaporative emission test will have to be carried out with an aged canister. In addition, a permeation factor will be added to the results of the test to take into account the potential increase of permeation due to the presence of ethanol in the fuel. An ageing procedure for the carbon canister and a procedure to measure the permeation factor of plastic tanks have </w:t>
      </w:r>
      <w:r w:rsidR="002957A0">
        <w:t xml:space="preserve">also </w:t>
      </w:r>
      <w:r w:rsidR="00D83B0F">
        <w:t>been introduced in</w:t>
      </w:r>
      <w:r w:rsidR="002957A0">
        <w:t>to</w:t>
      </w:r>
      <w:r w:rsidR="00D83B0F">
        <w:t xml:space="preserve"> the legislation.</w:t>
      </w:r>
    </w:p>
    <w:p w14:paraId="47457DB2" w14:textId="05A238E6" w:rsidR="00DF70A3" w:rsidRPr="00DE5DAC" w:rsidRDefault="00DF70A3" w:rsidP="00DF70A3">
      <w:pPr>
        <w:keepNext/>
        <w:keepLines/>
        <w:tabs>
          <w:tab w:val="right" w:pos="851"/>
        </w:tabs>
        <w:spacing w:before="360" w:after="240" w:line="270" w:lineRule="exact"/>
        <w:ind w:left="1134" w:right="1134" w:hanging="1134"/>
        <w:rPr>
          <w:b/>
          <w:sz w:val="24"/>
        </w:rPr>
      </w:pPr>
      <w:r>
        <w:rPr>
          <w:b/>
          <w:sz w:val="24"/>
        </w:rPr>
        <w:tab/>
      </w:r>
      <w:r w:rsidR="00D83B0F">
        <w:rPr>
          <w:b/>
          <w:sz w:val="24"/>
        </w:rPr>
        <w:t>D</w:t>
      </w:r>
      <w:r w:rsidRPr="00DE5DAC">
        <w:rPr>
          <w:b/>
          <w:sz w:val="24"/>
        </w:rPr>
        <w:t>.</w:t>
      </w:r>
      <w:r w:rsidRPr="00DE5DAC">
        <w:rPr>
          <w:b/>
          <w:sz w:val="24"/>
        </w:rPr>
        <w:tab/>
      </w:r>
      <w:r w:rsidR="00D83B0F">
        <w:rPr>
          <w:b/>
          <w:sz w:val="24"/>
        </w:rPr>
        <w:t>New concepts of</w:t>
      </w:r>
      <w:r w:rsidRPr="00DF70A3">
        <w:rPr>
          <w:b/>
          <w:sz w:val="24"/>
        </w:rPr>
        <w:t xml:space="preserve"> the GTR</w:t>
      </w:r>
    </w:p>
    <w:p w14:paraId="5B2576A5" w14:textId="41973ACA" w:rsidR="00DF70A3" w:rsidRDefault="00B51726" w:rsidP="00DF70A3">
      <w:pPr>
        <w:spacing w:after="120"/>
        <w:ind w:left="1134" w:right="1134"/>
        <w:jc w:val="both"/>
      </w:pPr>
      <w:r>
        <w:t>43</w:t>
      </w:r>
      <w:r w:rsidR="00D83B0F">
        <w:t>.</w:t>
      </w:r>
      <w:r w:rsidR="00D83B0F">
        <w:tab/>
      </w:r>
      <w:r w:rsidR="00D83B0F" w:rsidRPr="00D83B0F">
        <w:t xml:space="preserve">The main improvements introduced by the GTR have been identified in the previous </w:t>
      </w:r>
      <w:r w:rsidR="00D83B0F">
        <w:t>section</w:t>
      </w:r>
      <w:r w:rsidR="00D83B0F" w:rsidRPr="00D83B0F">
        <w:t xml:space="preserve">. In some cases, it was sufficient to add or modify a simple requirement. For other improvements, it was necessary to develop a whole new approach, leading to a new concept in the GTR. To give a more detailed explanation on the background and the underlying principles, this </w:t>
      </w:r>
      <w:r w:rsidR="00324EA7">
        <w:t>section</w:t>
      </w:r>
      <w:r w:rsidR="00D83B0F" w:rsidRPr="00D83B0F">
        <w:t xml:space="preserve"> will outline the main new concepts that were introduced.</w:t>
      </w:r>
    </w:p>
    <w:p w14:paraId="7B484D0F" w14:textId="5181FD9B" w:rsidR="00324EA7" w:rsidRPr="00324EA7" w:rsidRDefault="00324EA7" w:rsidP="00324EA7">
      <w:pPr>
        <w:keepNext/>
        <w:keepLines/>
        <w:tabs>
          <w:tab w:val="right" w:pos="851"/>
        </w:tabs>
        <w:spacing w:before="240" w:after="120" w:line="240" w:lineRule="exact"/>
        <w:ind w:left="1134" w:right="1134" w:hanging="1134"/>
        <w:rPr>
          <w:b/>
        </w:rPr>
      </w:pPr>
      <w:bookmarkStart w:id="6" w:name="_Toc435001973"/>
      <w:bookmarkStart w:id="7" w:name="_Toc437857351"/>
      <w:r w:rsidRPr="00324EA7">
        <w:rPr>
          <w:b/>
        </w:rPr>
        <w:tab/>
        <w:t>1.</w:t>
      </w:r>
      <w:r w:rsidRPr="00324EA7">
        <w:rPr>
          <w:b/>
        </w:rPr>
        <w:tab/>
      </w:r>
      <w:bookmarkEnd w:id="6"/>
      <w:bookmarkEnd w:id="7"/>
      <w:r>
        <w:rPr>
          <w:b/>
        </w:rPr>
        <w:t>Conditioning drive</w:t>
      </w:r>
    </w:p>
    <w:p w14:paraId="528A48EE" w14:textId="12EDCEA1" w:rsidR="00324EA7" w:rsidRDefault="00B51726" w:rsidP="00324EA7">
      <w:pPr>
        <w:spacing w:after="120"/>
        <w:ind w:left="1134" w:right="1134"/>
        <w:jc w:val="both"/>
      </w:pPr>
      <w:r>
        <w:t>44</w:t>
      </w:r>
      <w:r w:rsidR="00324EA7">
        <w:t>.</w:t>
      </w:r>
      <w:r w:rsidR="00324EA7">
        <w:tab/>
        <w:t xml:space="preserve">The carbon canister can efficiently trap the vapours generated by the evaporation of the petrol contained in the tank until the activated carbon is saturated. In order to restore the capability of the carbon canister of trapping the hydrocarbon vapours, it has to be regularly </w:t>
      </w:r>
      <w:r w:rsidR="00324EA7">
        <w:lastRenderedPageBreak/>
        <w:t xml:space="preserve">purged. When the vehicle is running, in certain operating conditions and under the control of the </w:t>
      </w:r>
      <w:r w:rsidR="002957A0">
        <w:t>Engine Management System (EMS)</w:t>
      </w:r>
      <w:r w:rsidR="00324EA7">
        <w:t xml:space="preserve">, part of the combustion air is drawn through the canister and into the engine so that the activated carbon is purged and the fuel vapours are burned in the engine. The amount of air drawn through the canister is managed by the </w:t>
      </w:r>
      <w:r w:rsidR="002957A0">
        <w:t>EMS</w:t>
      </w:r>
      <w:r w:rsidR="00324EA7">
        <w:t xml:space="preserve"> and controlled by means of a valve (purge valve) located in the line connecting the canister with the air intake manifold.</w:t>
      </w:r>
    </w:p>
    <w:p w14:paraId="1E1CA9E8" w14:textId="3047A8C3" w:rsidR="00324EA7" w:rsidRDefault="00B51726" w:rsidP="00324EA7">
      <w:pPr>
        <w:spacing w:after="120"/>
        <w:ind w:left="1134" w:right="1134"/>
        <w:jc w:val="both"/>
      </w:pPr>
      <w:r>
        <w:t>45</w:t>
      </w:r>
      <w:r w:rsidR="00324EA7">
        <w:t>.</w:t>
      </w:r>
      <w:r w:rsidR="00324EA7">
        <w:tab/>
        <w:t xml:space="preserve">A correct purging strategy is important to ensure a good efficiency of the evaporative emission control system in all the most common driving conditions but it is </w:t>
      </w:r>
      <w:r w:rsidR="002957A0">
        <w:t xml:space="preserve">also </w:t>
      </w:r>
      <w:r w:rsidR="00324EA7">
        <w:t>important for other aspects like driveability and exhaust emissions. For example, if after a long parking period the canister is saturated, as soon as the purge valve is opened a lot of hydrocarbons will reach the intake manifold through the canister purging line. This may result in a richer mixture (lambda &lt; 1) and consequently in a reduced efficiency of the three-way catalyst in oxidizing HC and CO. If this occurs during a cold start, exhaust HC and CO emissions may exceed the relevant emission limit. For this reason, the US</w:t>
      </w:r>
      <w:r w:rsidR="00F72E30">
        <w:t>A</w:t>
      </w:r>
      <w:r w:rsidR="00324EA7">
        <w:t xml:space="preserve"> legislative test procedure for evaporative emissions requires exhaust emissions to be measured during the conditioning drive. In the test procedure defined in Regulation No. 83 exhaust emissions may instead be measured during the conditioning drive executed prior to the start of the evaporative emissions test but should not be used to check compliance with the exhaust emissions limits.</w:t>
      </w:r>
    </w:p>
    <w:p w14:paraId="4CAEDBC8" w14:textId="60605E36" w:rsidR="00324EA7" w:rsidRDefault="00B51726" w:rsidP="00324EA7">
      <w:pPr>
        <w:spacing w:after="120"/>
        <w:ind w:left="1134" w:right="1134"/>
        <w:jc w:val="both"/>
      </w:pPr>
      <w:r>
        <w:t>46</w:t>
      </w:r>
      <w:r w:rsidR="00324EA7">
        <w:t>.</w:t>
      </w:r>
      <w:r w:rsidR="00324EA7">
        <w:tab/>
        <w:t>For the reasons mentioned above, the purging strategy must be carefully optimized taking into account the need of purging the canister quickly and at the same time avoiding negative impacts on driveability and exhaust emissions.</w:t>
      </w:r>
    </w:p>
    <w:p w14:paraId="6B3271D4" w14:textId="7CC6475B" w:rsidR="00324EA7" w:rsidRDefault="00B51726" w:rsidP="00324EA7">
      <w:pPr>
        <w:spacing w:after="120"/>
        <w:ind w:left="1134" w:right="1134"/>
        <w:jc w:val="both"/>
      </w:pPr>
      <w:r>
        <w:t>47</w:t>
      </w:r>
      <w:r w:rsidR="00324EA7">
        <w:t>.</w:t>
      </w:r>
      <w:r w:rsidR="00324EA7">
        <w:tab/>
        <w:t>However, data generated at the Joint Research Centre of the European Commission shows that in some cases purging rates over the urban part of the legislative driving cycle (NEDC) may be rather low. As a result, the canister may not be purged efficiently in similar driving conditions.</w:t>
      </w:r>
    </w:p>
    <w:p w14:paraId="0945BA9F" w14:textId="1D552C6F" w:rsidR="00324EA7" w:rsidRDefault="00B51726" w:rsidP="00324EA7">
      <w:pPr>
        <w:spacing w:after="120"/>
        <w:ind w:left="1134" w:right="1134"/>
        <w:jc w:val="both"/>
      </w:pPr>
      <w:r>
        <w:t>48</w:t>
      </w:r>
      <w:r w:rsidR="00324EA7">
        <w:t>.</w:t>
      </w:r>
      <w:r w:rsidR="00324EA7">
        <w:tab/>
        <w:t>The purging strategy of some Euro 4/5 passenger cars available on the European market were investigated at the J</w:t>
      </w:r>
      <w:r w:rsidR="002957A0">
        <w:t xml:space="preserve">oint </w:t>
      </w:r>
      <w:r w:rsidR="00324EA7">
        <w:t>R</w:t>
      </w:r>
      <w:r w:rsidR="002957A0">
        <w:t xml:space="preserve">esearch </w:t>
      </w:r>
      <w:r w:rsidR="00324EA7">
        <w:t>C</w:t>
      </w:r>
      <w:r w:rsidR="002957A0">
        <w:t>entre (JRC)</w:t>
      </w:r>
      <w:r w:rsidR="00324EA7">
        <w:t xml:space="preserve"> by connecting a </w:t>
      </w:r>
      <w:proofErr w:type="spellStart"/>
      <w:r w:rsidR="00324EA7">
        <w:t>flowmeter</w:t>
      </w:r>
      <w:proofErr w:type="spellEnd"/>
      <w:r w:rsidR="00324EA7">
        <w:t xml:space="preserve"> to the canister vent.</w:t>
      </w:r>
    </w:p>
    <w:p w14:paraId="531508C1" w14:textId="23C3B961" w:rsidR="00324EA7" w:rsidRDefault="00B51726" w:rsidP="00324EA7">
      <w:pPr>
        <w:spacing w:after="120"/>
        <w:ind w:left="1134" w:right="1134"/>
        <w:jc w:val="both"/>
      </w:pPr>
      <w:r>
        <w:t>49</w:t>
      </w:r>
      <w:r w:rsidR="00324EA7">
        <w:t>.</w:t>
      </w:r>
      <w:r w:rsidR="00324EA7">
        <w:tab/>
        <w:t>Most of these vehicles were tested for evaporative emissions and the second-by-second purging flow rate was recorded both over the pre-conditioning (NEDC+EUDC) and the conditioning drive (NEDC+UDC) prescribed by the relevant legislative test procedure.</w:t>
      </w:r>
    </w:p>
    <w:p w14:paraId="68FDA748" w14:textId="1193DF00" w:rsidR="00324EA7" w:rsidRDefault="00B51726" w:rsidP="00324EA7">
      <w:pPr>
        <w:spacing w:after="120"/>
        <w:ind w:left="1134" w:right="1134"/>
        <w:jc w:val="both"/>
      </w:pPr>
      <w:r>
        <w:t>50</w:t>
      </w:r>
      <w:r w:rsidR="00324EA7">
        <w:t>.</w:t>
      </w:r>
      <w:r w:rsidR="00324EA7">
        <w:tab/>
        <w:t>In one case, the vehicle was tested only for exhaust emissions and therefore the purging flow rate was recorded over the NEDC and over the new worldwide harmonized driving cycle (WLTC, draft version).</w:t>
      </w:r>
    </w:p>
    <w:p w14:paraId="549D1A79" w14:textId="58BC4FDF" w:rsidR="00324EA7" w:rsidRDefault="00B51726" w:rsidP="00324EA7">
      <w:pPr>
        <w:spacing w:after="120"/>
        <w:ind w:left="1134" w:right="1134"/>
        <w:jc w:val="both"/>
      </w:pPr>
      <w:r>
        <w:t>51</w:t>
      </w:r>
      <w:r w:rsidR="00324EA7">
        <w:t>.</w:t>
      </w:r>
      <w:r w:rsidR="00324EA7">
        <w:tab/>
        <w:t>The following plots provide the instantaneous purging flow rate (blue line) and the cumulative purge volume (red line) for each of the tested vehicles (left vertical axis) over the different driving cycles. The black line represents the speed of the vehicle (right vertical axis). The vehicles are identified with letters having no meaning.</w:t>
      </w:r>
    </w:p>
    <w:p w14:paraId="0E8A9063" w14:textId="0F526DA2" w:rsidR="00F820F3" w:rsidRPr="00F820F3" w:rsidRDefault="00324EA7" w:rsidP="00324EA7">
      <w:pPr>
        <w:keepNext/>
        <w:keepLines/>
        <w:tabs>
          <w:tab w:val="left" w:pos="567"/>
          <w:tab w:val="left" w:pos="1134"/>
        </w:tabs>
        <w:spacing w:line="240" w:lineRule="auto"/>
        <w:ind w:left="1134" w:right="40"/>
        <w:jc w:val="both"/>
      </w:pPr>
      <w:r>
        <w:lastRenderedPageBreak/>
        <w:t>Figure 1</w:t>
      </w:r>
    </w:p>
    <w:p w14:paraId="4524C655" w14:textId="77777777" w:rsidR="00324EA7" w:rsidRPr="00324EA7" w:rsidRDefault="00324EA7" w:rsidP="00324EA7">
      <w:pPr>
        <w:keepNext/>
        <w:keepLines/>
        <w:tabs>
          <w:tab w:val="left" w:pos="567"/>
          <w:tab w:val="left" w:pos="1134"/>
        </w:tabs>
        <w:spacing w:line="240" w:lineRule="auto"/>
        <w:ind w:left="1134" w:right="40"/>
        <w:jc w:val="both"/>
        <w:rPr>
          <w:noProof/>
          <w:lang w:val="es-ES"/>
        </w:rPr>
      </w:pPr>
      <w:proofErr w:type="spellStart"/>
      <w:r w:rsidRPr="00324EA7">
        <w:rPr>
          <w:b/>
          <w:lang w:val="es-ES"/>
        </w:rPr>
        <w:t>Vehicle</w:t>
      </w:r>
      <w:proofErr w:type="spellEnd"/>
      <w:r w:rsidRPr="00324EA7">
        <w:rPr>
          <w:b/>
          <w:lang w:val="es-ES"/>
        </w:rPr>
        <w:t xml:space="preserve"> X - 1360cc 55 </w:t>
      </w:r>
      <w:proofErr w:type="spellStart"/>
      <w:r w:rsidRPr="00324EA7">
        <w:rPr>
          <w:b/>
          <w:lang w:val="es-ES"/>
        </w:rPr>
        <w:t>kw</w:t>
      </w:r>
      <w:proofErr w:type="spellEnd"/>
      <w:r w:rsidRPr="00324EA7">
        <w:rPr>
          <w:b/>
          <w:lang w:val="es-ES"/>
        </w:rPr>
        <w:t xml:space="preserve"> Euro4 MPI</w:t>
      </w:r>
    </w:p>
    <w:p w14:paraId="63D99D16" w14:textId="77777777" w:rsidR="00324EA7" w:rsidRPr="00324EA7" w:rsidRDefault="00324EA7" w:rsidP="00324EA7">
      <w:pPr>
        <w:keepNext/>
        <w:keepLines/>
        <w:tabs>
          <w:tab w:val="left" w:pos="567"/>
          <w:tab w:val="left" w:pos="1134"/>
        </w:tabs>
        <w:spacing w:before="120" w:after="240" w:line="240" w:lineRule="auto"/>
        <w:ind w:left="1134" w:right="39"/>
        <w:jc w:val="both"/>
        <w:rPr>
          <w:lang w:val="es-ES"/>
        </w:rPr>
      </w:pPr>
      <w:r w:rsidRPr="00324EA7">
        <w:rPr>
          <w:noProof/>
          <w:lang w:eastAsia="en-GB"/>
        </w:rPr>
        <w:drawing>
          <wp:inline distT="0" distB="0" distL="0" distR="0" wp14:anchorId="2E6C4337" wp14:editId="35E02453">
            <wp:extent cx="2703195" cy="1621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3195" cy="1621790"/>
                    </a:xfrm>
                    <a:prstGeom prst="rect">
                      <a:avLst/>
                    </a:prstGeom>
                    <a:noFill/>
                    <a:ln>
                      <a:noFill/>
                    </a:ln>
                  </pic:spPr>
                </pic:pic>
              </a:graphicData>
            </a:graphic>
          </wp:inline>
        </w:drawing>
      </w:r>
      <w:r w:rsidRPr="00324EA7">
        <w:rPr>
          <w:lang w:val="es-ES"/>
        </w:rPr>
        <w:t xml:space="preserve"> </w:t>
      </w:r>
      <w:r w:rsidRPr="00324EA7">
        <w:rPr>
          <w:noProof/>
          <w:lang w:eastAsia="en-GB"/>
        </w:rPr>
        <w:drawing>
          <wp:inline distT="0" distB="0" distL="0" distR="0" wp14:anchorId="6C14155F" wp14:editId="5984C4E9">
            <wp:extent cx="2697480" cy="160591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2697480" cy="1605915"/>
                    </a:xfrm>
                    <a:prstGeom prst="rect">
                      <a:avLst/>
                    </a:prstGeom>
                    <a:noFill/>
                    <a:ln>
                      <a:noFill/>
                    </a:ln>
                  </pic:spPr>
                </pic:pic>
              </a:graphicData>
            </a:graphic>
          </wp:inline>
        </w:drawing>
      </w:r>
    </w:p>
    <w:p w14:paraId="33976BA1" w14:textId="30DB62A6" w:rsidR="00324EA7" w:rsidRPr="00644A6B" w:rsidRDefault="00324EA7" w:rsidP="00324EA7">
      <w:pPr>
        <w:keepNext/>
        <w:keepLines/>
        <w:tabs>
          <w:tab w:val="left" w:pos="567"/>
          <w:tab w:val="left" w:pos="1134"/>
        </w:tabs>
        <w:spacing w:line="240" w:lineRule="auto"/>
        <w:ind w:left="1134" w:right="40"/>
        <w:jc w:val="both"/>
        <w:rPr>
          <w:lang w:val="fr-CH"/>
        </w:rPr>
      </w:pPr>
      <w:r w:rsidRPr="00644A6B">
        <w:rPr>
          <w:lang w:val="fr-CH"/>
        </w:rPr>
        <w:t>Figure 2</w:t>
      </w:r>
    </w:p>
    <w:p w14:paraId="2F92CC9D" w14:textId="22A9E1E0" w:rsidR="00F820F3" w:rsidRPr="00644A6B" w:rsidRDefault="00324EA7" w:rsidP="00324EA7">
      <w:pPr>
        <w:tabs>
          <w:tab w:val="left" w:pos="567"/>
          <w:tab w:val="left" w:pos="1134"/>
        </w:tabs>
        <w:spacing w:line="240" w:lineRule="auto"/>
        <w:ind w:left="1134" w:right="40"/>
        <w:jc w:val="both"/>
        <w:rPr>
          <w:lang w:val="fr-CH"/>
        </w:rPr>
      </w:pPr>
      <w:proofErr w:type="spellStart"/>
      <w:r w:rsidRPr="00324EA7">
        <w:rPr>
          <w:b/>
          <w:lang w:val="es-ES"/>
        </w:rPr>
        <w:t>Vehicle</w:t>
      </w:r>
      <w:proofErr w:type="spellEnd"/>
      <w:r w:rsidRPr="00324EA7">
        <w:rPr>
          <w:b/>
          <w:lang w:val="es-ES"/>
        </w:rPr>
        <w:t xml:space="preserve"> Y – 1197 cc 47 kW Euro4 MPI</w:t>
      </w:r>
    </w:p>
    <w:p w14:paraId="52DCB2BA" w14:textId="6B895DF2" w:rsidR="00324EA7" w:rsidRPr="00324EA7" w:rsidRDefault="00324EA7" w:rsidP="00324EA7">
      <w:pPr>
        <w:keepNext/>
        <w:tabs>
          <w:tab w:val="left" w:pos="1134"/>
        </w:tabs>
        <w:suppressAutoHyphens w:val="0"/>
        <w:spacing w:before="120" w:after="240" w:line="240" w:lineRule="auto"/>
        <w:ind w:left="1134" w:right="39"/>
        <w:jc w:val="both"/>
        <w:outlineLvl w:val="1"/>
        <w:rPr>
          <w:b/>
          <w:sz w:val="24"/>
          <w:szCs w:val="24"/>
        </w:rPr>
      </w:pPr>
      <w:r w:rsidRPr="00324EA7">
        <w:rPr>
          <w:b/>
          <w:noProof/>
          <w:sz w:val="24"/>
          <w:szCs w:val="24"/>
          <w:lang w:eastAsia="en-GB"/>
        </w:rPr>
        <w:drawing>
          <wp:inline distT="0" distB="0" distL="0" distR="0" wp14:anchorId="77C17637" wp14:editId="5D856FCC">
            <wp:extent cx="2582266" cy="155245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266" cy="1552457"/>
                    </a:xfrm>
                    <a:prstGeom prst="rect">
                      <a:avLst/>
                    </a:prstGeom>
                    <a:noFill/>
                    <a:ln>
                      <a:noFill/>
                    </a:ln>
                  </pic:spPr>
                </pic:pic>
              </a:graphicData>
            </a:graphic>
          </wp:inline>
        </w:drawing>
      </w:r>
    </w:p>
    <w:p w14:paraId="45D4CC88" w14:textId="0FE60DDE" w:rsidR="00F820F3" w:rsidRDefault="00324EA7" w:rsidP="00F820F3">
      <w:pPr>
        <w:keepNext/>
        <w:tabs>
          <w:tab w:val="left" w:pos="1134"/>
        </w:tabs>
        <w:suppressAutoHyphens w:val="0"/>
        <w:spacing w:before="120" w:after="240" w:line="240" w:lineRule="auto"/>
        <w:ind w:left="1134" w:right="39"/>
        <w:jc w:val="both"/>
        <w:outlineLvl w:val="1"/>
        <w:rPr>
          <w:b/>
          <w:sz w:val="24"/>
          <w:szCs w:val="24"/>
        </w:rPr>
      </w:pPr>
      <w:r w:rsidRPr="00324EA7">
        <w:rPr>
          <w:b/>
          <w:noProof/>
          <w:sz w:val="24"/>
          <w:szCs w:val="24"/>
          <w:lang w:eastAsia="en-GB"/>
        </w:rPr>
        <w:drawing>
          <wp:inline distT="0" distB="0" distL="0" distR="0" wp14:anchorId="07AEC85B" wp14:editId="1F3E78E6">
            <wp:extent cx="2626157" cy="15699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521" cy="1571983"/>
                    </a:xfrm>
                    <a:prstGeom prst="rect">
                      <a:avLst/>
                    </a:prstGeom>
                    <a:noFill/>
                    <a:ln>
                      <a:noFill/>
                    </a:ln>
                  </pic:spPr>
                </pic:pic>
              </a:graphicData>
            </a:graphic>
          </wp:inline>
        </w:drawing>
      </w:r>
    </w:p>
    <w:p w14:paraId="0BA2855A" w14:textId="77777777" w:rsidR="00324EA7" w:rsidRPr="00F820F3" w:rsidRDefault="00324EA7" w:rsidP="00324EA7">
      <w:pPr>
        <w:tabs>
          <w:tab w:val="left" w:pos="1134"/>
        </w:tabs>
        <w:suppressAutoHyphens w:val="0"/>
        <w:spacing w:before="120" w:after="240" w:line="240" w:lineRule="auto"/>
        <w:ind w:left="1134" w:right="40"/>
        <w:jc w:val="both"/>
        <w:outlineLvl w:val="1"/>
        <w:rPr>
          <w:b/>
          <w:sz w:val="24"/>
          <w:szCs w:val="24"/>
        </w:rPr>
      </w:pPr>
    </w:p>
    <w:p w14:paraId="458E1916" w14:textId="748EB4D1" w:rsidR="007F3534" w:rsidRPr="00F820F3" w:rsidRDefault="007F3534" w:rsidP="007F3534">
      <w:pPr>
        <w:keepNext/>
        <w:keepLines/>
        <w:tabs>
          <w:tab w:val="left" w:pos="567"/>
          <w:tab w:val="left" w:pos="1134"/>
        </w:tabs>
        <w:spacing w:line="240" w:lineRule="auto"/>
        <w:ind w:left="1134" w:right="40"/>
        <w:jc w:val="both"/>
      </w:pPr>
      <w:r>
        <w:lastRenderedPageBreak/>
        <w:t>Figure 3</w:t>
      </w:r>
    </w:p>
    <w:p w14:paraId="278804B1" w14:textId="7E65FC62" w:rsidR="00324EA7" w:rsidRPr="00E36230" w:rsidRDefault="007F3534" w:rsidP="007F3534">
      <w:pPr>
        <w:keepNext/>
        <w:keepLines/>
        <w:spacing w:after="120"/>
        <w:ind w:left="1134" w:right="1134"/>
        <w:jc w:val="both"/>
        <w:rPr>
          <w:b/>
        </w:rPr>
      </w:pPr>
      <w:r w:rsidRPr="00E36230">
        <w:rPr>
          <w:b/>
        </w:rPr>
        <w:t>Vehicle Z – 1794 cc 88 kW Euro4 MPI</w:t>
      </w:r>
    </w:p>
    <w:p w14:paraId="6D93BDFB" w14:textId="77777777" w:rsidR="007F3534" w:rsidRPr="007F3534" w:rsidRDefault="007F3534" w:rsidP="007F3534">
      <w:pPr>
        <w:keepNext/>
        <w:keepLines/>
        <w:spacing w:after="120"/>
        <w:ind w:left="1134" w:right="1134"/>
        <w:jc w:val="both"/>
      </w:pPr>
      <w:r w:rsidRPr="007F3534">
        <w:rPr>
          <w:noProof/>
          <w:lang w:eastAsia="en-GB"/>
        </w:rPr>
        <w:drawing>
          <wp:inline distT="0" distB="0" distL="0" distR="0" wp14:anchorId="57EC3BD2" wp14:editId="1CBFC806">
            <wp:extent cx="2767330" cy="1661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330" cy="1661795"/>
                    </a:xfrm>
                    <a:prstGeom prst="rect">
                      <a:avLst/>
                    </a:prstGeom>
                    <a:noFill/>
                    <a:ln>
                      <a:noFill/>
                    </a:ln>
                  </pic:spPr>
                </pic:pic>
              </a:graphicData>
            </a:graphic>
          </wp:inline>
        </w:drawing>
      </w:r>
      <w:r w:rsidRPr="007F3534">
        <w:t xml:space="preserve"> </w:t>
      </w:r>
      <w:r w:rsidRPr="007F3534">
        <w:rPr>
          <w:noProof/>
          <w:lang w:eastAsia="en-GB"/>
        </w:rPr>
        <w:drawing>
          <wp:inline distT="0" distB="0" distL="0" distR="0" wp14:anchorId="046954C4" wp14:editId="57E59AB9">
            <wp:extent cx="2762250" cy="1637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637665"/>
                    </a:xfrm>
                    <a:prstGeom prst="rect">
                      <a:avLst/>
                    </a:prstGeom>
                    <a:noFill/>
                    <a:ln>
                      <a:noFill/>
                    </a:ln>
                  </pic:spPr>
                </pic:pic>
              </a:graphicData>
            </a:graphic>
          </wp:inline>
        </w:drawing>
      </w:r>
      <w:r w:rsidRPr="007F3534">
        <w:t xml:space="preserve"> </w:t>
      </w:r>
    </w:p>
    <w:p w14:paraId="17F9CC60" w14:textId="30995DA9" w:rsidR="007F3534" w:rsidRPr="00F820F3" w:rsidRDefault="007F3534" w:rsidP="007F3534">
      <w:pPr>
        <w:keepNext/>
        <w:keepLines/>
        <w:tabs>
          <w:tab w:val="left" w:pos="567"/>
          <w:tab w:val="left" w:pos="1134"/>
        </w:tabs>
        <w:spacing w:line="240" w:lineRule="auto"/>
        <w:ind w:left="1134" w:right="40"/>
        <w:jc w:val="both"/>
      </w:pPr>
      <w:r>
        <w:t>Figure 4</w:t>
      </w:r>
    </w:p>
    <w:p w14:paraId="29902A46" w14:textId="2F8C33F4" w:rsidR="007F3534" w:rsidRDefault="007F3534" w:rsidP="00F820F3">
      <w:pPr>
        <w:spacing w:after="120"/>
        <w:ind w:left="1134" w:right="1134"/>
        <w:jc w:val="both"/>
        <w:rPr>
          <w:b/>
          <w:lang w:val="en-US"/>
        </w:rPr>
      </w:pPr>
      <w:r w:rsidRPr="007F3534">
        <w:rPr>
          <w:b/>
          <w:lang w:val="en-US"/>
        </w:rPr>
        <w:t>Vehicle W – 6063cc 313kw Euro4 MPI</w:t>
      </w:r>
    </w:p>
    <w:p w14:paraId="298A11BA" w14:textId="77777777" w:rsidR="007F3534" w:rsidRPr="007F3534" w:rsidRDefault="007F3534" w:rsidP="007F3534">
      <w:pPr>
        <w:spacing w:after="120"/>
        <w:ind w:left="1134" w:right="1134"/>
        <w:jc w:val="both"/>
      </w:pPr>
      <w:r w:rsidRPr="007F3534">
        <w:rPr>
          <w:noProof/>
          <w:lang w:eastAsia="en-GB"/>
        </w:rPr>
        <w:drawing>
          <wp:inline distT="0" distB="0" distL="0" distR="0" wp14:anchorId="30D6CE22" wp14:editId="3BAEC5B8">
            <wp:extent cx="2751455" cy="1654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455" cy="1654175"/>
                    </a:xfrm>
                    <a:prstGeom prst="rect">
                      <a:avLst/>
                    </a:prstGeom>
                    <a:noFill/>
                    <a:ln>
                      <a:noFill/>
                    </a:ln>
                  </pic:spPr>
                </pic:pic>
              </a:graphicData>
            </a:graphic>
          </wp:inline>
        </w:drawing>
      </w:r>
      <w:r w:rsidRPr="007F3534">
        <w:t xml:space="preserve"> </w:t>
      </w:r>
      <w:r w:rsidRPr="007F3534">
        <w:rPr>
          <w:noProof/>
          <w:lang w:eastAsia="en-GB"/>
        </w:rPr>
        <w:drawing>
          <wp:inline distT="0" distB="0" distL="0" distR="0" wp14:anchorId="3AE3F5BE" wp14:editId="565741F4">
            <wp:extent cx="2747010" cy="1637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010" cy="1637665"/>
                    </a:xfrm>
                    <a:prstGeom prst="rect">
                      <a:avLst/>
                    </a:prstGeom>
                    <a:noFill/>
                    <a:ln>
                      <a:noFill/>
                    </a:ln>
                  </pic:spPr>
                </pic:pic>
              </a:graphicData>
            </a:graphic>
          </wp:inline>
        </w:drawing>
      </w:r>
    </w:p>
    <w:p w14:paraId="269FF68C" w14:textId="5B9EAA0F" w:rsidR="007F3534" w:rsidRPr="00E36230" w:rsidRDefault="007F3534" w:rsidP="007F3534">
      <w:pPr>
        <w:keepNext/>
        <w:keepLines/>
        <w:tabs>
          <w:tab w:val="left" w:pos="567"/>
          <w:tab w:val="left" w:pos="1134"/>
        </w:tabs>
        <w:spacing w:line="240" w:lineRule="auto"/>
        <w:ind w:left="1134" w:right="40"/>
        <w:jc w:val="both"/>
      </w:pPr>
      <w:r w:rsidRPr="00E36230">
        <w:lastRenderedPageBreak/>
        <w:t>Figure 5</w:t>
      </w:r>
    </w:p>
    <w:p w14:paraId="30B1EB6A" w14:textId="33A78361" w:rsidR="007F3534" w:rsidRPr="00E36230" w:rsidRDefault="007F3534" w:rsidP="007F3534">
      <w:pPr>
        <w:keepNext/>
        <w:keepLines/>
        <w:spacing w:after="120"/>
        <w:ind w:left="1134" w:right="1134"/>
        <w:jc w:val="both"/>
      </w:pPr>
      <w:r w:rsidRPr="00E36230">
        <w:rPr>
          <w:b/>
        </w:rPr>
        <w:t>Vehicle Q – 875cc 62.5kw Euro 5 MPI</w:t>
      </w:r>
    </w:p>
    <w:p w14:paraId="106D34ED" w14:textId="77777777" w:rsidR="007F3534" w:rsidRPr="007F3534" w:rsidRDefault="007F3534" w:rsidP="007F3534">
      <w:pPr>
        <w:keepNext/>
        <w:keepLines/>
        <w:spacing w:after="120"/>
        <w:ind w:left="1134" w:right="1134"/>
        <w:jc w:val="both"/>
      </w:pPr>
      <w:r w:rsidRPr="007F3534">
        <w:rPr>
          <w:noProof/>
          <w:lang w:eastAsia="en-GB"/>
        </w:rPr>
        <w:drawing>
          <wp:inline distT="0" distB="0" distL="0" distR="0" wp14:anchorId="48942EE8" wp14:editId="77D846B4">
            <wp:extent cx="2799080" cy="194818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r w:rsidRPr="007F3534">
        <w:t xml:space="preserve"> </w:t>
      </w:r>
      <w:r w:rsidRPr="007F3534">
        <w:rPr>
          <w:noProof/>
          <w:lang w:eastAsia="en-GB"/>
        </w:rPr>
        <w:drawing>
          <wp:inline distT="0" distB="0" distL="0" distR="0" wp14:anchorId="3F1D7215" wp14:editId="67AE71DC">
            <wp:extent cx="2799080" cy="194818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080" cy="1948180"/>
                    </a:xfrm>
                    <a:prstGeom prst="rect">
                      <a:avLst/>
                    </a:prstGeom>
                    <a:noFill/>
                    <a:ln>
                      <a:noFill/>
                    </a:ln>
                  </pic:spPr>
                </pic:pic>
              </a:graphicData>
            </a:graphic>
          </wp:inline>
        </w:drawing>
      </w:r>
    </w:p>
    <w:p w14:paraId="5A666C15" w14:textId="05E1CAFB" w:rsidR="00EF3745" w:rsidRDefault="00B51726" w:rsidP="00EF3745">
      <w:pPr>
        <w:spacing w:after="120"/>
        <w:ind w:left="1134" w:right="1134"/>
        <w:jc w:val="both"/>
      </w:pPr>
      <w:r>
        <w:t>52</w:t>
      </w:r>
      <w:r w:rsidR="00EF3745">
        <w:t>.</w:t>
      </w:r>
      <w:r w:rsidR="00EF3745">
        <w:tab/>
        <w:t>The results presented above show that the purging strategy of typical European passenger cars may vary significantly from model to model. In general, the purging flow rates recorded over the urban part of the cycle are significantly lower compared to those measured over the extra-urban part. In some cases, this difference is very important and the flow rate over the urban driving cycl</w:t>
      </w:r>
      <w:r w:rsidR="001E55EE">
        <w:t>e is very low or close to zero.</w:t>
      </w:r>
    </w:p>
    <w:p w14:paraId="264D53BF" w14:textId="5835E34D" w:rsidR="00EF3745" w:rsidRDefault="00B51726" w:rsidP="00EF3745">
      <w:pPr>
        <w:spacing w:after="120"/>
        <w:ind w:left="1134" w:right="1134"/>
        <w:jc w:val="both"/>
      </w:pPr>
      <w:r>
        <w:t>53</w:t>
      </w:r>
      <w:r w:rsidR="001E55EE">
        <w:t>.</w:t>
      </w:r>
      <w:r w:rsidR="001E55EE">
        <w:tab/>
      </w:r>
      <w:r w:rsidR="00EF3745">
        <w:t xml:space="preserve">From the above considerations, it is clear that the most critical driving pattern for real world evaporative emissions is when the vehicle is driven for very short distances at low speeds as can very easily happen in city driving. This may lead to a situation in which the carbon canister, being purged only for short periods and with very low purging flow rates, </w:t>
      </w:r>
      <w:r w:rsidR="002957A0">
        <w:t>will</w:t>
      </w:r>
      <w:r w:rsidR="00EF3745">
        <w:t xml:space="preserve"> most of the time </w:t>
      </w:r>
      <w:r w:rsidR="002957A0">
        <w:t xml:space="preserve">stay </w:t>
      </w:r>
      <w:r w:rsidR="00EF3745">
        <w:t>close to the saturation</w:t>
      </w:r>
      <w:bookmarkStart w:id="8" w:name="_GoBack"/>
      <w:bookmarkEnd w:id="8"/>
      <w:r w:rsidR="00EF3745">
        <w:t xml:space="preserve"> condition and might get </w:t>
      </w:r>
      <w:r w:rsidR="002957A0">
        <w:t xml:space="preserve">also </w:t>
      </w:r>
      <w:r w:rsidR="00EF3745">
        <w:t>saturated during short parking events.</w:t>
      </w:r>
    </w:p>
    <w:p w14:paraId="7F92925C" w14:textId="4873ADAF" w:rsidR="00EF3745" w:rsidRDefault="00B51726" w:rsidP="00EF3745">
      <w:pPr>
        <w:spacing w:after="120"/>
        <w:ind w:left="1134" w:right="1134"/>
        <w:jc w:val="both"/>
      </w:pPr>
      <w:r>
        <w:t>54</w:t>
      </w:r>
      <w:r w:rsidR="001E55EE">
        <w:t>.</w:t>
      </w:r>
      <w:r w:rsidR="001E55EE">
        <w:tab/>
        <w:t>In the WLTP EVAP Task F</w:t>
      </w:r>
      <w:r w:rsidR="00EF3745">
        <w:t xml:space="preserve">orce, the initial proposal of conditioning cycle from the </w:t>
      </w:r>
      <w:r>
        <w:t>EU</w:t>
      </w:r>
      <w:r w:rsidR="00EF3745">
        <w:t xml:space="preserve"> was Low-Medium-High-Low phases of WLTC in order to cover mainly urban driving, while Japanese proposal was Low-Medium-High-High phases of WLTC in order to cover typical driving condition. </w:t>
      </w:r>
    </w:p>
    <w:p w14:paraId="3505DAAB" w14:textId="39CE5474" w:rsidR="00EF3745" w:rsidRDefault="00B51726" w:rsidP="00EF3745">
      <w:pPr>
        <w:spacing w:after="120"/>
        <w:ind w:left="1134" w:right="1134"/>
        <w:jc w:val="both"/>
      </w:pPr>
      <w:r>
        <w:t>55</w:t>
      </w:r>
      <w:r w:rsidR="001E55EE">
        <w:t>.</w:t>
      </w:r>
      <w:r w:rsidR="001E55EE">
        <w:tab/>
        <w:t>The WLTP EVAP Task F</w:t>
      </w:r>
      <w:r w:rsidR="00EF3745">
        <w:t xml:space="preserve">orce discussed extensively what could be the best compromise in terms of the conditioning drive in order to ensure a sufficient coverage of the most common driving patterns. As a result of discussions, it was agreed that Low-Medium-High-Medium of WLTC cycle should be used for the conditioning drive. The data shown below was supplied during the discussion by Japan. The data was </w:t>
      </w:r>
      <w:r w:rsidR="002957A0">
        <w:t>an average value from tests on eight</w:t>
      </w:r>
      <w:r w:rsidR="00EF3745">
        <w:t xml:space="preserve"> vehicles certified using the existing evaporative test procedure. The purging flow rate measured over the proposed new conditioning cycle (Low-Medium-High-Medium) has significantly lower than the cur</w:t>
      </w:r>
      <w:r w:rsidR="001E55EE">
        <w:t>rent EU and Japanese procedure.</w:t>
      </w:r>
    </w:p>
    <w:p w14:paraId="494D2B7A" w14:textId="3ECA6A9D" w:rsidR="007F3534" w:rsidRDefault="00B51726" w:rsidP="00EF3745">
      <w:pPr>
        <w:spacing w:after="120"/>
        <w:ind w:left="1134" w:right="1134"/>
        <w:jc w:val="both"/>
      </w:pPr>
      <w:r>
        <w:lastRenderedPageBreak/>
        <w:t>56</w:t>
      </w:r>
      <w:r w:rsidR="001E55EE">
        <w:t>.</w:t>
      </w:r>
      <w:r w:rsidR="001E55EE">
        <w:tab/>
      </w:r>
      <w:r w:rsidR="00EF3745">
        <w:t>Regarding Class 1 vehicles, it was agreed that the conditioning cycle would consist of driving two Low-Medium-Low WLTCs. This is the same set of cycles driven to measure tailpipe emissions.</w:t>
      </w:r>
    </w:p>
    <w:p w14:paraId="0C13ABED" w14:textId="7EBAC073" w:rsidR="001E55EE" w:rsidRPr="007F3534" w:rsidRDefault="001E55EE" w:rsidP="001E55EE">
      <w:pPr>
        <w:keepNext/>
        <w:keepLines/>
        <w:tabs>
          <w:tab w:val="left" w:pos="567"/>
          <w:tab w:val="left" w:pos="1134"/>
        </w:tabs>
        <w:spacing w:line="240" w:lineRule="auto"/>
        <w:ind w:left="1134" w:right="40"/>
        <w:jc w:val="both"/>
        <w:rPr>
          <w:lang w:val="fr-CH"/>
        </w:rPr>
      </w:pPr>
      <w:r w:rsidRPr="007F3534">
        <w:rPr>
          <w:lang w:val="fr-CH"/>
        </w:rPr>
        <w:t xml:space="preserve">Figure </w:t>
      </w:r>
      <w:r>
        <w:rPr>
          <w:lang w:val="fr-CH"/>
        </w:rPr>
        <w:t>6</w:t>
      </w:r>
    </w:p>
    <w:p w14:paraId="7F44C3AC" w14:textId="7B055F12" w:rsidR="001E55EE" w:rsidRDefault="001E55EE" w:rsidP="00EF3745">
      <w:pPr>
        <w:spacing w:after="120"/>
        <w:ind w:left="1134" w:right="1134"/>
        <w:jc w:val="both"/>
        <w:rPr>
          <w:b/>
          <w:lang w:val="fr-CH"/>
        </w:rPr>
      </w:pPr>
      <w:r w:rsidRPr="001E55EE">
        <w:rPr>
          <w:b/>
          <w:lang w:val="fr-CH"/>
        </w:rPr>
        <w:t xml:space="preserve">Cycle </w:t>
      </w:r>
      <w:proofErr w:type="spellStart"/>
      <w:r w:rsidRPr="001E55EE">
        <w:rPr>
          <w:b/>
          <w:lang w:val="fr-CH"/>
        </w:rPr>
        <w:t>characteristics</w:t>
      </w:r>
      <w:proofErr w:type="spellEnd"/>
    </w:p>
    <w:p w14:paraId="6128C5EF" w14:textId="77777777" w:rsidR="001E55EE" w:rsidRPr="001E55EE" w:rsidRDefault="001E55EE" w:rsidP="001E55EE">
      <w:pPr>
        <w:suppressAutoHyphens w:val="0"/>
        <w:spacing w:before="120" w:after="120" w:line="240" w:lineRule="auto"/>
        <w:ind w:left="1134" w:right="567"/>
        <w:jc w:val="center"/>
        <w:rPr>
          <w:rFonts w:ascii="Arial" w:eastAsia="MS Mincho" w:hAnsi="Arial"/>
          <w:sz w:val="22"/>
          <w:szCs w:val="22"/>
          <w:lang w:eastAsia="ja-JP"/>
        </w:rPr>
      </w:pPr>
      <w:r w:rsidRPr="001E55EE">
        <w:rPr>
          <w:rFonts w:ascii="Arial" w:eastAsia="MS Mincho" w:hAnsi="Arial"/>
          <w:noProof/>
          <w:sz w:val="22"/>
          <w:szCs w:val="22"/>
          <w:lang w:eastAsia="en-GB"/>
        </w:rPr>
        <w:drawing>
          <wp:inline distT="0" distB="0" distL="0" distR="0" wp14:anchorId="4A6AF67C" wp14:editId="047EBF2E">
            <wp:extent cx="4325509" cy="3034415"/>
            <wp:effectExtent l="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8244" cy="3029318"/>
                    </a:xfrm>
                    <a:prstGeom prst="rect">
                      <a:avLst/>
                    </a:prstGeom>
                    <a:ln>
                      <a:noFill/>
                    </a:ln>
                  </pic:spPr>
                </pic:pic>
              </a:graphicData>
            </a:graphic>
          </wp:inline>
        </w:drawing>
      </w:r>
    </w:p>
    <w:p w14:paraId="743E50DD" w14:textId="77777777" w:rsidR="001E55EE" w:rsidRPr="001E55EE" w:rsidRDefault="001E55EE" w:rsidP="001E55EE">
      <w:pPr>
        <w:suppressAutoHyphens w:val="0"/>
        <w:spacing w:before="120" w:after="120" w:line="240" w:lineRule="auto"/>
        <w:ind w:left="567" w:right="567"/>
        <w:jc w:val="both"/>
        <w:rPr>
          <w:rFonts w:ascii="Arial" w:eastAsia="MS Mincho" w:hAnsi="Arial"/>
          <w:sz w:val="22"/>
          <w:szCs w:val="22"/>
          <w:lang w:eastAsia="ja-JP"/>
        </w:rPr>
      </w:pPr>
      <w:r w:rsidRPr="001E55EE">
        <w:rPr>
          <w:rFonts w:ascii="Arial" w:eastAsia="MS Mincho" w:hAnsi="Arial"/>
          <w:noProof/>
          <w:sz w:val="22"/>
          <w:szCs w:val="22"/>
          <w:lang w:eastAsia="en-GB"/>
        </w:rPr>
        <w:drawing>
          <wp:inline distT="0" distB="0" distL="0" distR="0" wp14:anchorId="0D78E9CF" wp14:editId="72AE501C">
            <wp:extent cx="5273196" cy="3530380"/>
            <wp:effectExtent l="0" t="0" r="3810" b="0"/>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1795" cy="3529442"/>
                    </a:xfrm>
                    <a:prstGeom prst="rect">
                      <a:avLst/>
                    </a:prstGeom>
                  </pic:spPr>
                </pic:pic>
              </a:graphicData>
            </a:graphic>
          </wp:inline>
        </w:drawing>
      </w:r>
    </w:p>
    <w:p w14:paraId="15B135D5" w14:textId="77777777" w:rsidR="001E55EE" w:rsidRPr="001E55EE" w:rsidRDefault="001E55EE" w:rsidP="001E55EE">
      <w:pPr>
        <w:suppressAutoHyphens w:val="0"/>
        <w:spacing w:before="120" w:after="120" w:line="240" w:lineRule="auto"/>
        <w:ind w:right="567" w:hanging="3261"/>
        <w:jc w:val="both"/>
        <w:rPr>
          <w:rFonts w:ascii="Arial" w:eastAsia="MS Mincho" w:hAnsi="Arial"/>
          <w:sz w:val="22"/>
          <w:szCs w:val="22"/>
          <w:lang w:eastAsia="de-DE"/>
        </w:rPr>
      </w:pPr>
    </w:p>
    <w:p w14:paraId="692EF492" w14:textId="6781FE37" w:rsidR="001E55EE" w:rsidRPr="00324EA7" w:rsidRDefault="001E55EE" w:rsidP="001E55EE">
      <w:pPr>
        <w:keepNext/>
        <w:keepLines/>
        <w:tabs>
          <w:tab w:val="right" w:pos="851"/>
        </w:tabs>
        <w:spacing w:before="240" w:after="120" w:line="240" w:lineRule="exact"/>
        <w:ind w:left="1134" w:right="1134" w:hanging="1134"/>
        <w:rPr>
          <w:b/>
        </w:rPr>
      </w:pPr>
      <w:r>
        <w:rPr>
          <w:b/>
        </w:rPr>
        <w:lastRenderedPageBreak/>
        <w:tab/>
        <w:t>2</w:t>
      </w:r>
      <w:r w:rsidRPr="00324EA7">
        <w:rPr>
          <w:b/>
        </w:rPr>
        <w:t>.</w:t>
      </w:r>
      <w:r w:rsidRPr="00324EA7">
        <w:rPr>
          <w:b/>
        </w:rPr>
        <w:tab/>
      </w:r>
      <w:r w:rsidRPr="001E55EE">
        <w:rPr>
          <w:b/>
        </w:rPr>
        <w:t>Duration of the diurnal test</w:t>
      </w:r>
    </w:p>
    <w:p w14:paraId="102981D7" w14:textId="25E69F36" w:rsidR="001E55EE" w:rsidRDefault="00B51726" w:rsidP="001E55EE">
      <w:pPr>
        <w:spacing w:after="120"/>
        <w:ind w:left="1134" w:right="1134"/>
        <w:jc w:val="both"/>
      </w:pPr>
      <w:r>
        <w:t>57</w:t>
      </w:r>
      <w:r w:rsidR="001E55EE">
        <w:t>.</w:t>
      </w:r>
      <w:r w:rsidR="001E55EE">
        <w:tab/>
        <w:t xml:space="preserve">The evaporative emissions test procedure described in Regulation No. 83 prescribes a diurnal test having </w:t>
      </w:r>
      <w:proofErr w:type="gramStart"/>
      <w:r w:rsidR="001E55EE">
        <w:t>a duration</w:t>
      </w:r>
      <w:proofErr w:type="gramEnd"/>
      <w:r w:rsidR="001E55EE">
        <w:t xml:space="preserve"> of 24 hours. The purpose of this test is to simulate a one day parking event on a summer day.</w:t>
      </w:r>
    </w:p>
    <w:p w14:paraId="2366CF40" w14:textId="55DFD31E" w:rsidR="001E55EE" w:rsidRDefault="00B51726" w:rsidP="001E55EE">
      <w:pPr>
        <w:spacing w:after="120"/>
        <w:ind w:left="1134" w:right="1134"/>
        <w:jc w:val="both"/>
      </w:pPr>
      <w:r>
        <w:t>58</w:t>
      </w:r>
      <w:r w:rsidR="001E55EE">
        <w:t>.</w:t>
      </w:r>
      <w:r w:rsidR="001E55EE">
        <w:tab/>
        <w:t>Tests carried out at the Joint Research Centre</w:t>
      </w:r>
      <w:r w:rsidR="001E55EE" w:rsidRPr="001E55EE">
        <w:rPr>
          <w:rFonts w:eastAsia="MS Mincho"/>
          <w:vertAlign w:val="superscript"/>
          <w:lang w:eastAsia="de-DE"/>
        </w:rPr>
        <w:footnoteReference w:id="4"/>
      </w:r>
      <w:r w:rsidR="001E55EE">
        <w:t xml:space="preserve"> and in other laboratories show that carbon canisters typically used in European cars are very often saturated after one diurnal test and from the second diurnal test onward a steep increase of evaporative emissions is quite common. This implies that a vehicle may have almost uncontrolled evaporative emissions when left parked for more than one day. It must also be stressed that the evaporative emissions due to breathing losses from the tank are strongly non-linear. As soon as the carbon canister gets saturated evaporative emissions increase steeply and basically all the extra vapours generated in the tank can be released into the air.</w:t>
      </w:r>
    </w:p>
    <w:p w14:paraId="3A29A24B" w14:textId="5F7E57D7" w:rsidR="001E55EE" w:rsidRDefault="00B51726" w:rsidP="001E55EE">
      <w:pPr>
        <w:spacing w:after="120"/>
        <w:ind w:left="1134" w:right="1134"/>
        <w:jc w:val="both"/>
      </w:pPr>
      <w:r>
        <w:t>59</w:t>
      </w:r>
      <w:r w:rsidR="001E55EE">
        <w:t>.</w:t>
      </w:r>
      <w:r w:rsidR="001E55EE">
        <w:tab/>
        <w:t>Of course, actual evaporative emissions in real world conditions depend strongly on the distribution of parking event duration.</w:t>
      </w:r>
    </w:p>
    <w:p w14:paraId="6A43DB21" w14:textId="135C7093" w:rsidR="001E55EE" w:rsidRDefault="00B51726" w:rsidP="001E55EE">
      <w:pPr>
        <w:spacing w:after="120"/>
        <w:ind w:left="1134" w:right="1134"/>
        <w:jc w:val="both"/>
      </w:pPr>
      <w:r>
        <w:t>60</w:t>
      </w:r>
      <w:r w:rsidR="001E55EE">
        <w:t>.</w:t>
      </w:r>
      <w:r w:rsidR="001E55EE">
        <w:tab/>
        <w:t>Data showing the parking duration distribution in an Italian city has been presented by the Joint Research Centre. This distribution has been derived from the analysis of real world vehicle activity recorded by means of GPS-based systems. A set of data owned by the JRC was collected in the city of Modena (Italy) and includes the activity of about 15,000 vehicles recorded over one month (May 2011).</w:t>
      </w:r>
    </w:p>
    <w:p w14:paraId="483A708E" w14:textId="6F21A5EE" w:rsidR="001E55EE" w:rsidRDefault="00B51726" w:rsidP="001E55EE">
      <w:pPr>
        <w:spacing w:after="120"/>
        <w:ind w:left="1134" w:right="1134"/>
        <w:jc w:val="both"/>
      </w:pPr>
      <w:r>
        <w:t>61</w:t>
      </w:r>
      <w:r w:rsidR="001E55EE">
        <w:t>.</w:t>
      </w:r>
      <w:r w:rsidR="001E55EE">
        <w:tab/>
        <w:t>The distribution of the trip length and duration of parking events can be derived from the analysis of these sets of data.</w:t>
      </w:r>
    </w:p>
    <w:p w14:paraId="0498548F" w14:textId="7498D133" w:rsidR="001E55EE" w:rsidRDefault="00B51726" w:rsidP="001E55EE">
      <w:pPr>
        <w:spacing w:after="120"/>
        <w:ind w:left="1134" w:right="1134"/>
        <w:jc w:val="both"/>
      </w:pPr>
      <w:r>
        <w:t>62</w:t>
      </w:r>
      <w:r w:rsidR="001E55EE">
        <w:t>.</w:t>
      </w:r>
      <w:r w:rsidR="001E55EE">
        <w:tab/>
        <w:t xml:space="preserve">The distribution of parking duration for the city of Modena is shown in the figure below. It can be seen that many parking events are very short but there is also a small fraction (above 2 per cent) of parking events with </w:t>
      </w:r>
      <w:proofErr w:type="gramStart"/>
      <w:r w:rsidR="001E55EE">
        <w:t>a duration</w:t>
      </w:r>
      <w:proofErr w:type="gramEnd"/>
      <w:r w:rsidR="001E55EE">
        <w:t xml:space="preserve"> of more than 24 hours.</w:t>
      </w:r>
    </w:p>
    <w:p w14:paraId="527AA119" w14:textId="35351E83" w:rsidR="001E55EE" w:rsidRPr="001E55EE" w:rsidRDefault="001E55EE" w:rsidP="001E55EE">
      <w:pPr>
        <w:keepNext/>
        <w:keepLines/>
        <w:tabs>
          <w:tab w:val="left" w:pos="567"/>
          <w:tab w:val="left" w:pos="1134"/>
        </w:tabs>
        <w:spacing w:line="240" w:lineRule="auto"/>
        <w:ind w:left="1134" w:right="40"/>
        <w:jc w:val="both"/>
        <w:rPr>
          <w:lang w:val="en-US"/>
        </w:rPr>
      </w:pPr>
      <w:r w:rsidRPr="001E55EE">
        <w:rPr>
          <w:lang w:val="en-US"/>
        </w:rPr>
        <w:t>Figure 7</w:t>
      </w:r>
    </w:p>
    <w:p w14:paraId="1D368792" w14:textId="38A64CB3" w:rsidR="001E55EE" w:rsidRDefault="001E55EE" w:rsidP="001E55EE">
      <w:pPr>
        <w:spacing w:after="120"/>
        <w:ind w:left="1134" w:right="1134"/>
        <w:jc w:val="both"/>
        <w:rPr>
          <w:b/>
          <w:lang w:val="en-US"/>
        </w:rPr>
      </w:pPr>
      <w:proofErr w:type="gramStart"/>
      <w:r w:rsidRPr="001E55EE">
        <w:rPr>
          <w:b/>
          <w:lang w:val="en-US"/>
        </w:rPr>
        <w:t>Distribution of parking duration in the city of Modena (Italy).</w:t>
      </w:r>
      <w:proofErr w:type="gramEnd"/>
      <w:r w:rsidRPr="001E55EE">
        <w:rPr>
          <w:b/>
          <w:lang w:val="en-US"/>
        </w:rPr>
        <w:t xml:space="preserve"> Total parking events: 2,642,320 in the month of May 2011</w:t>
      </w:r>
    </w:p>
    <w:p w14:paraId="32226C37" w14:textId="53D87CB0" w:rsidR="001E55EE" w:rsidRPr="001E55EE" w:rsidRDefault="001E55EE" w:rsidP="001E55EE">
      <w:pPr>
        <w:spacing w:after="120"/>
        <w:ind w:left="1134" w:right="1134"/>
        <w:jc w:val="both"/>
        <w:rPr>
          <w:lang w:val="en-US"/>
        </w:rPr>
      </w:pPr>
      <w:r w:rsidRPr="001E55EE">
        <w:rPr>
          <w:rFonts w:ascii="Arial" w:eastAsia="MS Mincho" w:hAnsi="Arial"/>
          <w:noProof/>
          <w:sz w:val="22"/>
          <w:szCs w:val="22"/>
          <w:lang w:eastAsia="en-GB"/>
        </w:rPr>
        <w:drawing>
          <wp:inline distT="0" distB="0" distL="0" distR="0" wp14:anchorId="333460C0" wp14:editId="17453222">
            <wp:extent cx="3562503" cy="2577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1195" cy="2583363"/>
                    </a:xfrm>
                    <a:prstGeom prst="rect">
                      <a:avLst/>
                    </a:prstGeom>
                    <a:noFill/>
                    <a:ln>
                      <a:noFill/>
                    </a:ln>
                  </pic:spPr>
                </pic:pic>
              </a:graphicData>
            </a:graphic>
          </wp:inline>
        </w:drawing>
      </w:r>
    </w:p>
    <w:p w14:paraId="4FA085DB" w14:textId="1DFEF404" w:rsidR="00C35B83" w:rsidRDefault="00B51726" w:rsidP="00F820F3">
      <w:pPr>
        <w:spacing w:after="120"/>
        <w:ind w:left="1134" w:right="1134"/>
        <w:jc w:val="both"/>
      </w:pPr>
      <w:r>
        <w:lastRenderedPageBreak/>
        <w:t>63</w:t>
      </w:r>
      <w:r w:rsidR="00C35B83">
        <w:t>.</w:t>
      </w:r>
      <w:r w:rsidR="00C35B83">
        <w:tab/>
      </w:r>
      <w:r w:rsidR="00C35B83" w:rsidRPr="00C35B83">
        <w:t>However, it has to be taken into account that most of the events included in the distribution shown in the histogram are not relevant for evaporative emissions (e.g. parking event occurring when the ambient temperature is decreasing or the parking event is too short). If the analysis is limited to the parking events having a minimum duration of 12 hours that fall totally or partially between 5:00 in the morning and 17:00 in the afternoon (hereinafter called diurnal cycle), which corresponds to the period during which the temperature predominantly rises in Modena in the month of May, the results are as follows:</w:t>
      </w:r>
    </w:p>
    <w:p w14:paraId="1B7CC9A1" w14:textId="4C3AF972" w:rsidR="00C35B83" w:rsidRPr="001E55EE" w:rsidRDefault="00C35B83" w:rsidP="00C35B83">
      <w:pPr>
        <w:keepNext/>
        <w:keepLines/>
        <w:tabs>
          <w:tab w:val="left" w:pos="567"/>
          <w:tab w:val="left" w:pos="1134"/>
        </w:tabs>
        <w:spacing w:line="240" w:lineRule="auto"/>
        <w:ind w:left="1134" w:right="40"/>
        <w:jc w:val="both"/>
        <w:rPr>
          <w:lang w:val="en-US"/>
        </w:rPr>
      </w:pPr>
      <w:r>
        <w:rPr>
          <w:lang w:val="en-US"/>
        </w:rPr>
        <w:t>Table 2</w:t>
      </w:r>
    </w:p>
    <w:p w14:paraId="1D4FF092" w14:textId="5D157D02" w:rsidR="00C35B83" w:rsidRDefault="00C35B83" w:rsidP="00C35B83">
      <w:pPr>
        <w:spacing w:after="120"/>
        <w:ind w:left="1134" w:right="1134"/>
        <w:jc w:val="both"/>
        <w:rPr>
          <w:b/>
          <w:lang w:val="en-US"/>
        </w:rPr>
      </w:pPr>
      <w:r w:rsidRPr="00C35B83">
        <w:rPr>
          <w:b/>
          <w:lang w:val="en-US"/>
        </w:rPr>
        <w:t>Distribution of parking duration</w:t>
      </w:r>
    </w:p>
    <w:tbl>
      <w:tblPr>
        <w:tblStyle w:val="TableGrid1"/>
        <w:tblW w:w="7725" w:type="dxa"/>
        <w:tblInd w:w="1134" w:type="dxa"/>
        <w:tblLayout w:type="fixed"/>
        <w:tblLook w:val="04A0" w:firstRow="1" w:lastRow="0" w:firstColumn="1" w:lastColumn="0" w:noHBand="0" w:noVBand="1"/>
      </w:tblPr>
      <w:tblGrid>
        <w:gridCol w:w="2048"/>
        <w:gridCol w:w="1044"/>
        <w:gridCol w:w="926"/>
        <w:gridCol w:w="926"/>
        <w:gridCol w:w="926"/>
        <w:gridCol w:w="926"/>
        <w:gridCol w:w="929"/>
      </w:tblGrid>
      <w:tr w:rsidR="00C35B83" w:rsidRPr="00C35B83" w14:paraId="58CA33CA" w14:textId="77777777" w:rsidTr="00C35B83">
        <w:trPr>
          <w:trHeight w:val="700"/>
        </w:trPr>
        <w:tc>
          <w:tcPr>
            <w:tcW w:w="2048" w:type="dxa"/>
          </w:tcPr>
          <w:p w14:paraId="2E1B1EFB" w14:textId="77777777" w:rsidR="00C35B83" w:rsidRPr="00C35B83" w:rsidRDefault="00C35B83" w:rsidP="00C35B83">
            <w:pPr>
              <w:suppressAutoHyphens w:val="0"/>
              <w:spacing w:before="120" w:after="120" w:line="240" w:lineRule="auto"/>
              <w:ind w:right="-111"/>
              <w:rPr>
                <w:rFonts w:ascii="Times New Roman" w:eastAsia="MS Mincho" w:hAnsi="Times New Roman"/>
                <w:sz w:val="20"/>
                <w:szCs w:val="20"/>
                <w:lang w:eastAsia="de-DE"/>
              </w:rPr>
            </w:pPr>
            <w:r w:rsidRPr="00C35B83">
              <w:rPr>
                <w:rFonts w:ascii="Times New Roman" w:eastAsia="MS Mincho" w:hAnsi="Times New Roman"/>
                <w:sz w:val="20"/>
                <w:szCs w:val="20"/>
                <w:lang w:eastAsia="de-DE"/>
              </w:rPr>
              <w:t>Diurnal cycles of consecutive parking</w:t>
            </w:r>
          </w:p>
        </w:tc>
        <w:tc>
          <w:tcPr>
            <w:tcW w:w="1044" w:type="dxa"/>
          </w:tcPr>
          <w:p w14:paraId="61805827" w14:textId="77777777" w:rsidR="00C35B83" w:rsidRPr="00C35B83" w:rsidRDefault="00C35B83" w:rsidP="00C35B83">
            <w:pPr>
              <w:suppressAutoHyphens w:val="0"/>
              <w:spacing w:before="120" w:after="120" w:line="240" w:lineRule="auto"/>
              <w:ind w:right="84"/>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w:t>
            </w:r>
          </w:p>
        </w:tc>
        <w:tc>
          <w:tcPr>
            <w:tcW w:w="926" w:type="dxa"/>
          </w:tcPr>
          <w:p w14:paraId="13C2A943" w14:textId="77777777" w:rsidR="00C35B83" w:rsidRPr="00C35B83" w:rsidRDefault="00C35B83" w:rsidP="00C35B83">
            <w:pPr>
              <w:suppressAutoHyphens w:val="0"/>
              <w:spacing w:before="120" w:after="120" w:line="240" w:lineRule="auto"/>
              <w:ind w:right="110"/>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w:t>
            </w:r>
          </w:p>
        </w:tc>
        <w:tc>
          <w:tcPr>
            <w:tcW w:w="926" w:type="dxa"/>
          </w:tcPr>
          <w:p w14:paraId="2DE421B1" w14:textId="77777777" w:rsidR="00C35B83" w:rsidRPr="00C35B83" w:rsidRDefault="00C35B83" w:rsidP="00C35B83">
            <w:pPr>
              <w:suppressAutoHyphens w:val="0"/>
              <w:spacing w:before="120" w:after="120" w:line="240" w:lineRule="auto"/>
              <w:ind w:right="114"/>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3</w:t>
            </w:r>
          </w:p>
        </w:tc>
        <w:tc>
          <w:tcPr>
            <w:tcW w:w="926" w:type="dxa"/>
          </w:tcPr>
          <w:p w14:paraId="23ED5F8A" w14:textId="77777777" w:rsidR="00C35B83" w:rsidRPr="00C35B83" w:rsidRDefault="00C35B83" w:rsidP="00C35B83">
            <w:pPr>
              <w:suppressAutoHyphens w:val="0"/>
              <w:spacing w:before="120" w:after="120" w:line="240" w:lineRule="auto"/>
              <w:ind w:right="17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4</w:t>
            </w:r>
          </w:p>
        </w:tc>
        <w:tc>
          <w:tcPr>
            <w:tcW w:w="926" w:type="dxa"/>
          </w:tcPr>
          <w:p w14:paraId="6476FB9C" w14:textId="77777777" w:rsidR="00C35B83" w:rsidRPr="00C35B83" w:rsidRDefault="00C35B83" w:rsidP="00C35B83">
            <w:pPr>
              <w:suppressAutoHyphens w:val="0"/>
              <w:spacing w:before="120" w:after="120" w:line="240" w:lineRule="auto"/>
              <w:ind w:right="153"/>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w:t>
            </w:r>
          </w:p>
        </w:tc>
        <w:tc>
          <w:tcPr>
            <w:tcW w:w="927" w:type="dxa"/>
          </w:tcPr>
          <w:p w14:paraId="439F7EA4" w14:textId="77777777" w:rsidR="00C35B83" w:rsidRPr="00C35B83" w:rsidRDefault="00C35B83" w:rsidP="00C35B83">
            <w:pPr>
              <w:suppressAutoHyphens w:val="0"/>
              <w:spacing w:before="120" w:after="120" w:line="240" w:lineRule="auto"/>
              <w:ind w:right="169"/>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 6</w:t>
            </w:r>
          </w:p>
        </w:tc>
      </w:tr>
      <w:tr w:rsidR="00C35B83" w:rsidRPr="00C35B83" w14:paraId="3988075B" w14:textId="77777777" w:rsidTr="00C35B83">
        <w:trPr>
          <w:trHeight w:val="711"/>
        </w:trPr>
        <w:tc>
          <w:tcPr>
            <w:tcW w:w="2048" w:type="dxa"/>
          </w:tcPr>
          <w:p w14:paraId="6031C0E5" w14:textId="77777777" w:rsidR="00C35B83" w:rsidRPr="00C35B83" w:rsidRDefault="00C35B83" w:rsidP="00C35B83">
            <w:pPr>
              <w:suppressAutoHyphens w:val="0"/>
              <w:spacing w:before="120" w:after="120" w:line="240" w:lineRule="auto"/>
              <w:ind w:right="567"/>
              <w:rPr>
                <w:rFonts w:ascii="Times New Roman" w:eastAsia="MS Mincho" w:hAnsi="Times New Roman"/>
                <w:sz w:val="20"/>
                <w:szCs w:val="20"/>
                <w:lang w:eastAsia="de-DE"/>
              </w:rPr>
            </w:pPr>
            <w:r w:rsidRPr="00C35B83">
              <w:rPr>
                <w:rFonts w:ascii="Times New Roman" w:eastAsia="MS Mincho" w:hAnsi="Times New Roman"/>
                <w:sz w:val="20"/>
                <w:szCs w:val="20"/>
                <w:lang w:eastAsia="de-DE"/>
              </w:rPr>
              <w:t>Number of events</w:t>
            </w:r>
          </w:p>
        </w:tc>
        <w:tc>
          <w:tcPr>
            <w:tcW w:w="1044" w:type="dxa"/>
          </w:tcPr>
          <w:p w14:paraId="6FC1FC56" w14:textId="77777777" w:rsidR="00C35B83" w:rsidRPr="00C35B83" w:rsidRDefault="00C35B83" w:rsidP="00C35B83">
            <w:pPr>
              <w:suppressAutoHyphens w:val="0"/>
              <w:spacing w:before="120" w:after="120" w:line="240" w:lineRule="auto"/>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94883</w:t>
            </w:r>
          </w:p>
        </w:tc>
        <w:tc>
          <w:tcPr>
            <w:tcW w:w="926" w:type="dxa"/>
          </w:tcPr>
          <w:p w14:paraId="7FFA65B3" w14:textId="77777777" w:rsidR="00C35B83" w:rsidRPr="00C35B83" w:rsidRDefault="00C35B83" w:rsidP="00C35B83">
            <w:pPr>
              <w:suppressAutoHyphens w:val="0"/>
              <w:spacing w:before="120" w:after="120" w:line="240" w:lineRule="auto"/>
              <w:ind w:right="-124"/>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18371</w:t>
            </w:r>
          </w:p>
        </w:tc>
        <w:tc>
          <w:tcPr>
            <w:tcW w:w="926" w:type="dxa"/>
          </w:tcPr>
          <w:p w14:paraId="441C8AF9" w14:textId="77777777" w:rsidR="00C35B83" w:rsidRPr="00C35B83" w:rsidRDefault="00C35B83" w:rsidP="00C35B83">
            <w:pPr>
              <w:suppressAutoHyphens w:val="0"/>
              <w:spacing w:before="120" w:after="120" w:line="240" w:lineRule="auto"/>
              <w:ind w:right="129"/>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5678</w:t>
            </w:r>
          </w:p>
        </w:tc>
        <w:tc>
          <w:tcPr>
            <w:tcW w:w="926" w:type="dxa"/>
          </w:tcPr>
          <w:p w14:paraId="160C518B" w14:textId="77777777" w:rsidR="00C35B83" w:rsidRPr="00C35B83" w:rsidRDefault="00C35B83" w:rsidP="00C35B83">
            <w:pPr>
              <w:suppressAutoHyphens w:val="0"/>
              <w:spacing w:before="120" w:after="120" w:line="240" w:lineRule="auto"/>
              <w:ind w:right="-48"/>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2257</w:t>
            </w:r>
          </w:p>
        </w:tc>
        <w:tc>
          <w:tcPr>
            <w:tcW w:w="926" w:type="dxa"/>
          </w:tcPr>
          <w:p w14:paraId="71A1083A" w14:textId="77777777" w:rsidR="00C35B83" w:rsidRPr="00C35B83" w:rsidRDefault="00C35B83" w:rsidP="00C35B83">
            <w:pPr>
              <w:suppressAutoHyphens w:val="0"/>
              <w:spacing w:before="120" w:after="120" w:line="240" w:lineRule="auto"/>
              <w:ind w:right="63"/>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1275</w:t>
            </w:r>
          </w:p>
        </w:tc>
        <w:tc>
          <w:tcPr>
            <w:tcW w:w="927" w:type="dxa"/>
          </w:tcPr>
          <w:p w14:paraId="49C584E4" w14:textId="77777777" w:rsidR="00C35B83" w:rsidRPr="00C35B83" w:rsidRDefault="00C35B83" w:rsidP="00C35B83">
            <w:pPr>
              <w:suppressAutoHyphens w:val="0"/>
              <w:spacing w:before="120" w:after="120" w:line="240" w:lineRule="auto"/>
              <w:ind w:right="2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2101</w:t>
            </w:r>
          </w:p>
        </w:tc>
      </w:tr>
      <w:tr w:rsidR="00C35B83" w:rsidRPr="00C35B83" w14:paraId="25F16058" w14:textId="77777777" w:rsidTr="00C35B83">
        <w:trPr>
          <w:trHeight w:val="700"/>
        </w:trPr>
        <w:tc>
          <w:tcPr>
            <w:tcW w:w="2048" w:type="dxa"/>
          </w:tcPr>
          <w:p w14:paraId="328EF072" w14:textId="77777777" w:rsidR="00C35B83" w:rsidRPr="00C35B83" w:rsidRDefault="00C35B83" w:rsidP="00C35B83">
            <w:pPr>
              <w:suppressAutoHyphens w:val="0"/>
              <w:spacing w:before="120" w:after="120" w:line="240" w:lineRule="auto"/>
              <w:ind w:right="567"/>
              <w:jc w:val="both"/>
              <w:rPr>
                <w:rFonts w:ascii="Times New Roman" w:eastAsia="MS Mincho" w:hAnsi="Times New Roman"/>
                <w:sz w:val="20"/>
                <w:szCs w:val="20"/>
                <w:lang w:eastAsia="de-DE"/>
              </w:rPr>
            </w:pPr>
            <w:r w:rsidRPr="00C35B83">
              <w:rPr>
                <w:rFonts w:ascii="Times New Roman" w:eastAsia="MS Mincho" w:hAnsi="Times New Roman"/>
                <w:sz w:val="20"/>
                <w:szCs w:val="20"/>
                <w:lang w:eastAsia="de-DE"/>
              </w:rPr>
              <w:t>Percentage of total events</w:t>
            </w:r>
          </w:p>
        </w:tc>
        <w:tc>
          <w:tcPr>
            <w:tcW w:w="1044" w:type="dxa"/>
          </w:tcPr>
          <w:p w14:paraId="30AB1CB5"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76 %</w:t>
            </w:r>
          </w:p>
        </w:tc>
        <w:tc>
          <w:tcPr>
            <w:tcW w:w="926" w:type="dxa"/>
          </w:tcPr>
          <w:p w14:paraId="2F7916AF"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15 %</w:t>
            </w:r>
          </w:p>
        </w:tc>
        <w:tc>
          <w:tcPr>
            <w:tcW w:w="926" w:type="dxa"/>
          </w:tcPr>
          <w:p w14:paraId="536803A0"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5 %</w:t>
            </w:r>
          </w:p>
        </w:tc>
        <w:tc>
          <w:tcPr>
            <w:tcW w:w="926" w:type="dxa"/>
          </w:tcPr>
          <w:p w14:paraId="585FF8F9"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2 %</w:t>
            </w:r>
          </w:p>
        </w:tc>
        <w:tc>
          <w:tcPr>
            <w:tcW w:w="926" w:type="dxa"/>
          </w:tcPr>
          <w:p w14:paraId="74DF5F37"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1 %</w:t>
            </w:r>
          </w:p>
        </w:tc>
        <w:tc>
          <w:tcPr>
            <w:tcW w:w="927" w:type="dxa"/>
          </w:tcPr>
          <w:p w14:paraId="3854BD5D"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2 %</w:t>
            </w:r>
          </w:p>
        </w:tc>
      </w:tr>
      <w:tr w:rsidR="00C35B83" w:rsidRPr="00C35B83" w14:paraId="04AFD462" w14:textId="77777777" w:rsidTr="00C35B83">
        <w:trPr>
          <w:trHeight w:val="700"/>
        </w:trPr>
        <w:tc>
          <w:tcPr>
            <w:tcW w:w="2048" w:type="dxa"/>
          </w:tcPr>
          <w:p w14:paraId="3809D55A" w14:textId="77777777" w:rsidR="00C35B83" w:rsidRPr="00C35B83" w:rsidRDefault="00C35B83" w:rsidP="00C35B83">
            <w:pPr>
              <w:suppressAutoHyphens w:val="0"/>
              <w:spacing w:before="120" w:after="120" w:line="240" w:lineRule="auto"/>
              <w:rPr>
                <w:rFonts w:ascii="Times New Roman" w:eastAsia="MS Mincho" w:hAnsi="Times New Roman"/>
                <w:sz w:val="20"/>
                <w:szCs w:val="20"/>
                <w:lang w:eastAsia="de-DE"/>
              </w:rPr>
            </w:pPr>
            <w:r w:rsidRPr="00C35B83">
              <w:rPr>
                <w:rFonts w:ascii="Times New Roman" w:eastAsia="MS Mincho" w:hAnsi="Times New Roman"/>
                <w:color w:val="000000"/>
                <w:sz w:val="20"/>
                <w:szCs w:val="20"/>
                <w:lang w:eastAsia="de-DE"/>
              </w:rPr>
              <w:t>Events per vehicle per month (average)</w:t>
            </w:r>
          </w:p>
        </w:tc>
        <w:tc>
          <w:tcPr>
            <w:tcW w:w="1044" w:type="dxa"/>
          </w:tcPr>
          <w:p w14:paraId="6C4ABF2D"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5.85</w:t>
            </w:r>
          </w:p>
        </w:tc>
        <w:tc>
          <w:tcPr>
            <w:tcW w:w="926" w:type="dxa"/>
          </w:tcPr>
          <w:p w14:paraId="0A950741"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1.13</w:t>
            </w:r>
          </w:p>
        </w:tc>
        <w:tc>
          <w:tcPr>
            <w:tcW w:w="926" w:type="dxa"/>
          </w:tcPr>
          <w:p w14:paraId="1243FD4A"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0.35</w:t>
            </w:r>
          </w:p>
        </w:tc>
        <w:tc>
          <w:tcPr>
            <w:tcW w:w="926" w:type="dxa"/>
          </w:tcPr>
          <w:p w14:paraId="5558CDF5"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0.14</w:t>
            </w:r>
          </w:p>
        </w:tc>
        <w:tc>
          <w:tcPr>
            <w:tcW w:w="926" w:type="dxa"/>
          </w:tcPr>
          <w:p w14:paraId="4AE2142F"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0.08</w:t>
            </w:r>
          </w:p>
        </w:tc>
        <w:tc>
          <w:tcPr>
            <w:tcW w:w="927" w:type="dxa"/>
          </w:tcPr>
          <w:p w14:paraId="5E2D234B" w14:textId="77777777" w:rsidR="00C35B83" w:rsidRPr="00C35B83" w:rsidRDefault="00C35B83" w:rsidP="00C35B83">
            <w:pPr>
              <w:suppressAutoHyphens w:val="0"/>
              <w:spacing w:before="120" w:after="120" w:line="240" w:lineRule="auto"/>
              <w:ind w:right="-17"/>
              <w:jc w:val="center"/>
              <w:rPr>
                <w:rFonts w:ascii="Times New Roman" w:eastAsia="MS Mincho" w:hAnsi="Times New Roman"/>
                <w:sz w:val="20"/>
                <w:szCs w:val="20"/>
                <w:lang w:eastAsia="de-DE"/>
              </w:rPr>
            </w:pPr>
            <w:r w:rsidRPr="00C35B83">
              <w:rPr>
                <w:rFonts w:ascii="Times New Roman" w:eastAsia="MS Mincho" w:hAnsi="Times New Roman"/>
                <w:sz w:val="20"/>
                <w:szCs w:val="20"/>
                <w:lang w:eastAsia="de-DE"/>
              </w:rPr>
              <w:t>0.13</w:t>
            </w:r>
          </w:p>
        </w:tc>
      </w:tr>
      <w:tr w:rsidR="00C35B83" w:rsidRPr="00C35B83" w14:paraId="3FC9C310" w14:textId="77777777" w:rsidTr="00C35B83">
        <w:trPr>
          <w:trHeight w:val="470"/>
        </w:trPr>
        <w:tc>
          <w:tcPr>
            <w:tcW w:w="2048" w:type="dxa"/>
          </w:tcPr>
          <w:p w14:paraId="687368CC" w14:textId="77777777" w:rsidR="00C35B83" w:rsidRPr="00C35B83" w:rsidRDefault="00C35B83" w:rsidP="00C35B83">
            <w:pPr>
              <w:suppressAutoHyphens w:val="0"/>
              <w:spacing w:before="120" w:after="120" w:line="240" w:lineRule="auto"/>
              <w:ind w:right="567"/>
              <w:jc w:val="both"/>
              <w:rPr>
                <w:rFonts w:ascii="Times New Roman" w:eastAsia="MS Mincho" w:hAnsi="Times New Roman"/>
                <w:sz w:val="20"/>
                <w:szCs w:val="20"/>
                <w:lang w:eastAsia="de-DE"/>
              </w:rPr>
            </w:pPr>
            <w:r w:rsidRPr="00C35B83">
              <w:rPr>
                <w:rFonts w:ascii="Times New Roman" w:eastAsia="MS Mincho" w:hAnsi="Times New Roman"/>
                <w:sz w:val="20"/>
                <w:szCs w:val="20"/>
                <w:lang w:eastAsia="de-DE"/>
              </w:rPr>
              <w:t>Sample size</w:t>
            </w:r>
          </w:p>
        </w:tc>
        <w:tc>
          <w:tcPr>
            <w:tcW w:w="5677" w:type="dxa"/>
            <w:gridSpan w:val="6"/>
          </w:tcPr>
          <w:p w14:paraId="2E8858F7" w14:textId="77777777" w:rsidR="00C35B83" w:rsidRPr="00C35B83" w:rsidRDefault="00C35B83" w:rsidP="00C35B83">
            <w:pPr>
              <w:suppressAutoHyphens w:val="0"/>
              <w:spacing w:before="120" w:after="120" w:line="240" w:lineRule="auto"/>
              <w:ind w:left="1873" w:right="567"/>
              <w:jc w:val="both"/>
              <w:rPr>
                <w:rFonts w:ascii="Times New Roman" w:eastAsia="MS Mincho" w:hAnsi="Times New Roman"/>
                <w:sz w:val="20"/>
                <w:szCs w:val="20"/>
                <w:lang w:eastAsia="de-DE"/>
              </w:rPr>
            </w:pPr>
            <w:r w:rsidRPr="00C35B83">
              <w:rPr>
                <w:rFonts w:ascii="Times New Roman" w:eastAsia="MS Mincho" w:hAnsi="Times New Roman"/>
                <w:sz w:val="20"/>
                <w:szCs w:val="20"/>
                <w:lang w:eastAsia="de-DE"/>
              </w:rPr>
              <w:t>16223 vehicles</w:t>
            </w:r>
          </w:p>
        </w:tc>
      </w:tr>
    </w:tbl>
    <w:p w14:paraId="48CF239F" w14:textId="39B10E55" w:rsidR="00C35B83" w:rsidRDefault="00B51726" w:rsidP="00FD2840">
      <w:pPr>
        <w:spacing w:before="120" w:after="120"/>
        <w:ind w:left="1134" w:right="1134"/>
        <w:jc w:val="both"/>
      </w:pPr>
      <w:r>
        <w:t>64</w:t>
      </w:r>
      <w:r w:rsidR="00C35B83">
        <w:t>.</w:t>
      </w:r>
      <w:r w:rsidR="00C35B83">
        <w:tab/>
        <w:t xml:space="preserve">The first column of the table shows the number of parking events with a minimum duration of 12 hours that lasted without interruption from 0.5 to 1.5 diurnal cycles. The second column shows the number of longer parking events that lasted without interruption from 1.5 to 2.5 diurnal cycles, and so on. The third row shows the percentage of the total parking events having a specific duration. Finally, the fourth row shows the average number of times in a month that a single vehicle is parked for the given number of diurnal cycles. </w:t>
      </w:r>
    </w:p>
    <w:p w14:paraId="40868707" w14:textId="5C4DCF45" w:rsidR="00C35B83" w:rsidRDefault="00B51726" w:rsidP="00C35B83">
      <w:pPr>
        <w:spacing w:after="120"/>
        <w:ind w:left="1134" w:right="1134"/>
        <w:jc w:val="both"/>
      </w:pPr>
      <w:r>
        <w:t>65</w:t>
      </w:r>
      <w:r w:rsidR="00C35B83">
        <w:t>.</w:t>
      </w:r>
      <w:r w:rsidR="00C35B83">
        <w:tab/>
        <w:t>It appears clear that the 24-hour diurnal test already covers the majority of the parking events relevant for evaporative emissions but also that about 24 per cent of the parking events are not covered by this test procedure. Taking into consideration the strong non-linearity of evaporative emissions, the contribution of these 24 per cent parking events to the total emissions may be very important. By extending to 48 hours the coverage will be increased to 91 per cent of the relevant parking events and these would of course reduce significantly real world evaporative emissions.</w:t>
      </w:r>
    </w:p>
    <w:p w14:paraId="094FE86F" w14:textId="4ABF141D" w:rsidR="00F81B43" w:rsidRDefault="00F81B43" w:rsidP="00F81B43">
      <w:pPr>
        <w:keepNext/>
        <w:keepLines/>
        <w:tabs>
          <w:tab w:val="right" w:pos="851"/>
        </w:tabs>
        <w:spacing w:before="240" w:after="120" w:line="240" w:lineRule="exact"/>
        <w:ind w:left="1134" w:right="1134" w:hanging="1134"/>
        <w:rPr>
          <w:b/>
        </w:rPr>
      </w:pPr>
      <w:r>
        <w:rPr>
          <w:b/>
        </w:rPr>
        <w:tab/>
        <w:t>3</w:t>
      </w:r>
      <w:r w:rsidRPr="00324EA7">
        <w:rPr>
          <w:b/>
        </w:rPr>
        <w:t>.</w:t>
      </w:r>
      <w:r w:rsidRPr="00324EA7">
        <w:rPr>
          <w:b/>
        </w:rPr>
        <w:tab/>
      </w:r>
      <w:r w:rsidRPr="00F81B43">
        <w:rPr>
          <w:b/>
        </w:rPr>
        <w:t>Effect of ethanol on evaporative emissions</w:t>
      </w:r>
    </w:p>
    <w:p w14:paraId="2F0819EB" w14:textId="3E2E6698" w:rsidR="00F81B43" w:rsidRDefault="00B51726" w:rsidP="00F81B43">
      <w:pPr>
        <w:spacing w:after="120"/>
        <w:ind w:left="1134" w:right="1134"/>
        <w:jc w:val="both"/>
      </w:pPr>
      <w:r>
        <w:t>66</w:t>
      </w:r>
      <w:r w:rsidR="00F81B43">
        <w:t>.</w:t>
      </w:r>
      <w:r w:rsidR="00F81B43">
        <w:tab/>
        <w:t>One of the major concerns related to the use of petrol/ethanol blends is the possible increase of evaporative emissions due to a combination of factors:</w:t>
      </w:r>
    </w:p>
    <w:p w14:paraId="64D71DBE" w14:textId="0C5E8235" w:rsidR="00F81B43" w:rsidRDefault="001600D5" w:rsidP="00F81B43">
      <w:pPr>
        <w:spacing w:after="120"/>
        <w:ind w:left="1134" w:right="1134"/>
        <w:jc w:val="both"/>
      </w:pPr>
      <w:r>
        <w:tab/>
        <w:t>(a)</w:t>
      </w:r>
      <w:r w:rsidR="00F81B43">
        <w:tab/>
        <w:t>Increased vapour pressure of the petrol/ethanol blends</w:t>
      </w:r>
    </w:p>
    <w:p w14:paraId="11A5F724" w14:textId="0872D000" w:rsidR="001600D5" w:rsidRDefault="001600D5" w:rsidP="001600D5">
      <w:pPr>
        <w:spacing w:after="120"/>
        <w:ind w:left="1701" w:right="1134"/>
        <w:jc w:val="both"/>
      </w:pPr>
      <w:r>
        <w:t xml:space="preserve">It is well-known that the addition of ethanol to petrol at low ethanol concentrations (5 - 10 per cent) results in an increase in </w:t>
      </w:r>
      <w:r w:rsidR="00CC6818">
        <w:t xml:space="preserve">Reid </w:t>
      </w:r>
      <w:proofErr w:type="spellStart"/>
      <w:r w:rsidR="00CC6818">
        <w:t>Vapor</w:t>
      </w:r>
      <w:proofErr w:type="spellEnd"/>
      <w:r w:rsidR="00CC6818">
        <w:t xml:space="preserve"> Pressure (</w:t>
      </w:r>
      <w:r>
        <w:t>RVP</w:t>
      </w:r>
      <w:r w:rsidR="00CC6818">
        <w:t>)</w:t>
      </w:r>
      <w:r>
        <w:t xml:space="preserve"> of approximately 1 psi. The vapour pressure is directly linked to the volatility of the fuel or, in other words, the higher the RVP value, the more fuel will evaporate at a given temperature. </w:t>
      </w:r>
    </w:p>
    <w:p w14:paraId="67DDAD53" w14:textId="2706CCBD" w:rsidR="001600D5" w:rsidRDefault="001600D5" w:rsidP="001600D5">
      <w:pPr>
        <w:spacing w:after="120"/>
        <w:ind w:left="1701" w:right="1134"/>
        <w:jc w:val="both"/>
      </w:pPr>
      <w:r>
        <w:t xml:space="preserve">As a consequence of the effect described above, if a certain amount of ethanol is splash-blended in </w:t>
      </w:r>
      <w:proofErr w:type="gramStart"/>
      <w:r>
        <w:t>a commercial</w:t>
      </w:r>
      <w:proofErr w:type="gramEnd"/>
      <w:r>
        <w:t xml:space="preserve"> petrol, the RVP will increase above 60 </w:t>
      </w:r>
      <w:proofErr w:type="spellStart"/>
      <w:r>
        <w:t>kPa</w:t>
      </w:r>
      <w:proofErr w:type="spellEnd"/>
      <w:r>
        <w:t xml:space="preserve"> that is </w:t>
      </w:r>
      <w:r>
        <w:lastRenderedPageBreak/>
        <w:t xml:space="preserve">the maximum value generally allowed during the summer period in countries with a hot climate. On the other hand, the volatility of a petrol/ethanol blend can be corrected to match the 60 </w:t>
      </w:r>
      <w:proofErr w:type="spellStart"/>
      <w:r>
        <w:t>kPa</w:t>
      </w:r>
      <w:proofErr w:type="spellEnd"/>
      <w:r>
        <w:t xml:space="preserve"> specification when blended in a refinery.</w:t>
      </w:r>
    </w:p>
    <w:p w14:paraId="2B9CE5E8" w14:textId="77777777" w:rsidR="00F81B43" w:rsidRDefault="00F81B43" w:rsidP="001600D5">
      <w:pPr>
        <w:spacing w:after="120"/>
        <w:ind w:left="1701" w:right="1134"/>
        <w:jc w:val="both"/>
      </w:pPr>
      <w:r>
        <w:t xml:space="preserve">(b) </w:t>
      </w:r>
      <w:r>
        <w:tab/>
        <w:t>Commingling effect</w:t>
      </w:r>
    </w:p>
    <w:p w14:paraId="4041D12B" w14:textId="1BD8B734" w:rsidR="001600D5" w:rsidRDefault="001600D5" w:rsidP="00CC6818">
      <w:pPr>
        <w:spacing w:after="120"/>
        <w:ind w:left="1701" w:right="1134"/>
        <w:jc w:val="both"/>
      </w:pPr>
      <w:r>
        <w:t xml:space="preserve">Even if all commercial petrol, including ethanol-petrol blends, must comply with the same </w:t>
      </w:r>
      <w:r w:rsidR="00CC6818">
        <w:t>Dry Vapour Pressure Equivalent (</w:t>
      </w:r>
      <w:r>
        <w:t>DVPE</w:t>
      </w:r>
      <w:r w:rsidR="00CC6818">
        <w:t>)</w:t>
      </w:r>
      <w:r>
        <w:t xml:space="preserve"> specification, the marketing of ethanol-blends in areas where non-ethanol blends are also being sold will lead to a general increase of the vapour pressure of petrol used in that area. This increase is the consequence of what is referred to as the </w:t>
      </w:r>
      <w:r w:rsidR="00AB7EA9" w:rsidRPr="0087221E">
        <w:rPr>
          <w:iCs/>
        </w:rPr>
        <w:t>"</w:t>
      </w:r>
      <w:r>
        <w:t>commingling effect</w:t>
      </w:r>
      <w:r w:rsidR="00AB7EA9" w:rsidRPr="0087221E">
        <w:rPr>
          <w:iCs/>
        </w:rPr>
        <w:t>"</w:t>
      </w:r>
      <w:r>
        <w:t xml:space="preserve"> that results from the mixing of ethanol-containing and non-ethanol-containing petrol in vehicle and refuelling station fuel tanks.</w:t>
      </w:r>
    </w:p>
    <w:p w14:paraId="380224E8" w14:textId="77777777" w:rsidR="001600D5" w:rsidRDefault="001600D5" w:rsidP="001600D5">
      <w:pPr>
        <w:spacing w:after="120"/>
        <w:ind w:left="1701" w:right="1134"/>
        <w:jc w:val="both"/>
      </w:pPr>
      <w:r>
        <w:t>As an illustration of the commingling effect, consider a motorist who brings his car to a service station for refuelling when the tank is half full. If one assumes that the original fuel in the tank contains a 10 per cent ethanol-blend at a given vapour pressure and that the fuel added to the tank at the station is a non-ethanol blend of the same vapour pressure, the overall effect will be to turn the non-ethanol petrol into a 5 per cent ethanol blend by volume. This will cause the vapour pressure of the non-oxygenated petrol to increase by about 1 psi; since that petrol represents 50 per cent of the fuel in the tank, the average vapour pressure of all the fuel will increase by about half that amount, or about 0.5 psi.</w:t>
      </w:r>
    </w:p>
    <w:p w14:paraId="454E9A4B" w14:textId="77777777" w:rsidR="001600D5" w:rsidRDefault="001600D5" w:rsidP="001600D5">
      <w:pPr>
        <w:spacing w:after="120"/>
        <w:ind w:left="1701" w:right="1134"/>
        <w:jc w:val="both"/>
      </w:pPr>
      <w:r>
        <w:t>Of course, the impact of the commingling effect on evaporative emission depends on a number of factors:</w:t>
      </w:r>
    </w:p>
    <w:p w14:paraId="73820A0E" w14:textId="776B6DAE" w:rsidR="001600D5" w:rsidRDefault="001600D5" w:rsidP="001600D5">
      <w:pPr>
        <w:spacing w:after="120"/>
        <w:ind w:left="1701" w:right="1134"/>
        <w:jc w:val="both"/>
      </w:pPr>
      <w:r>
        <w:t>(</w:t>
      </w:r>
      <w:proofErr w:type="spellStart"/>
      <w:r>
        <w:t>i</w:t>
      </w:r>
      <w:proofErr w:type="spellEnd"/>
      <w:r>
        <w:t>)</w:t>
      </w:r>
      <w:r>
        <w:tab/>
        <w:t>Spatial distribution of the petrol/ethanol blends;</w:t>
      </w:r>
    </w:p>
    <w:p w14:paraId="5EC8C0FB" w14:textId="439679AC" w:rsidR="001600D5" w:rsidRDefault="001600D5" w:rsidP="001600D5">
      <w:pPr>
        <w:spacing w:after="120"/>
        <w:ind w:left="1701" w:right="1134"/>
        <w:jc w:val="both"/>
      </w:pPr>
      <w:r>
        <w:t>(ii)</w:t>
      </w:r>
      <w:r>
        <w:tab/>
        <w:t>The market shares of ethanol and non-ethanol-containing petrol;</w:t>
      </w:r>
    </w:p>
    <w:p w14:paraId="56A04DCD" w14:textId="23DCBD02" w:rsidR="001600D5" w:rsidRDefault="001600D5" w:rsidP="001600D5">
      <w:pPr>
        <w:spacing w:after="120"/>
        <w:ind w:left="1701" w:right="1134"/>
        <w:jc w:val="both"/>
      </w:pPr>
      <w:r>
        <w:t>(iii)</w:t>
      </w:r>
      <w:r>
        <w:tab/>
        <w:t>The ethanol content of the petrol/ethanol blend;</w:t>
      </w:r>
    </w:p>
    <w:p w14:paraId="5ED58B89" w14:textId="008CF738" w:rsidR="001600D5" w:rsidRDefault="001600D5" w:rsidP="001600D5">
      <w:pPr>
        <w:spacing w:after="120"/>
        <w:ind w:left="1701" w:right="1134"/>
        <w:jc w:val="both"/>
      </w:pPr>
      <w:proofErr w:type="gramStart"/>
      <w:r>
        <w:t>(iv)</w:t>
      </w:r>
      <w:r>
        <w:tab/>
        <w:t>The</w:t>
      </w:r>
      <w:proofErr w:type="gramEnd"/>
      <w:r>
        <w:t xml:space="preserve"> amount of petrol remaining in the tank at the moment of the refuelling;</w:t>
      </w:r>
    </w:p>
    <w:p w14:paraId="4156ED59" w14:textId="3EC06EE7" w:rsidR="001600D5" w:rsidRDefault="001600D5" w:rsidP="001600D5">
      <w:pPr>
        <w:spacing w:after="120"/>
        <w:ind w:left="1701" w:right="1134"/>
        <w:jc w:val="both"/>
      </w:pPr>
      <w:r>
        <w:t xml:space="preserve">(v) </w:t>
      </w:r>
      <w:r>
        <w:tab/>
        <w:t>The vapour pressure levels of the petrol.</w:t>
      </w:r>
    </w:p>
    <w:p w14:paraId="3EDC3C5C" w14:textId="72DE13B1" w:rsidR="001600D5" w:rsidRDefault="001600D5" w:rsidP="001600D5">
      <w:pPr>
        <w:spacing w:after="120"/>
        <w:ind w:left="1701" w:right="1134"/>
        <w:jc w:val="both"/>
      </w:pPr>
      <w:r>
        <w:t>Vapour pressure is the most important fuel property affecting breathing losses. In general, the higher the fuel volatility the higher the evaporative emissions are. However, the relationship between the volatility of the fuel and evaporative emissions is not linear, as canister breakthrough can occur when it becomes saturated. In this condition, the canister can no longer trap petrol vapours; therefore they are released uncontrolled into the air. A higher vapour pressure of the fuel may lead to a fas</w:t>
      </w:r>
      <w:r w:rsidR="00F078AD">
        <w:t>ter saturation of the canister.</w:t>
      </w:r>
    </w:p>
    <w:p w14:paraId="3D2CADA1" w14:textId="1C391570" w:rsidR="00F81B43" w:rsidRDefault="00F078AD" w:rsidP="00F81B43">
      <w:pPr>
        <w:spacing w:after="120"/>
        <w:ind w:left="1134" w:right="1134"/>
        <w:jc w:val="both"/>
      </w:pPr>
      <w:r>
        <w:tab/>
        <w:t>(</w:t>
      </w:r>
      <w:proofErr w:type="gramStart"/>
      <w:r>
        <w:t>c</w:t>
      </w:r>
      <w:proofErr w:type="gramEnd"/>
      <w:r>
        <w:t>)</w:t>
      </w:r>
      <w:r w:rsidR="00F81B43">
        <w:tab/>
        <w:t>Reduced working capacity of the carbon canister</w:t>
      </w:r>
    </w:p>
    <w:p w14:paraId="06EE78B7" w14:textId="79A05FE4" w:rsidR="00F81B43" w:rsidRDefault="00F81B43" w:rsidP="00F078AD">
      <w:pPr>
        <w:spacing w:after="120"/>
        <w:ind w:left="1701" w:right="1134"/>
        <w:jc w:val="both"/>
      </w:pPr>
      <w:r>
        <w:t xml:space="preserve">Residual hydrocarbon concentration in the canister after purging has a certain influence on evaporative emissions. Canister breakthrough will occur more easily when the residual hydrocarbon concentration increases, because this reduces the working capacity of the canister. The size distribution of the pores and more specifically the ratio between </w:t>
      </w:r>
      <w:proofErr w:type="spellStart"/>
      <w:r>
        <w:t>micropores</w:t>
      </w:r>
      <w:proofErr w:type="spellEnd"/>
      <w:r>
        <w:t xml:space="preserve">, </w:t>
      </w:r>
      <w:proofErr w:type="spellStart"/>
      <w:r>
        <w:t>mesopores</w:t>
      </w:r>
      <w:proofErr w:type="spellEnd"/>
      <w:r>
        <w:t xml:space="preserve"> and </w:t>
      </w:r>
      <w:proofErr w:type="spellStart"/>
      <w:r>
        <w:t>macropores</w:t>
      </w:r>
      <w:proofErr w:type="spellEnd"/>
      <w:r>
        <w:t xml:space="preserve"> is one of the main parameter affecting the activate carbon performances in terms of adsorption efficiency and its behaviour on the long term. Activated carbons with a high number of </w:t>
      </w:r>
      <w:proofErr w:type="spellStart"/>
      <w:r>
        <w:t>micropores</w:t>
      </w:r>
      <w:proofErr w:type="spellEnd"/>
      <w:r>
        <w:t xml:space="preserve"> compared to </w:t>
      </w:r>
      <w:proofErr w:type="spellStart"/>
      <w:r>
        <w:t>mesopores</w:t>
      </w:r>
      <w:proofErr w:type="spellEnd"/>
      <w:r>
        <w:t xml:space="preserve"> and </w:t>
      </w:r>
      <w:proofErr w:type="spellStart"/>
      <w:r>
        <w:t>macropores</w:t>
      </w:r>
      <w:proofErr w:type="spellEnd"/>
      <w:r>
        <w:t xml:space="preserve"> can be more efficient in terms of adsorption performance but may result in a worse durability in the long term. A correct compromise between adsorption efficiency and long term durability is needed for automotive applications. Polar molecules like ethanol (or water) or heavier hydrocarbons are usually harder to purge from the carbon. It has been shown </w:t>
      </w:r>
      <w:r>
        <w:lastRenderedPageBreak/>
        <w:t>that activated carbon affinity for ethanol vapours is greater than for olefins and aliphatic hydrocarbons. Therefore, it is possible that ethanol’s propensity to be tightly held by activated carbon in conjunction with its hygroscopic nature may decrease the working capacity of the canisters used to control evaporative emissions and result in increased diurnal emissions. The effect of ethanol on the canister working capacity is considered the most likely explanation for the high failure rate (about 30 per cent) in the evaporative emission test that has been observed in the in-use compliance programmes carried out in Sweden on pass</w:t>
      </w:r>
      <w:r w:rsidR="00F078AD">
        <w:t>enger cars.</w:t>
      </w:r>
    </w:p>
    <w:p w14:paraId="5DF6CF93" w14:textId="2E18F264" w:rsidR="00F078AD" w:rsidRDefault="00F078AD" w:rsidP="00F078AD">
      <w:pPr>
        <w:spacing w:after="120"/>
        <w:ind w:left="1701" w:right="1134"/>
        <w:jc w:val="both"/>
      </w:pPr>
      <w:r>
        <w:t>(d)</w:t>
      </w:r>
      <w:r>
        <w:tab/>
        <w:t>Increased fuel permeation through plastic and rubber components of fuel system</w:t>
      </w:r>
    </w:p>
    <w:p w14:paraId="7660D618" w14:textId="64BA3A18" w:rsidR="00F81B43" w:rsidRDefault="00F81B43" w:rsidP="00F078AD">
      <w:pPr>
        <w:spacing w:after="120"/>
        <w:ind w:left="1701" w:right="1134"/>
        <w:jc w:val="both"/>
      </w:pPr>
      <w:r>
        <w:t xml:space="preserve">Hydrocarbons also escape the vehicle’s fuel system by permeation through the plastic and rubber components; e.g., hoses, seals, and </w:t>
      </w:r>
      <w:r w:rsidR="00CC6818">
        <w:t xml:space="preserve">the fuel tank itself </w:t>
      </w:r>
      <w:r>
        <w:t>in ve</w:t>
      </w:r>
      <w:r w:rsidR="00CC6818">
        <w:t>hicles with a non-metallic tank</w:t>
      </w:r>
      <w:r>
        <w:t>. Permeation does not occur through an identifiable opening; instead individual fuel molecules penetrate (i.e. they effectively mix with) the walls of the various components and eventually find their way to the outside. Fuel permeation is significant only for plastic or e</w:t>
      </w:r>
      <w:r w:rsidR="00F078AD">
        <w:t>lastomeric materials.</w:t>
      </w:r>
    </w:p>
    <w:p w14:paraId="7C024BC1" w14:textId="02593B57" w:rsidR="00F81B43" w:rsidRDefault="00F81B43" w:rsidP="00F078AD">
      <w:pPr>
        <w:spacing w:after="120"/>
        <w:ind w:left="1701" w:right="1134"/>
        <w:jc w:val="both"/>
      </w:pPr>
      <w:r>
        <w:t>Fuel permeation rate depends on the material used for the fuel system and on the chemical species contained in the petrol; in particular, alcohols like methanol and ethanol can increase significantly the permeation rate. Ethanol is believed to lead to an increase of the permeation due to the tendency of ethanol to evaporate more readily than other fuel components and to the smalle</w:t>
      </w:r>
      <w:r w:rsidR="00F078AD">
        <w:t>r size of the ethanol molecule.</w:t>
      </w:r>
    </w:p>
    <w:p w14:paraId="7F2120D2" w14:textId="5C3173DA" w:rsidR="00F81B43" w:rsidRDefault="00F81B43" w:rsidP="00F078AD">
      <w:pPr>
        <w:spacing w:after="120"/>
        <w:ind w:left="1701" w:right="1134"/>
        <w:jc w:val="both"/>
      </w:pPr>
      <w:r>
        <w:t>Several studies co-sponsored by the California Air Resources Board (CARB) and Georgia-based Coordinating Research Council (CRC) carried out in the US</w:t>
      </w:r>
      <w:r w:rsidR="00F72E30">
        <w:t>A</w:t>
      </w:r>
      <w:r>
        <w:t xml:space="preserve"> have confirmed that petrol/ethanol blends lead</w:t>
      </w:r>
      <w:r w:rsidR="00F078AD">
        <w:t xml:space="preserve"> to increased permeation rates.</w:t>
      </w:r>
    </w:p>
    <w:p w14:paraId="34F52647" w14:textId="2976C271" w:rsidR="00F81B43" w:rsidRDefault="00F078AD" w:rsidP="00F81B43">
      <w:pPr>
        <w:spacing w:after="120"/>
        <w:ind w:left="1134" w:right="1134"/>
        <w:jc w:val="both"/>
      </w:pPr>
      <w:r>
        <w:tab/>
        <w:t>(e)</w:t>
      </w:r>
      <w:r>
        <w:tab/>
      </w:r>
      <w:r w:rsidR="00F81B43">
        <w:t>Summarising</w:t>
      </w:r>
    </w:p>
    <w:p w14:paraId="3BCA53BA" w14:textId="77777777" w:rsidR="00F81B43" w:rsidRDefault="00F81B43" w:rsidP="00F078AD">
      <w:pPr>
        <w:spacing w:after="120"/>
        <w:ind w:left="1701" w:right="1134"/>
        <w:jc w:val="both"/>
      </w:pPr>
      <w:r>
        <w:t>In order to take into account the effect of ethanol on evaporative emissions, the new GTR includes specific provisions that can be summarized as follows:</w:t>
      </w:r>
    </w:p>
    <w:p w14:paraId="5BFAC98E" w14:textId="017CF44B" w:rsidR="00F81B43" w:rsidRDefault="00F078AD" w:rsidP="00F078AD">
      <w:pPr>
        <w:spacing w:after="120"/>
        <w:ind w:left="1701" w:right="1134"/>
        <w:jc w:val="both"/>
      </w:pPr>
      <w:r>
        <w:t>(</w:t>
      </w:r>
      <w:proofErr w:type="spellStart"/>
      <w:r>
        <w:t>i</w:t>
      </w:r>
      <w:proofErr w:type="spellEnd"/>
      <w:r>
        <w:t>)</w:t>
      </w:r>
      <w:r w:rsidR="00F81B43">
        <w:tab/>
        <w:t>Reference fuel containing 10 per cent ethanol, which may represent the worst case in real world conditions in terms of the fuel quality as far as evaporative emissions are concerned. This will increase the re</w:t>
      </w:r>
      <w:r>
        <w:t>presentativeness of the test;</w:t>
      </w:r>
    </w:p>
    <w:p w14:paraId="3F133543" w14:textId="44A750FC" w:rsidR="00F81B43" w:rsidRDefault="00F078AD" w:rsidP="00F078AD">
      <w:pPr>
        <w:spacing w:after="120"/>
        <w:ind w:left="1701" w:right="1134"/>
        <w:jc w:val="both"/>
      </w:pPr>
      <w:r>
        <w:t>(ii)</w:t>
      </w:r>
      <w:r w:rsidR="00F81B43">
        <w:tab/>
        <w:t>The use in the evaporative emission test of a carbon canister aged with fuel containing 10 per cent ethanol. A specific ageing procedure, consisting in defined mechanical/thermal stress and repeated loading/purging cycles with 10 per cent ethanol fuel, has been developed. The loading/purging cycles may be stopped if it is possible to demonstrate that the Butane Working Capacity (BWC) of the carbon cani</w:t>
      </w:r>
      <w:r>
        <w:t>ster has reached a stable value;</w:t>
      </w:r>
    </w:p>
    <w:p w14:paraId="1501A411" w14:textId="1AFB9A81" w:rsidR="00F81B43" w:rsidRDefault="00F078AD" w:rsidP="00F078AD">
      <w:pPr>
        <w:spacing w:after="120"/>
        <w:ind w:left="1701" w:right="1134"/>
        <w:jc w:val="both"/>
      </w:pPr>
      <w:r>
        <w:t>(iii)</w:t>
      </w:r>
      <w:r w:rsidR="00F81B43">
        <w:tab/>
        <w:t>A permeation factor to be added to the result of the evaporative emissions test. If the tank of the vehicle to be tested has never entered into contact with a fuel containing ethanol, it may happen that the contribution of permeation to evaporative emissions is not duly accounted for (it may take up to tens of week to reach a fully stable permeation rate). For this reason, the measured value will be increased by a permeation factor (PF). The manufacturers will have the option either to measure the permeation of the tank that will be used in the car according to a well-defined procedure (the permeation rate will be measured after three and 20 weeks of ageing) or to use a default PF.</w:t>
      </w:r>
    </w:p>
    <w:p w14:paraId="3747482C" w14:textId="3A21D728" w:rsidR="00F078AD" w:rsidRDefault="00F078AD" w:rsidP="00F078AD">
      <w:pPr>
        <w:keepNext/>
        <w:keepLines/>
        <w:tabs>
          <w:tab w:val="right" w:pos="851"/>
        </w:tabs>
        <w:spacing w:before="240" w:after="120" w:line="240" w:lineRule="exact"/>
        <w:ind w:left="1134" w:right="1134" w:hanging="1134"/>
        <w:rPr>
          <w:b/>
        </w:rPr>
      </w:pPr>
      <w:r>
        <w:rPr>
          <w:b/>
        </w:rPr>
        <w:lastRenderedPageBreak/>
        <w:tab/>
        <w:t>4</w:t>
      </w:r>
      <w:r w:rsidRPr="00324EA7">
        <w:rPr>
          <w:b/>
        </w:rPr>
        <w:t>.</w:t>
      </w:r>
      <w:r w:rsidRPr="00324EA7">
        <w:rPr>
          <w:b/>
        </w:rPr>
        <w:tab/>
      </w:r>
      <w:r>
        <w:rPr>
          <w:b/>
        </w:rPr>
        <w:t>Calculation of the final result</w:t>
      </w:r>
    </w:p>
    <w:p w14:paraId="10D583FD" w14:textId="2161986D" w:rsidR="00F078AD" w:rsidRDefault="00B51726" w:rsidP="00F078AD">
      <w:pPr>
        <w:spacing w:after="120"/>
        <w:ind w:left="1134" w:right="1134"/>
        <w:jc w:val="both"/>
      </w:pPr>
      <w:r>
        <w:t>67</w:t>
      </w:r>
      <w:r w:rsidR="00F078AD">
        <w:t>.</w:t>
      </w:r>
      <w:r w:rsidR="00F078AD">
        <w:tab/>
        <w:t xml:space="preserve">The existing legislation applied in some regions, that already includes multiple diurnal tests, generally requires to add to the hot soak test result only the value recorded in the worst day of the 48 hours (or 72 hours) diurnal test (worst day method). The present GTR gives instead the possibility to consider as result of the test the total evaporative emissions measured over the 48 hours (total emissions method) added to the hot soak test result and the PF. The </w:t>
      </w:r>
      <w:r>
        <w:t>EU</w:t>
      </w:r>
      <w:r w:rsidR="00F078AD">
        <w:t xml:space="preserve"> and Japan decided to adopt the total method, keeping the 2g test limit as it is. However, industry argued that the worst method with appropriate limit value should be the best way from technical and harmonization points of view. As a result of discussion, it was agreed that the GTR would include two Contracting Parties options, the total emissions method as a primary method and the worst day method as an alternative option. </w:t>
      </w:r>
    </w:p>
    <w:p w14:paraId="6CC63A43" w14:textId="49D4CDC4" w:rsidR="00F078AD" w:rsidRDefault="00B51726" w:rsidP="00F078AD">
      <w:pPr>
        <w:spacing w:after="120"/>
        <w:ind w:left="1134" w:right="1134"/>
        <w:jc w:val="both"/>
      </w:pPr>
      <w:r>
        <w:t>68</w:t>
      </w:r>
      <w:r w:rsidR="00F078AD">
        <w:t>.</w:t>
      </w:r>
      <w:r w:rsidR="00F078AD">
        <w:tab/>
        <w:t>The PF is added only once when the worst day approach is used while it is added twice when the total emission method is selected.</w:t>
      </w:r>
    </w:p>
    <w:p w14:paraId="591C5C33" w14:textId="77777777" w:rsidR="00CA1468" w:rsidRDefault="00CA1468" w:rsidP="00CA1468">
      <w:pPr>
        <w:ind w:left="1134" w:right="1134"/>
        <w:jc w:val="both"/>
        <w:rPr>
          <w:lang w:val="en-US"/>
        </w:rPr>
      </w:pPr>
      <w:r w:rsidRPr="00CA1468">
        <w:rPr>
          <w:lang w:val="en-US"/>
        </w:rPr>
        <w:t>Figure 8</w:t>
      </w:r>
    </w:p>
    <w:p w14:paraId="60BA5CF9" w14:textId="32B645B0" w:rsidR="00F078AD" w:rsidRDefault="00CA1468" w:rsidP="00F078AD">
      <w:pPr>
        <w:spacing w:after="120"/>
        <w:ind w:left="1134" w:right="1134"/>
        <w:jc w:val="both"/>
        <w:rPr>
          <w:b/>
          <w:lang w:val="en-US"/>
        </w:rPr>
      </w:pPr>
      <w:r>
        <w:rPr>
          <w:b/>
          <w:lang w:val="en-US"/>
        </w:rPr>
        <w:t>Contracting P</w:t>
      </w:r>
      <w:r w:rsidRPr="00CA1468">
        <w:rPr>
          <w:b/>
          <w:lang w:val="en-US"/>
        </w:rPr>
        <w:t>arty options</w:t>
      </w:r>
    </w:p>
    <w:p w14:paraId="66CB7C07" w14:textId="370690E1" w:rsidR="00CA1468" w:rsidRDefault="00CA1468" w:rsidP="00F078AD">
      <w:pPr>
        <w:spacing w:after="120"/>
        <w:ind w:left="1134" w:right="1134"/>
        <w:jc w:val="both"/>
      </w:pPr>
      <w:r w:rsidRPr="00CA1468">
        <w:rPr>
          <w:rFonts w:eastAsia="MS Mincho"/>
          <w:noProof/>
          <w:sz w:val="22"/>
          <w:szCs w:val="22"/>
          <w:lang w:eastAsia="en-GB"/>
        </w:rPr>
        <w:drawing>
          <wp:inline distT="0" distB="0" distL="0" distR="0" wp14:anchorId="11F0E028" wp14:editId="60D41EE5">
            <wp:extent cx="4008582" cy="2772172"/>
            <wp:effectExtent l="0" t="0" r="0" b="9525"/>
            <wp:docPr id="1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12627" cy="2774969"/>
                    </a:xfrm>
                    <a:prstGeom prst="rect">
                      <a:avLst/>
                    </a:prstGeom>
                  </pic:spPr>
                </pic:pic>
              </a:graphicData>
            </a:graphic>
          </wp:inline>
        </w:drawing>
      </w:r>
    </w:p>
    <w:p w14:paraId="072BF3A9" w14:textId="3F046B30" w:rsidR="00F078AD" w:rsidRDefault="00F078AD" w:rsidP="00F078AD">
      <w:pPr>
        <w:keepNext/>
        <w:keepLines/>
        <w:tabs>
          <w:tab w:val="right" w:pos="851"/>
        </w:tabs>
        <w:spacing w:before="240" w:after="120" w:line="240" w:lineRule="exact"/>
        <w:ind w:left="1134" w:right="1134" w:hanging="1134"/>
        <w:rPr>
          <w:b/>
        </w:rPr>
      </w:pPr>
      <w:r>
        <w:rPr>
          <w:b/>
        </w:rPr>
        <w:tab/>
        <w:t>5</w:t>
      </w:r>
      <w:r w:rsidRPr="00324EA7">
        <w:rPr>
          <w:b/>
        </w:rPr>
        <w:t>.</w:t>
      </w:r>
      <w:r w:rsidRPr="00324EA7">
        <w:rPr>
          <w:b/>
        </w:rPr>
        <w:tab/>
      </w:r>
      <w:r>
        <w:rPr>
          <w:b/>
        </w:rPr>
        <w:t>Evaporative Emissions Family</w:t>
      </w:r>
    </w:p>
    <w:p w14:paraId="1BB4AA42" w14:textId="0ECBD858" w:rsidR="00CA1468" w:rsidRDefault="00B51726" w:rsidP="00CA1468">
      <w:pPr>
        <w:spacing w:after="120"/>
        <w:ind w:left="1134" w:right="1134"/>
        <w:jc w:val="both"/>
      </w:pPr>
      <w:r>
        <w:t>69</w:t>
      </w:r>
      <w:r w:rsidR="00CA1468">
        <w:t>.</w:t>
      </w:r>
      <w:r w:rsidR="00CA1468">
        <w:tab/>
        <w:t xml:space="preserve">In order to reduce the testing burden, the evaporative emissions family approach was introduced in the GTR. This requires the definition of the evaporative emission family and of the </w:t>
      </w:r>
      <w:r w:rsidR="00AB7EA9" w:rsidRPr="0087221E">
        <w:rPr>
          <w:iCs/>
        </w:rPr>
        <w:t>"</w:t>
      </w:r>
      <w:r w:rsidR="00CA1468">
        <w:t>worst case</w:t>
      </w:r>
      <w:r w:rsidR="00AB7EA9" w:rsidRPr="0087221E">
        <w:rPr>
          <w:iCs/>
        </w:rPr>
        <w:t>"</w:t>
      </w:r>
      <w:r w:rsidR="00CA1468">
        <w:t xml:space="preserve"> vehicle within the family. Only the </w:t>
      </w:r>
      <w:r w:rsidR="00AB7EA9" w:rsidRPr="0087221E">
        <w:rPr>
          <w:iCs/>
        </w:rPr>
        <w:t>"</w:t>
      </w:r>
      <w:r w:rsidR="00CA1468">
        <w:t>worst case</w:t>
      </w:r>
      <w:r w:rsidR="00AB7EA9" w:rsidRPr="0087221E">
        <w:rPr>
          <w:iCs/>
        </w:rPr>
        <w:t>"</w:t>
      </w:r>
      <w:r w:rsidR="00CA1468">
        <w:t xml:space="preserve"> vehicle will undergo the evaporative emission test. The WLTP EVAP task force reviewed existing family criteria of US</w:t>
      </w:r>
      <w:r w:rsidR="00F72E30">
        <w:t>A</w:t>
      </w:r>
      <w:r w:rsidR="00CA1468">
        <w:t xml:space="preserve"> and Japan as well as provisions of EU legislation. After discussions over several task force meetings, it was decided that the following parameters should be taken into account as criteria for the family definition: </w:t>
      </w:r>
    </w:p>
    <w:p w14:paraId="7CF46463" w14:textId="78040456" w:rsidR="00CA1468" w:rsidRDefault="00AB7EA9" w:rsidP="00AB7EA9">
      <w:pPr>
        <w:spacing w:after="120"/>
        <w:ind w:left="2268" w:right="1134" w:hanging="567"/>
        <w:jc w:val="both"/>
      </w:pPr>
      <w:r>
        <w:t>(a)</w:t>
      </w:r>
      <w:r w:rsidR="00CA1468">
        <w:tab/>
        <w:t>Fuel tank system material and construction;</w:t>
      </w:r>
    </w:p>
    <w:p w14:paraId="46BC35EE" w14:textId="7AF34F55" w:rsidR="00CA1468" w:rsidRDefault="00AB7EA9" w:rsidP="00AB7EA9">
      <w:pPr>
        <w:spacing w:after="120"/>
        <w:ind w:left="2268" w:right="1134" w:hanging="567"/>
        <w:jc w:val="both"/>
      </w:pPr>
      <w:r>
        <w:t>(b)</w:t>
      </w:r>
      <w:r w:rsidR="00CA1468">
        <w:tab/>
        <w:t xml:space="preserve">Vapour hose material, fuel line material and connection technique; </w:t>
      </w:r>
    </w:p>
    <w:p w14:paraId="3D6DD0FD" w14:textId="5D726E60" w:rsidR="00CA1468" w:rsidRDefault="00AB7EA9" w:rsidP="00AB7EA9">
      <w:pPr>
        <w:spacing w:after="120"/>
        <w:ind w:left="2268" w:right="1134" w:hanging="567"/>
        <w:jc w:val="both"/>
      </w:pPr>
      <w:r>
        <w:t>(c)</w:t>
      </w:r>
      <w:r w:rsidR="00CA1468">
        <w:tab/>
        <w:t xml:space="preserve">Sealed tank or non-sealed tank system; </w:t>
      </w:r>
    </w:p>
    <w:p w14:paraId="38F75878" w14:textId="6EF45AC2" w:rsidR="00CA1468" w:rsidRDefault="00AB7EA9" w:rsidP="00AB7EA9">
      <w:pPr>
        <w:spacing w:after="120"/>
        <w:ind w:left="2268" w:right="1134" w:hanging="567"/>
        <w:jc w:val="both"/>
      </w:pPr>
      <w:r>
        <w:t>(d)</w:t>
      </w:r>
      <w:r w:rsidR="00CA1468">
        <w:tab/>
        <w:t>Fuel tank relief valve setting (air ingestion and relief);</w:t>
      </w:r>
    </w:p>
    <w:p w14:paraId="0409D647" w14:textId="5E492858" w:rsidR="00CA1468" w:rsidRDefault="00AB7EA9" w:rsidP="00AB7EA9">
      <w:pPr>
        <w:spacing w:after="120"/>
        <w:ind w:left="2268" w:right="1134" w:hanging="567"/>
        <w:jc w:val="both"/>
      </w:pPr>
      <w:r>
        <w:lastRenderedPageBreak/>
        <w:t>(e)</w:t>
      </w:r>
      <w:r w:rsidR="00CA1468">
        <w:tab/>
        <w:t>Canister butane working capacity (BWC300) within a 10 per cent range (for canisters with the same type of charcoal, the volume of charcoal shall be within 10 per cent of that for which the BWC300 was determined);</w:t>
      </w:r>
    </w:p>
    <w:p w14:paraId="086E1DBD" w14:textId="77777777" w:rsidR="00CA1468" w:rsidRDefault="00CA1468" w:rsidP="00AB7EA9">
      <w:pPr>
        <w:spacing w:after="120"/>
        <w:ind w:left="2268" w:right="1134" w:hanging="567"/>
        <w:jc w:val="both"/>
      </w:pPr>
      <w:r>
        <w:t xml:space="preserve">(f) </w:t>
      </w:r>
      <w:r>
        <w:tab/>
        <w:t>Purge control system (for example, type of valve, purge control strategy).</w:t>
      </w:r>
    </w:p>
    <w:p w14:paraId="688DAB33" w14:textId="468A1726" w:rsidR="00F078AD" w:rsidRDefault="00B51726" w:rsidP="00CA1468">
      <w:pPr>
        <w:spacing w:after="120"/>
        <w:ind w:left="1134" w:right="1134"/>
        <w:jc w:val="both"/>
      </w:pPr>
      <w:r>
        <w:t>70</w:t>
      </w:r>
      <w:r w:rsidR="00AB7EA9">
        <w:t>.</w:t>
      </w:r>
      <w:r w:rsidR="00AB7EA9">
        <w:tab/>
      </w:r>
      <w:r w:rsidR="00CA1468">
        <w:t xml:space="preserve">Regarding the selection of the </w:t>
      </w:r>
      <w:r w:rsidR="00AB7EA9" w:rsidRPr="0087221E">
        <w:rPr>
          <w:iCs/>
        </w:rPr>
        <w:t>"</w:t>
      </w:r>
      <w:r w:rsidR="00CA1468">
        <w:t>worst case</w:t>
      </w:r>
      <w:r w:rsidR="00AB7EA9" w:rsidRPr="0087221E">
        <w:rPr>
          <w:iCs/>
        </w:rPr>
        <w:t>"</w:t>
      </w:r>
      <w:r w:rsidR="00CA1468">
        <w:t xml:space="preserve"> within the family, this was identified as the vehicle with the largest ratio of fuel tank capacity to canister butane working capacity. If the ratio is identical, the actual purge volume over the test cycle will be considered.</w:t>
      </w:r>
    </w:p>
    <w:p w14:paraId="71EDDA4F" w14:textId="28CEAB2F" w:rsidR="00CA1468" w:rsidRDefault="00CA1468" w:rsidP="00CA1468">
      <w:pPr>
        <w:keepNext/>
        <w:keepLines/>
        <w:tabs>
          <w:tab w:val="right" w:pos="851"/>
        </w:tabs>
        <w:spacing w:before="240" w:after="120" w:line="240" w:lineRule="exact"/>
        <w:ind w:left="1134" w:right="1134" w:hanging="1134"/>
        <w:rPr>
          <w:b/>
        </w:rPr>
      </w:pPr>
      <w:r>
        <w:rPr>
          <w:b/>
        </w:rPr>
        <w:tab/>
        <w:t>6</w:t>
      </w:r>
      <w:r w:rsidRPr="00324EA7">
        <w:rPr>
          <w:b/>
        </w:rPr>
        <w:t>.</w:t>
      </w:r>
      <w:r w:rsidRPr="00324EA7">
        <w:rPr>
          <w:b/>
        </w:rPr>
        <w:tab/>
      </w:r>
      <w:r>
        <w:rPr>
          <w:b/>
        </w:rPr>
        <w:t>Open issues</w:t>
      </w:r>
    </w:p>
    <w:p w14:paraId="0BA9BE21" w14:textId="69043B35" w:rsidR="00537649" w:rsidRDefault="00B51726" w:rsidP="00537649">
      <w:pPr>
        <w:spacing w:after="120"/>
        <w:ind w:left="1134" w:right="1134"/>
        <w:jc w:val="both"/>
      </w:pPr>
      <w:r>
        <w:t>71</w:t>
      </w:r>
      <w:r w:rsidR="00537649">
        <w:t>.</w:t>
      </w:r>
      <w:r w:rsidR="00537649">
        <w:tab/>
        <w:t>It was agreed to continue the development of test procedure for sealed tank systems which would not be included in the first GTR version for the moment. Due to specific features (see below) of typical sealed tank systems, WLTP EVAP Task Force needs further discussion especially on what is an appropriate condition of the canister prior to the conditioning drive.</w:t>
      </w:r>
    </w:p>
    <w:p w14:paraId="09EFBAE7" w14:textId="77777777" w:rsidR="00537649" w:rsidRDefault="00537649" w:rsidP="00537649">
      <w:pPr>
        <w:spacing w:after="120"/>
        <w:ind w:left="1134" w:right="1134"/>
        <w:jc w:val="both"/>
      </w:pPr>
      <w:r>
        <w:t>1. No fuel vapour flow into the canister during parking.</w:t>
      </w:r>
    </w:p>
    <w:p w14:paraId="66CC23ED" w14:textId="4CE1EB43" w:rsidR="00537649" w:rsidRDefault="00537649" w:rsidP="00537649">
      <w:pPr>
        <w:spacing w:after="120"/>
        <w:ind w:left="1134" w:right="1134"/>
        <w:jc w:val="both"/>
      </w:pPr>
      <w:r>
        <w:t xml:space="preserve">2. Fuel </w:t>
      </w:r>
      <w:proofErr w:type="gramStart"/>
      <w:r>
        <w:t>vapour</w:t>
      </w:r>
      <w:proofErr w:type="gramEnd"/>
      <w:r>
        <w:t xml:space="preserve"> flow into the puff loss canister mainly just before refuelling.</w:t>
      </w:r>
    </w:p>
    <w:p w14:paraId="30F17E3B" w14:textId="62F6FD7F" w:rsidR="00537649" w:rsidRDefault="00537649" w:rsidP="00537649">
      <w:pPr>
        <w:ind w:left="1134" w:right="1134"/>
        <w:jc w:val="both"/>
        <w:rPr>
          <w:lang w:val="en-US"/>
        </w:rPr>
      </w:pPr>
      <w:r>
        <w:rPr>
          <w:lang w:val="en-US"/>
        </w:rPr>
        <w:t>Figure 9</w:t>
      </w:r>
    </w:p>
    <w:p w14:paraId="3B846A89" w14:textId="4D8491B5" w:rsidR="00537649" w:rsidRDefault="00537649" w:rsidP="00537649">
      <w:pPr>
        <w:spacing w:after="120"/>
        <w:ind w:left="1134" w:right="1134"/>
        <w:jc w:val="both"/>
        <w:rPr>
          <w:b/>
          <w:lang w:val="en-US"/>
        </w:rPr>
      </w:pPr>
      <w:r w:rsidRPr="00537649">
        <w:rPr>
          <w:b/>
          <w:lang w:val="en-US"/>
        </w:rPr>
        <w:t>Sealed tank system</w:t>
      </w:r>
    </w:p>
    <w:p w14:paraId="28903428" w14:textId="0E004BAE" w:rsidR="00537649" w:rsidRDefault="00537649" w:rsidP="00537649">
      <w:pPr>
        <w:spacing w:after="120"/>
        <w:ind w:left="1134" w:right="1134"/>
        <w:jc w:val="both"/>
      </w:pPr>
      <w:r w:rsidRPr="006E3613">
        <w:rPr>
          <w:noProof/>
          <w:lang w:eastAsia="en-GB"/>
        </w:rPr>
        <w:drawing>
          <wp:inline distT="0" distB="0" distL="0" distR="0" wp14:anchorId="3C641BA4" wp14:editId="7C09EBE1">
            <wp:extent cx="3628339" cy="2284873"/>
            <wp:effectExtent l="19050" t="19050" r="10795" b="203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564" t="10160" r="7915" b="18034"/>
                    <a:stretch/>
                  </pic:blipFill>
                  <pic:spPr bwMode="auto">
                    <a:xfrm>
                      <a:off x="0" y="0"/>
                      <a:ext cx="3639349" cy="2291806"/>
                    </a:xfrm>
                    <a:prstGeom prst="rect">
                      <a:avLst/>
                    </a:prstGeom>
                    <a:noFill/>
                    <a:ln w="9525">
                      <a:solidFill>
                        <a:schemeClr val="tx1"/>
                      </a:solidFill>
                      <a:miter lim="800000"/>
                      <a:headEnd/>
                      <a:tailEnd/>
                    </a:ln>
                    <a:effectLst/>
                    <a:extLst/>
                  </pic:spPr>
                </pic:pic>
              </a:graphicData>
            </a:graphic>
          </wp:inline>
        </w:drawing>
      </w:r>
    </w:p>
    <w:p w14:paraId="57ACED94" w14:textId="13DCE5D1" w:rsidR="00537649" w:rsidRDefault="00537649" w:rsidP="00B51726">
      <w:pPr>
        <w:keepNext/>
        <w:keepLines/>
        <w:ind w:left="1134" w:right="1134"/>
        <w:jc w:val="both"/>
        <w:rPr>
          <w:lang w:val="en-US"/>
        </w:rPr>
      </w:pPr>
      <w:r>
        <w:rPr>
          <w:lang w:val="en-US"/>
        </w:rPr>
        <w:lastRenderedPageBreak/>
        <w:t>Figure 10</w:t>
      </w:r>
    </w:p>
    <w:p w14:paraId="20232F85" w14:textId="39D7E2D5" w:rsidR="00537649" w:rsidRDefault="00537649" w:rsidP="00B51726">
      <w:pPr>
        <w:keepNext/>
        <w:keepLines/>
        <w:spacing w:after="120"/>
        <w:ind w:left="1134" w:right="1134"/>
        <w:jc w:val="both"/>
        <w:rPr>
          <w:b/>
          <w:lang w:val="en-US"/>
        </w:rPr>
      </w:pPr>
      <w:r w:rsidRPr="00537649">
        <w:rPr>
          <w:b/>
          <w:lang w:val="en-US"/>
        </w:rPr>
        <w:t>Proposed procedure from Japan</w:t>
      </w:r>
    </w:p>
    <w:p w14:paraId="24CFEC67" w14:textId="401D2806" w:rsidR="00537649" w:rsidRDefault="00537649" w:rsidP="00B51726">
      <w:pPr>
        <w:keepNext/>
        <w:keepLines/>
        <w:spacing w:after="120"/>
        <w:ind w:left="1134" w:right="1134"/>
        <w:jc w:val="both"/>
      </w:pPr>
      <w:r w:rsidRPr="00537649">
        <w:rPr>
          <w:rFonts w:ascii="Arial" w:eastAsia="MS Mincho" w:hAnsi="Arial"/>
          <w:noProof/>
          <w:sz w:val="22"/>
          <w:szCs w:val="22"/>
          <w:lang w:eastAsia="en-GB"/>
        </w:rPr>
        <w:drawing>
          <wp:inline distT="0" distB="0" distL="0" distR="0" wp14:anchorId="3995348A" wp14:editId="39509A13">
            <wp:extent cx="4213556" cy="2851468"/>
            <wp:effectExtent l="0" t="0" r="0" b="6350"/>
            <wp:docPr id="1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13556" cy="2851468"/>
                    </a:xfrm>
                    <a:prstGeom prst="rect">
                      <a:avLst/>
                    </a:prstGeom>
                  </pic:spPr>
                </pic:pic>
              </a:graphicData>
            </a:graphic>
          </wp:inline>
        </w:drawing>
      </w:r>
    </w:p>
    <w:p w14:paraId="3C486B6E" w14:textId="5BCE9CF3" w:rsidR="00CC0581" w:rsidRDefault="00CC0581" w:rsidP="00B51726">
      <w:pPr>
        <w:pStyle w:val="HChG"/>
      </w:pPr>
      <w:r>
        <w:tab/>
        <w:t>V</w:t>
      </w:r>
      <w:r w:rsidRPr="00C47377">
        <w:t>.</w:t>
      </w:r>
      <w:r w:rsidRPr="00C47377">
        <w:tab/>
      </w:r>
      <w:r>
        <w:t>GTR structure</w:t>
      </w:r>
    </w:p>
    <w:p w14:paraId="0924E3F5" w14:textId="3D6535AC" w:rsidR="0014300E" w:rsidRPr="00DE5DAC" w:rsidRDefault="0014300E" w:rsidP="0014300E">
      <w:pPr>
        <w:keepNext/>
        <w:keepLines/>
        <w:tabs>
          <w:tab w:val="right" w:pos="851"/>
        </w:tabs>
        <w:spacing w:before="360" w:after="240" w:line="270" w:lineRule="exact"/>
        <w:ind w:left="1134" w:right="1134" w:hanging="1134"/>
        <w:rPr>
          <w:b/>
          <w:sz w:val="24"/>
        </w:rPr>
      </w:pPr>
      <w:r w:rsidRPr="00DE5DAC">
        <w:rPr>
          <w:b/>
          <w:sz w:val="24"/>
        </w:rPr>
        <w:tab/>
        <w:t>A.</w:t>
      </w:r>
      <w:r w:rsidRPr="00DE5DAC">
        <w:rPr>
          <w:b/>
          <w:sz w:val="24"/>
        </w:rPr>
        <w:tab/>
      </w:r>
      <w:r w:rsidRPr="0014300E">
        <w:rPr>
          <w:b/>
          <w:sz w:val="24"/>
        </w:rPr>
        <w:t>Annex 1 Type 4 test procedures and test conditions</w:t>
      </w:r>
    </w:p>
    <w:p w14:paraId="4A13BC88" w14:textId="77777777" w:rsidR="0014300E" w:rsidRDefault="0014300E" w:rsidP="0014300E">
      <w:pPr>
        <w:spacing w:after="120"/>
        <w:ind w:left="1134" w:right="1134"/>
        <w:jc w:val="both"/>
      </w:pPr>
      <w:r>
        <w:t>Annex 1 to the GTR describes the procedure for the Type 4 test, which determines the emission of hydrocarbons by evaporation from the fuel systems of vehicles. It is divided in the following chapters:</w:t>
      </w:r>
    </w:p>
    <w:p w14:paraId="72349268" w14:textId="77777777" w:rsidR="0014300E" w:rsidRDefault="0014300E" w:rsidP="0014300E">
      <w:pPr>
        <w:spacing w:after="120"/>
        <w:ind w:left="1134" w:right="1134"/>
        <w:jc w:val="both"/>
      </w:pPr>
      <w:r>
        <w:t>1.</w:t>
      </w:r>
      <w:r>
        <w:tab/>
        <w:t>Introduction</w:t>
      </w:r>
    </w:p>
    <w:p w14:paraId="65E19A49" w14:textId="77777777" w:rsidR="0014300E" w:rsidRDefault="0014300E" w:rsidP="0014300E">
      <w:pPr>
        <w:spacing w:after="120"/>
        <w:ind w:left="1134" w:right="1134"/>
        <w:jc w:val="both"/>
      </w:pPr>
      <w:r>
        <w:t>2.</w:t>
      </w:r>
      <w:r>
        <w:tab/>
        <w:t>Technical requirements</w:t>
      </w:r>
    </w:p>
    <w:p w14:paraId="1AE8E220" w14:textId="77777777" w:rsidR="0014300E" w:rsidRDefault="0014300E" w:rsidP="0014300E">
      <w:pPr>
        <w:spacing w:after="120"/>
        <w:ind w:left="1134" w:right="1134"/>
        <w:jc w:val="both"/>
      </w:pPr>
      <w:r>
        <w:t>3.</w:t>
      </w:r>
      <w:r>
        <w:tab/>
        <w:t>Vehicle and fuel</w:t>
      </w:r>
    </w:p>
    <w:p w14:paraId="7337A5E9" w14:textId="77777777" w:rsidR="0014300E" w:rsidRDefault="0014300E" w:rsidP="0014300E">
      <w:pPr>
        <w:spacing w:after="120"/>
        <w:ind w:left="1134" w:right="1134"/>
        <w:jc w:val="both"/>
      </w:pPr>
      <w:r>
        <w:t>4.</w:t>
      </w:r>
      <w:r>
        <w:tab/>
        <w:t>Test equipment for the evaporative test</w:t>
      </w:r>
    </w:p>
    <w:p w14:paraId="2CA475D0" w14:textId="38E4D601" w:rsidR="00CC0581" w:rsidRDefault="0014300E" w:rsidP="0014300E">
      <w:pPr>
        <w:spacing w:after="120"/>
        <w:ind w:left="1134" w:right="1134"/>
        <w:jc w:val="both"/>
      </w:pPr>
      <w:r>
        <w:t xml:space="preserve">5. </w:t>
      </w:r>
      <w:r>
        <w:tab/>
        <w:t>Test procedure</w:t>
      </w:r>
    </w:p>
    <w:p w14:paraId="0B4808EB" w14:textId="227636E6" w:rsidR="0014300E" w:rsidRPr="00DE5DAC" w:rsidRDefault="0014300E" w:rsidP="0014300E">
      <w:pPr>
        <w:keepNext/>
        <w:keepLines/>
        <w:tabs>
          <w:tab w:val="right" w:pos="851"/>
        </w:tabs>
        <w:spacing w:before="360" w:after="240" w:line="270" w:lineRule="exact"/>
        <w:ind w:left="1134" w:right="1134" w:hanging="1134"/>
        <w:rPr>
          <w:b/>
          <w:sz w:val="24"/>
        </w:rPr>
      </w:pPr>
      <w:r>
        <w:rPr>
          <w:b/>
          <w:sz w:val="24"/>
        </w:rPr>
        <w:tab/>
        <w:t>B</w:t>
      </w:r>
      <w:r w:rsidRPr="00DE5DAC">
        <w:rPr>
          <w:b/>
          <w:sz w:val="24"/>
        </w:rPr>
        <w:t>.</w:t>
      </w:r>
      <w:r w:rsidRPr="00DE5DAC">
        <w:rPr>
          <w:b/>
          <w:sz w:val="24"/>
        </w:rPr>
        <w:tab/>
      </w:r>
      <w:r w:rsidRPr="0014300E">
        <w:rPr>
          <w:b/>
          <w:sz w:val="24"/>
        </w:rPr>
        <w:t>Annex 2 Reference fuels</w:t>
      </w:r>
    </w:p>
    <w:p w14:paraId="2249FBA7" w14:textId="5A287D15" w:rsidR="0014300E" w:rsidRDefault="0014300E" w:rsidP="0014300E">
      <w:pPr>
        <w:spacing w:after="120"/>
        <w:ind w:left="1134" w:right="1134"/>
        <w:jc w:val="both"/>
      </w:pPr>
      <w:r w:rsidRPr="0014300E">
        <w:t xml:space="preserve">As there are regional differences in the market specifications of fuels, regionally different reference fuels need to be recognised. Contracting Parties may select their reference fuels (level 1 fuel) either according to Annex 3 to </w:t>
      </w:r>
      <w:r>
        <w:t>GTR</w:t>
      </w:r>
      <w:r w:rsidRPr="0014300E">
        <w:t xml:space="preserve"> No. 15. </w:t>
      </w:r>
      <w:proofErr w:type="gramStart"/>
      <w:r w:rsidRPr="0014300E">
        <w:t>or</w:t>
      </w:r>
      <w:proofErr w:type="gramEnd"/>
      <w:r w:rsidRPr="0014300E">
        <w:t xml:space="preserve"> according to paragraph 2. </w:t>
      </w:r>
      <w:proofErr w:type="gramStart"/>
      <w:r w:rsidRPr="0014300E">
        <w:t>of</w:t>
      </w:r>
      <w:proofErr w:type="gramEnd"/>
      <w:r w:rsidRPr="0014300E">
        <w:t xml:space="preserve"> this Annex (level</w:t>
      </w:r>
      <w:r>
        <w:t xml:space="preserve"> </w:t>
      </w:r>
      <w:r w:rsidRPr="0014300E">
        <w:t>2 fuel). The level 2 fuel is designed to be used as the reference fuel for mutual recognition und</w:t>
      </w:r>
      <w:r>
        <w:t>er the rules of the 1998 UNECE A</w:t>
      </w:r>
      <w:r w:rsidRPr="0014300E">
        <w:t>greement.</w:t>
      </w:r>
    </w:p>
    <w:p w14:paraId="7C7E4456" w14:textId="75EA90B8" w:rsidR="0014300E" w:rsidRDefault="0014300E" w:rsidP="00B51726">
      <w:pPr>
        <w:keepNext/>
        <w:keepLines/>
        <w:ind w:left="1134" w:right="1134"/>
        <w:jc w:val="both"/>
        <w:rPr>
          <w:lang w:val="en-US"/>
        </w:rPr>
      </w:pPr>
      <w:r>
        <w:rPr>
          <w:lang w:val="en-US"/>
        </w:rPr>
        <w:lastRenderedPageBreak/>
        <w:t>Figure 11</w:t>
      </w:r>
    </w:p>
    <w:p w14:paraId="58818954" w14:textId="7561841E" w:rsidR="0014300E" w:rsidRDefault="0014300E" w:rsidP="00B51726">
      <w:pPr>
        <w:keepNext/>
        <w:keepLines/>
        <w:spacing w:after="120"/>
        <w:ind w:left="1134" w:right="1134"/>
        <w:jc w:val="both"/>
        <w:rPr>
          <w:b/>
          <w:lang w:val="en-US"/>
        </w:rPr>
      </w:pPr>
      <w:r w:rsidRPr="0014300E">
        <w:rPr>
          <w:b/>
          <w:lang w:val="en-US"/>
        </w:rPr>
        <w:t>Reference fuels</w:t>
      </w:r>
    </w:p>
    <w:p w14:paraId="498CA9A5" w14:textId="03BF1BEE" w:rsidR="0014300E" w:rsidRDefault="0014300E" w:rsidP="00B51726">
      <w:pPr>
        <w:keepNext/>
        <w:keepLines/>
        <w:spacing w:after="120"/>
        <w:ind w:left="1134" w:right="1134"/>
        <w:jc w:val="both"/>
      </w:pPr>
      <w:r w:rsidRPr="0014300E">
        <w:rPr>
          <w:rFonts w:ascii="Arial" w:eastAsia="MS Mincho" w:hAnsi="Arial"/>
          <w:noProof/>
          <w:sz w:val="22"/>
          <w:szCs w:val="22"/>
          <w:lang w:eastAsia="en-GB"/>
        </w:rPr>
        <w:drawing>
          <wp:inline distT="0" distB="0" distL="0" distR="0" wp14:anchorId="559F3E65" wp14:editId="592986BA">
            <wp:extent cx="3648364" cy="205839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164" cy="2059405"/>
                    </a:xfrm>
                    <a:prstGeom prst="rect">
                      <a:avLst/>
                    </a:prstGeom>
                  </pic:spPr>
                </pic:pic>
              </a:graphicData>
            </a:graphic>
          </wp:inline>
        </w:drawing>
      </w:r>
    </w:p>
    <w:p w14:paraId="5768CEB1" w14:textId="73405F44" w:rsidR="0014300E" w:rsidRPr="0014300E" w:rsidRDefault="0014300E" w:rsidP="0014300E">
      <w:pPr>
        <w:keepNext/>
        <w:keepLines/>
        <w:tabs>
          <w:tab w:val="right" w:pos="851"/>
        </w:tabs>
        <w:spacing w:before="360" w:after="240" w:line="300" w:lineRule="exact"/>
        <w:ind w:left="1134" w:right="1134" w:hanging="1134"/>
        <w:rPr>
          <w:b/>
          <w:sz w:val="28"/>
        </w:rPr>
      </w:pPr>
      <w:r w:rsidRPr="0014300E">
        <w:rPr>
          <w:b/>
          <w:sz w:val="28"/>
          <w:szCs w:val="28"/>
        </w:rPr>
        <w:t xml:space="preserve">Appendix 1 – </w:t>
      </w:r>
      <w:r>
        <w:rPr>
          <w:b/>
          <w:sz w:val="28"/>
          <w:szCs w:val="28"/>
        </w:rPr>
        <w:t>Emission legislation</w:t>
      </w:r>
    </w:p>
    <w:p w14:paraId="4883D067" w14:textId="77777777" w:rsidR="0014300E" w:rsidRDefault="0014300E" w:rsidP="0014300E">
      <w:pPr>
        <w:keepNext/>
        <w:keepLines/>
        <w:spacing w:after="120"/>
        <w:ind w:left="1134" w:right="1134"/>
        <w:jc w:val="both"/>
      </w:pPr>
      <w:r>
        <w:t>The following evaporative emission legislation was reviewed as a basis for the GTR:</w:t>
      </w:r>
    </w:p>
    <w:p w14:paraId="03DEDDFB" w14:textId="1777D1CA" w:rsidR="0014300E" w:rsidRDefault="0014300E" w:rsidP="0014300E">
      <w:pPr>
        <w:keepNext/>
        <w:keepLines/>
        <w:spacing w:after="120"/>
        <w:ind w:left="1134" w:right="1134"/>
        <w:jc w:val="both"/>
      </w:pPr>
      <w:r w:rsidRPr="000E6FE5">
        <w:rPr>
          <w:b/>
        </w:rPr>
        <w:t>US</w:t>
      </w:r>
      <w:r w:rsidR="00F72E30">
        <w:rPr>
          <w:b/>
        </w:rPr>
        <w:t>A</w:t>
      </w:r>
      <w:r w:rsidRPr="000E6FE5">
        <w:rPr>
          <w:b/>
        </w:rPr>
        <w:t>-Regulations</w:t>
      </w:r>
      <w:r>
        <w:t xml:space="preserve"> (EPA and ARB)</w:t>
      </w:r>
    </w:p>
    <w:p w14:paraId="17F6A281" w14:textId="77777777" w:rsidR="0014300E" w:rsidRDefault="0014300E" w:rsidP="0014300E">
      <w:pPr>
        <w:keepNext/>
        <w:keepLines/>
        <w:spacing w:after="120"/>
        <w:ind w:left="1134" w:right="1134"/>
        <w:jc w:val="both"/>
      </w:pPr>
      <w:r>
        <w:t xml:space="preserve">40 CFR </w:t>
      </w:r>
      <w:proofErr w:type="gramStart"/>
      <w:r>
        <w:t>Part</w:t>
      </w:r>
      <w:proofErr w:type="gramEnd"/>
      <w:r>
        <w:t xml:space="preserve"> 86</w:t>
      </w:r>
    </w:p>
    <w:p w14:paraId="6BC4EACE" w14:textId="77777777" w:rsidR="0014300E" w:rsidRDefault="0014300E" w:rsidP="0014300E">
      <w:pPr>
        <w:keepNext/>
        <w:keepLines/>
        <w:spacing w:after="120"/>
        <w:ind w:left="1134" w:right="1134"/>
        <w:jc w:val="both"/>
      </w:pPr>
      <w:r>
        <w:t>CALIFORNIA EVAPORATIVE EMISSION STANDARDS AND TEST PROCEDURES</w:t>
      </w:r>
    </w:p>
    <w:p w14:paraId="7C70C6A9" w14:textId="77777777" w:rsidR="0014300E" w:rsidRDefault="0014300E" w:rsidP="0014300E">
      <w:pPr>
        <w:keepNext/>
        <w:keepLines/>
        <w:spacing w:after="120"/>
        <w:ind w:left="1134" w:right="1134"/>
        <w:jc w:val="both"/>
      </w:pPr>
      <w:r>
        <w:t>FOR 2001 AND SUBSEQUENT MODEL MOTOR VEHICLES</w:t>
      </w:r>
    </w:p>
    <w:p w14:paraId="0D823BE8" w14:textId="77777777" w:rsidR="0014300E" w:rsidRDefault="0014300E" w:rsidP="0014300E">
      <w:pPr>
        <w:keepNext/>
        <w:keepLines/>
        <w:spacing w:after="120"/>
        <w:ind w:left="1134" w:right="1134"/>
        <w:jc w:val="both"/>
      </w:pPr>
      <w:r w:rsidRPr="000E6FE5">
        <w:rPr>
          <w:b/>
        </w:rPr>
        <w:t>UNECE</w:t>
      </w:r>
      <w:r>
        <w:t xml:space="preserve"> (comparable to EC 715/2007, EC 692 /2008)</w:t>
      </w:r>
    </w:p>
    <w:p w14:paraId="5840E628" w14:textId="5B8EB639" w:rsidR="0014300E" w:rsidRDefault="0014300E" w:rsidP="0014300E">
      <w:pPr>
        <w:keepNext/>
        <w:keepLines/>
        <w:spacing w:after="120"/>
        <w:ind w:left="1134" w:right="1134"/>
        <w:jc w:val="both"/>
      </w:pPr>
      <w:r>
        <w:t>R</w:t>
      </w:r>
      <w:r w:rsidR="000E6FE5">
        <w:t>egulation No. 83</w:t>
      </w:r>
    </w:p>
    <w:p w14:paraId="313D54C6" w14:textId="4CCA732F" w:rsidR="0014300E" w:rsidRDefault="0014300E" w:rsidP="0014300E">
      <w:pPr>
        <w:keepNext/>
        <w:keepLines/>
        <w:spacing w:after="120"/>
        <w:ind w:left="1134" w:right="1134"/>
        <w:jc w:val="both"/>
      </w:pPr>
      <w:r w:rsidRPr="000E6FE5">
        <w:rPr>
          <w:b/>
        </w:rPr>
        <w:t>Japan</w:t>
      </w:r>
      <w:r>
        <w:t xml:space="preserve"> Automobile Type Approval Handbook for Japanese Certification</w:t>
      </w:r>
    </w:p>
    <w:p w14:paraId="6624352A" w14:textId="77777777" w:rsidR="00644A6B" w:rsidRPr="00D35AB0" w:rsidRDefault="00644A6B" w:rsidP="00644A6B">
      <w:pPr>
        <w:pStyle w:val="SingleTxtG"/>
        <w:spacing w:before="240" w:after="0"/>
        <w:jc w:val="center"/>
        <w:rPr>
          <w:u w:val="single"/>
        </w:rPr>
      </w:pPr>
      <w:r>
        <w:rPr>
          <w:u w:val="single"/>
        </w:rPr>
        <w:tab/>
      </w:r>
      <w:r>
        <w:rPr>
          <w:u w:val="single"/>
        </w:rPr>
        <w:tab/>
      </w:r>
      <w:r>
        <w:rPr>
          <w:u w:val="single"/>
        </w:rPr>
        <w:tab/>
      </w:r>
    </w:p>
    <w:p w14:paraId="446808BE" w14:textId="77777777" w:rsidR="00644A6B" w:rsidRDefault="00644A6B" w:rsidP="0014300E">
      <w:pPr>
        <w:keepNext/>
        <w:keepLines/>
        <w:spacing w:after="120"/>
        <w:ind w:left="1134" w:right="1134"/>
        <w:jc w:val="both"/>
      </w:pPr>
    </w:p>
    <w:sectPr w:rsidR="00644A6B" w:rsidSect="00644A6B">
      <w:headerReference w:type="even" r:id="rId28"/>
      <w:headerReference w:type="default" r:id="rId29"/>
      <w:footerReference w:type="even" r:id="rId30"/>
      <w:footerReference w:type="default" r:id="rId31"/>
      <w:footerReference w:type="first" r:id="rId32"/>
      <w:footnotePr>
        <w:numRestart w:val="eachSect"/>
      </w:footnotePr>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5048A" w14:textId="77777777" w:rsidR="001E55EE" w:rsidRDefault="001E55EE"/>
  </w:endnote>
  <w:endnote w:type="continuationSeparator" w:id="0">
    <w:p w14:paraId="4B3B5A8E" w14:textId="77777777" w:rsidR="001E55EE" w:rsidRDefault="001E55EE"/>
  </w:endnote>
  <w:endnote w:type="continuationNotice" w:id="1">
    <w:p w14:paraId="0E7AE509" w14:textId="77777777" w:rsidR="001E55EE" w:rsidRDefault="001E55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3657A" w14:textId="5F433FF4" w:rsidR="001E55EE" w:rsidRPr="005246A8" w:rsidRDefault="001E55EE">
    <w:pPr>
      <w:pStyle w:val="Footer"/>
      <w:rPr>
        <w:lang w:val="fr-CH"/>
      </w:rPr>
    </w:pPr>
    <w:r w:rsidRPr="00241767">
      <w:rPr>
        <w:b/>
        <w:sz w:val="18"/>
      </w:rPr>
      <w:fldChar w:fldCharType="begin"/>
    </w:r>
    <w:r w:rsidRPr="00241767">
      <w:rPr>
        <w:b/>
        <w:sz w:val="18"/>
      </w:rPr>
      <w:instrText xml:space="preserve"> PAGE  \* MERGEFORMAT </w:instrText>
    </w:r>
    <w:r w:rsidRPr="00241767">
      <w:rPr>
        <w:b/>
        <w:sz w:val="18"/>
      </w:rPr>
      <w:fldChar w:fldCharType="separate"/>
    </w:r>
    <w:r w:rsidR="0029402E">
      <w:rPr>
        <w:b/>
        <w:noProof/>
        <w:sz w:val="18"/>
      </w:rPr>
      <w:t>22</w:t>
    </w:r>
    <w:r w:rsidRPr="00241767">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120354"/>
      <w:docPartObj>
        <w:docPartGallery w:val="Page Numbers (Bottom of Page)"/>
        <w:docPartUnique/>
      </w:docPartObj>
    </w:sdtPr>
    <w:sdtEndPr>
      <w:rPr>
        <w:b/>
        <w:noProof/>
        <w:sz w:val="18"/>
        <w:szCs w:val="18"/>
      </w:rPr>
    </w:sdtEndPr>
    <w:sdtContent>
      <w:p w14:paraId="275CDA9C" w14:textId="2041263F" w:rsidR="001E55EE" w:rsidRPr="005246A8" w:rsidRDefault="001E55EE" w:rsidP="005246A8">
        <w:pPr>
          <w:pStyle w:val="Footer"/>
          <w:jc w:val="right"/>
          <w:rPr>
            <w:b/>
            <w:sz w:val="18"/>
            <w:szCs w:val="18"/>
          </w:rPr>
        </w:pPr>
        <w:r w:rsidRPr="005246A8">
          <w:rPr>
            <w:b/>
            <w:sz w:val="18"/>
            <w:szCs w:val="18"/>
          </w:rPr>
          <w:fldChar w:fldCharType="begin"/>
        </w:r>
        <w:r w:rsidRPr="005246A8">
          <w:rPr>
            <w:b/>
            <w:sz w:val="18"/>
            <w:szCs w:val="18"/>
          </w:rPr>
          <w:instrText xml:space="preserve"> PAGE   \* MERGEFORMAT </w:instrText>
        </w:r>
        <w:r w:rsidRPr="005246A8">
          <w:rPr>
            <w:b/>
            <w:sz w:val="18"/>
            <w:szCs w:val="18"/>
          </w:rPr>
          <w:fldChar w:fldCharType="separate"/>
        </w:r>
        <w:r w:rsidR="0029402E">
          <w:rPr>
            <w:b/>
            <w:noProof/>
            <w:sz w:val="18"/>
            <w:szCs w:val="18"/>
          </w:rPr>
          <w:t>23</w:t>
        </w:r>
        <w:r w:rsidRPr="005246A8">
          <w:rPr>
            <w:b/>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D184F" w14:textId="6B8A7DE4" w:rsidR="001E55EE" w:rsidRPr="005246A8" w:rsidRDefault="001E55EE" w:rsidP="00A37137">
    <w:pPr>
      <w:pStyle w:val="Footer"/>
      <w:jc w:val="right"/>
      <w:rPr>
        <w:lang w:val="fr-CH"/>
      </w:rPr>
    </w:pPr>
    <w:r w:rsidRPr="00241767">
      <w:rPr>
        <w:b/>
        <w:sz w:val="18"/>
      </w:rPr>
      <w:fldChar w:fldCharType="begin"/>
    </w:r>
    <w:r w:rsidRPr="00241767">
      <w:rPr>
        <w:b/>
        <w:sz w:val="18"/>
      </w:rPr>
      <w:instrText xml:space="preserve"> PAGE  \* MERGEFORMAT </w:instrText>
    </w:r>
    <w:r w:rsidRPr="00241767">
      <w:rPr>
        <w:b/>
        <w:sz w:val="18"/>
      </w:rPr>
      <w:fldChar w:fldCharType="separate"/>
    </w:r>
    <w:r w:rsidR="0029402E">
      <w:rPr>
        <w:b/>
        <w:noProof/>
        <w:sz w:val="18"/>
      </w:rPr>
      <w:t>1</w:t>
    </w:r>
    <w:r w:rsidRPr="00241767">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0BCF8" w14:textId="77777777" w:rsidR="001E55EE" w:rsidRPr="000B175B" w:rsidRDefault="001E55EE" w:rsidP="000B175B">
      <w:pPr>
        <w:tabs>
          <w:tab w:val="right" w:pos="2155"/>
        </w:tabs>
        <w:spacing w:after="80"/>
        <w:ind w:left="680"/>
        <w:rPr>
          <w:u w:val="single"/>
        </w:rPr>
      </w:pPr>
      <w:r>
        <w:rPr>
          <w:u w:val="single"/>
        </w:rPr>
        <w:tab/>
      </w:r>
    </w:p>
  </w:footnote>
  <w:footnote w:type="continuationSeparator" w:id="0">
    <w:p w14:paraId="314443E9" w14:textId="77777777" w:rsidR="001E55EE" w:rsidRPr="00FC68B7" w:rsidRDefault="001E55EE" w:rsidP="00FC68B7">
      <w:pPr>
        <w:tabs>
          <w:tab w:val="left" w:pos="2155"/>
        </w:tabs>
        <w:spacing w:after="80"/>
        <w:ind w:left="680"/>
        <w:rPr>
          <w:u w:val="single"/>
        </w:rPr>
      </w:pPr>
      <w:r>
        <w:rPr>
          <w:u w:val="single"/>
        </w:rPr>
        <w:tab/>
      </w:r>
    </w:p>
  </w:footnote>
  <w:footnote w:type="continuationNotice" w:id="1">
    <w:p w14:paraId="200F1ED9" w14:textId="77777777" w:rsidR="001E55EE" w:rsidRDefault="001E55EE"/>
  </w:footnote>
  <w:footnote w:id="2">
    <w:p w14:paraId="52998B7A" w14:textId="7490FD1B" w:rsidR="001E55EE" w:rsidRPr="00FF4688" w:rsidRDefault="001E55EE" w:rsidP="00EC3D61">
      <w:pPr>
        <w:pStyle w:val="FootnoteText"/>
        <w:rPr>
          <w:sz w:val="20"/>
        </w:rPr>
      </w:pPr>
      <w:r>
        <w:rPr>
          <w:sz w:val="20"/>
        </w:rPr>
        <w:tab/>
      </w:r>
      <w:r>
        <w:rPr>
          <w:sz w:val="20"/>
        </w:rPr>
        <w:tab/>
      </w:r>
      <w:r w:rsidRPr="00FF4688">
        <w:rPr>
          <w:rStyle w:val="FootnoteReference"/>
          <w:sz w:val="20"/>
        </w:rPr>
        <w:footnoteRef/>
      </w:r>
      <w:r w:rsidRPr="00FF4688">
        <w:rPr>
          <w:sz w:val="20"/>
        </w:rPr>
        <w:t xml:space="preserve"> See document ECE/TRANS/WP.29/2009/131 at </w:t>
      </w:r>
      <w:hyperlink r:id="rId1" w:history="1">
        <w:r w:rsidRPr="00FF4688">
          <w:rPr>
            <w:rStyle w:val="Hyperlink"/>
            <w:sz w:val="20"/>
          </w:rPr>
          <w:t>http://www.unece.org/fileadmin/DAM/trans/doc/2009/wp29/ECE-TRANS-WP29-2009-131e.pdf</w:t>
        </w:r>
      </w:hyperlink>
      <w:r w:rsidRPr="00FF4688">
        <w:rPr>
          <w:sz w:val="20"/>
        </w:rPr>
        <w:t xml:space="preserve"> </w:t>
      </w:r>
    </w:p>
  </w:footnote>
  <w:footnote w:id="3">
    <w:p w14:paraId="0AE61748" w14:textId="54B6AF8C" w:rsidR="001E55EE" w:rsidRDefault="001E55EE" w:rsidP="0091478A">
      <w:pPr>
        <w:pStyle w:val="FootnoteText"/>
      </w:pPr>
      <w:r>
        <w:tab/>
      </w:r>
      <w:r>
        <w:tab/>
      </w:r>
      <w:r>
        <w:rPr>
          <w:rStyle w:val="FootnoteReference"/>
        </w:rPr>
        <w:footnoteRef/>
      </w:r>
      <w:r>
        <w:t xml:space="preserve"> The UNECE World Forum for Harmonization of Vehicle Regulations (WP.29) is a worldwide regulatory forum within the institutional framework of the UNECE Inland Transport Committee. For more information refer to the UNECE website: </w:t>
      </w:r>
      <w:hyperlink r:id="rId2" w:history="1">
        <w:r w:rsidRPr="00482A40">
          <w:rPr>
            <w:rStyle w:val="Hyperlink"/>
          </w:rPr>
          <w:t>http://www.unece.org/trans/main/wp29/introduction.html</w:t>
        </w:r>
      </w:hyperlink>
      <w:r>
        <w:t xml:space="preserve"> </w:t>
      </w:r>
    </w:p>
    <w:p w14:paraId="6DF989BC" w14:textId="77777777" w:rsidR="001E55EE" w:rsidRDefault="001E55EE" w:rsidP="0091478A">
      <w:pPr>
        <w:pStyle w:val="FootnoteText"/>
      </w:pPr>
    </w:p>
  </w:footnote>
  <w:footnote w:id="4">
    <w:p w14:paraId="540199B0" w14:textId="0150E919" w:rsidR="001E55EE" w:rsidRDefault="001E55EE" w:rsidP="001E55EE">
      <w:pPr>
        <w:pStyle w:val="FootnoteText"/>
      </w:pPr>
      <w:r>
        <w:tab/>
      </w:r>
      <w:r>
        <w:tab/>
      </w:r>
      <w:r>
        <w:rPr>
          <w:rStyle w:val="FootnoteReference"/>
        </w:rPr>
        <w:footnoteRef/>
      </w:r>
      <w:r w:rsidR="00CA6526">
        <w:t xml:space="preserve"> EU Report: </w:t>
      </w:r>
      <w:r w:rsidR="00CA6526" w:rsidRPr="0087221E">
        <w:rPr>
          <w:iCs/>
        </w:rPr>
        <w:t>"</w:t>
      </w:r>
      <w:r w:rsidRPr="00FD332F">
        <w:t>Joint EUCAR/JRC/CONCAWE Study on: Effects of Gasoline Vapour Pressure and Ethanol Content on Evaporative Emissions from Modern Cars, Institute for Environment and Sustainability</w:t>
      </w:r>
      <w:r w:rsidR="00CA6526" w:rsidRPr="0087221E">
        <w:rPr>
          <w:iCs/>
        </w:rPr>
        <w:t>"</w:t>
      </w:r>
      <w:r w:rsidRPr="00FD332F">
        <w:t>, 2007, EUR 22713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B522C" w14:textId="554A0B4F" w:rsidR="001E55EE" w:rsidRPr="00F35E79" w:rsidRDefault="001E55EE" w:rsidP="00646232">
    <w:pPr>
      <w:pStyle w:val="Header"/>
      <w:rPr>
        <w:lang w:val="en-US"/>
      </w:rPr>
    </w:pPr>
    <w:r>
      <w:rPr>
        <w:lang w:val="en-US"/>
      </w:rPr>
      <w:t>ECE/TRANS/WP.29/GRPE/74/Add.2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6D551" w14:textId="50A2A20D" w:rsidR="001E55EE" w:rsidRPr="00F35E79" w:rsidRDefault="001E55EE" w:rsidP="00F35E79">
    <w:pPr>
      <w:pStyle w:val="Header"/>
      <w:jc w:val="right"/>
      <w:rPr>
        <w:lang w:val="en-US"/>
      </w:rPr>
    </w:pPr>
    <w:r w:rsidRPr="00F35E79">
      <w:rPr>
        <w:lang w:val="en-US"/>
      </w:rPr>
      <w:t>E</w:t>
    </w:r>
    <w:r>
      <w:rPr>
        <w:lang w:val="en-US"/>
      </w:rPr>
      <w:t>CE/TRANS/WP.29/GRPE/74/Add.2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295"/>
    <w:multiLevelType w:val="hybridMultilevel"/>
    <w:tmpl w:val="558AE13C"/>
    <w:lvl w:ilvl="0" w:tplc="04130017">
      <w:start w:val="1"/>
      <w:numFmt w:val="lowerLetter"/>
      <w:lvlText w:val="%1)"/>
      <w:lvlJc w:val="left"/>
      <w:pPr>
        <w:ind w:left="360" w:hanging="360"/>
      </w:pPr>
    </w:lvl>
    <w:lvl w:ilvl="1" w:tplc="0413001B">
      <w:start w:val="1"/>
      <w:numFmt w:val="lowerRoman"/>
      <w:lvlText w:val="%2."/>
      <w:lvlJc w:val="righ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3170993"/>
    <w:multiLevelType w:val="hybridMultilevel"/>
    <w:tmpl w:val="0860C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92A0B61"/>
    <w:multiLevelType w:val="hybridMultilevel"/>
    <w:tmpl w:val="9C8E76C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
    <w:nsid w:val="19AB6877"/>
    <w:multiLevelType w:val="hybridMultilevel"/>
    <w:tmpl w:val="9D2ABED6"/>
    <w:lvl w:ilvl="0" w:tplc="BA3282DC">
      <w:start w:val="1"/>
      <w:numFmt w:val="decimal"/>
      <w:lvlText w:val="%1."/>
      <w:lvlJc w:val="left"/>
      <w:pPr>
        <w:ind w:left="720" w:hanging="360"/>
      </w:pPr>
      <w:rPr>
        <w:vertAlign w:val="superscrip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24B861A1"/>
    <w:multiLevelType w:val="hybridMultilevel"/>
    <w:tmpl w:val="43BA8A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4CD7419"/>
    <w:multiLevelType w:val="hybridMultilevel"/>
    <w:tmpl w:val="8266F2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70D524E"/>
    <w:multiLevelType w:val="hybridMultilevel"/>
    <w:tmpl w:val="63F641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099227C"/>
    <w:multiLevelType w:val="hybridMultilevel"/>
    <w:tmpl w:val="543AA3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1B1221F"/>
    <w:multiLevelType w:val="hybridMultilevel"/>
    <w:tmpl w:val="7D6E5C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2C61484"/>
    <w:multiLevelType w:val="hybridMultilevel"/>
    <w:tmpl w:val="6FA0C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36267D95"/>
    <w:multiLevelType w:val="hybridMultilevel"/>
    <w:tmpl w:val="1EC4B1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B3653D9"/>
    <w:multiLevelType w:val="hybridMultilevel"/>
    <w:tmpl w:val="BC84A622"/>
    <w:lvl w:ilvl="0" w:tplc="04070001">
      <w:start w:val="1"/>
      <w:numFmt w:val="bullet"/>
      <w:lvlText w:val=""/>
      <w:lvlJc w:val="left"/>
      <w:pPr>
        <w:ind w:left="720" w:hanging="360"/>
      </w:pPr>
      <w:rPr>
        <w:rFonts w:ascii="Symbol" w:hAnsi="Symbol" w:hint="default"/>
      </w:rPr>
    </w:lvl>
    <w:lvl w:ilvl="1" w:tplc="3412EC7A">
      <w:start w:val="1"/>
      <w:numFmt w:val="decimal"/>
      <w:lvlText w:val="%2."/>
      <w:lvlJc w:val="left"/>
      <w:pPr>
        <w:ind w:left="1440" w:hanging="360"/>
      </w:pPr>
      <w:rPr>
        <w:rFonts w:hint="default"/>
      </w:rPr>
    </w:lvl>
    <w:lvl w:ilvl="2" w:tplc="E294C716">
      <w:start w:val="1"/>
      <w:numFmt w:val="lowerLetter"/>
      <w:lvlText w:val="%3)"/>
      <w:lvlJc w:val="left"/>
      <w:pPr>
        <w:ind w:left="2160" w:hanging="360"/>
      </w:pPr>
      <w:rPr>
        <w:rFont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C62823"/>
    <w:multiLevelType w:val="hybridMultilevel"/>
    <w:tmpl w:val="25407A7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nsid w:val="45AC2C43"/>
    <w:multiLevelType w:val="hybridMultilevel"/>
    <w:tmpl w:val="91E213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3D434C7"/>
    <w:multiLevelType w:val="hybridMultilevel"/>
    <w:tmpl w:val="03E850F4"/>
    <w:lvl w:ilvl="0" w:tplc="04130017">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18">
    <w:nsid w:val="6AE764B7"/>
    <w:multiLevelType w:val="hybridMultilevel"/>
    <w:tmpl w:val="3B581C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6E824DA2"/>
    <w:multiLevelType w:val="hybridMultilevel"/>
    <w:tmpl w:val="F00220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3375245"/>
    <w:multiLevelType w:val="hybridMultilevel"/>
    <w:tmpl w:val="B1C0AC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2">
    <w:nsid w:val="77C4597F"/>
    <w:multiLevelType w:val="hybridMultilevel"/>
    <w:tmpl w:val="436862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7"/>
  </w:num>
  <w:num w:numId="2">
    <w:abstractNumId w:val="21"/>
  </w:num>
  <w:num w:numId="3">
    <w:abstractNumId w:val="16"/>
  </w:num>
  <w:num w:numId="4">
    <w:abstractNumId w:val="14"/>
  </w:num>
  <w:num w:numId="5">
    <w:abstractNumId w:val="9"/>
  </w:num>
  <w:num w:numId="6">
    <w:abstractNumId w:val="13"/>
  </w:num>
  <w:num w:numId="7">
    <w:abstractNumId w:val="4"/>
  </w:num>
  <w:num w:numId="8">
    <w:abstractNumId w:val="19"/>
  </w:num>
  <w:num w:numId="9">
    <w:abstractNumId w:val="20"/>
  </w:num>
  <w:num w:numId="10">
    <w:abstractNumId w:val="10"/>
  </w:num>
  <w:num w:numId="11">
    <w:abstractNumId w:val="5"/>
  </w:num>
  <w:num w:numId="12">
    <w:abstractNumId w:val="22"/>
  </w:num>
  <w:num w:numId="13">
    <w:abstractNumId w:val="7"/>
  </w:num>
  <w:num w:numId="14">
    <w:abstractNumId w:val="8"/>
  </w:num>
  <w:num w:numId="15">
    <w:abstractNumId w:val="18"/>
  </w:num>
  <w:num w:numId="16">
    <w:abstractNumId w:val="1"/>
  </w:num>
  <w:num w:numId="17">
    <w:abstractNumId w:val="6"/>
  </w:num>
  <w:num w:numId="18">
    <w:abstractNumId w:val="11"/>
  </w:num>
  <w:num w:numId="19">
    <w:abstractNumId w:val="1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it-IT" w:vendorID="64" w:dllVersion="131078" w:nlCheck="1" w:checkStyle="0"/>
  <w:activeWritingStyle w:appName="MSWord" w:lang="es-ES" w:vendorID="64" w:dllVersion="131078" w:nlCheck="1" w:checkStyle="1"/>
  <w:activeWritingStyle w:appName="MSWord" w:lang="es-AR" w:vendorID="64" w:dllVersion="131078" w:nlCheck="1" w:checkStyle="1"/>
  <w:activeWritingStyle w:appName="MSWord" w:lang="en-I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481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767"/>
    <w:rsid w:val="000002D0"/>
    <w:rsid w:val="00000434"/>
    <w:rsid w:val="00000EB1"/>
    <w:rsid w:val="00001547"/>
    <w:rsid w:val="00001CA1"/>
    <w:rsid w:val="0000260C"/>
    <w:rsid w:val="000026B9"/>
    <w:rsid w:val="000027D0"/>
    <w:rsid w:val="000027D4"/>
    <w:rsid w:val="00002A7D"/>
    <w:rsid w:val="00002FED"/>
    <w:rsid w:val="000030EE"/>
    <w:rsid w:val="000038A8"/>
    <w:rsid w:val="00003DBB"/>
    <w:rsid w:val="00003FA4"/>
    <w:rsid w:val="000040E6"/>
    <w:rsid w:val="000040F3"/>
    <w:rsid w:val="0000458C"/>
    <w:rsid w:val="000049EB"/>
    <w:rsid w:val="00004C11"/>
    <w:rsid w:val="00004CE0"/>
    <w:rsid w:val="00004E9E"/>
    <w:rsid w:val="000057E6"/>
    <w:rsid w:val="00005A71"/>
    <w:rsid w:val="00005D6A"/>
    <w:rsid w:val="00005F9C"/>
    <w:rsid w:val="0000619A"/>
    <w:rsid w:val="00006226"/>
    <w:rsid w:val="00006790"/>
    <w:rsid w:val="00006BC9"/>
    <w:rsid w:val="00006E5D"/>
    <w:rsid w:val="000071C8"/>
    <w:rsid w:val="000073E6"/>
    <w:rsid w:val="0000784C"/>
    <w:rsid w:val="00007ADD"/>
    <w:rsid w:val="0001019F"/>
    <w:rsid w:val="00010487"/>
    <w:rsid w:val="000107CB"/>
    <w:rsid w:val="0001084C"/>
    <w:rsid w:val="0001095A"/>
    <w:rsid w:val="00010E2C"/>
    <w:rsid w:val="000112FA"/>
    <w:rsid w:val="00011D98"/>
    <w:rsid w:val="00011DE7"/>
    <w:rsid w:val="00013114"/>
    <w:rsid w:val="00013E48"/>
    <w:rsid w:val="00013E6D"/>
    <w:rsid w:val="000153E5"/>
    <w:rsid w:val="00015FC3"/>
    <w:rsid w:val="0001645C"/>
    <w:rsid w:val="000164B3"/>
    <w:rsid w:val="000166A6"/>
    <w:rsid w:val="00016BB3"/>
    <w:rsid w:val="00016F41"/>
    <w:rsid w:val="0001727F"/>
    <w:rsid w:val="0001751C"/>
    <w:rsid w:val="00017C80"/>
    <w:rsid w:val="0002009B"/>
    <w:rsid w:val="00020306"/>
    <w:rsid w:val="000215CA"/>
    <w:rsid w:val="00021650"/>
    <w:rsid w:val="00021CFE"/>
    <w:rsid w:val="000225BB"/>
    <w:rsid w:val="000225FC"/>
    <w:rsid w:val="00022724"/>
    <w:rsid w:val="00022C9A"/>
    <w:rsid w:val="000233C6"/>
    <w:rsid w:val="0002375A"/>
    <w:rsid w:val="00023B0C"/>
    <w:rsid w:val="00023C34"/>
    <w:rsid w:val="00023F37"/>
    <w:rsid w:val="0002404A"/>
    <w:rsid w:val="00024310"/>
    <w:rsid w:val="00024787"/>
    <w:rsid w:val="00024842"/>
    <w:rsid w:val="00024FD3"/>
    <w:rsid w:val="0002506F"/>
    <w:rsid w:val="000270FF"/>
    <w:rsid w:val="00027624"/>
    <w:rsid w:val="00027DCC"/>
    <w:rsid w:val="000302B2"/>
    <w:rsid w:val="00030760"/>
    <w:rsid w:val="00030D33"/>
    <w:rsid w:val="000312F2"/>
    <w:rsid w:val="000317E5"/>
    <w:rsid w:val="0003230F"/>
    <w:rsid w:val="00032D9C"/>
    <w:rsid w:val="00032F18"/>
    <w:rsid w:val="00033656"/>
    <w:rsid w:val="0003371B"/>
    <w:rsid w:val="000337D1"/>
    <w:rsid w:val="000337F8"/>
    <w:rsid w:val="00033A89"/>
    <w:rsid w:val="00033C1E"/>
    <w:rsid w:val="00034226"/>
    <w:rsid w:val="0003428D"/>
    <w:rsid w:val="00034488"/>
    <w:rsid w:val="00034A1E"/>
    <w:rsid w:val="00034DCF"/>
    <w:rsid w:val="00035550"/>
    <w:rsid w:val="000356D5"/>
    <w:rsid w:val="00035BF5"/>
    <w:rsid w:val="00036693"/>
    <w:rsid w:val="00036791"/>
    <w:rsid w:val="00036927"/>
    <w:rsid w:val="00036973"/>
    <w:rsid w:val="00037AF6"/>
    <w:rsid w:val="00037BED"/>
    <w:rsid w:val="00037E1F"/>
    <w:rsid w:val="00037E34"/>
    <w:rsid w:val="00040438"/>
    <w:rsid w:val="00040A30"/>
    <w:rsid w:val="000412D4"/>
    <w:rsid w:val="00042417"/>
    <w:rsid w:val="00042674"/>
    <w:rsid w:val="000431AD"/>
    <w:rsid w:val="00043742"/>
    <w:rsid w:val="0004378A"/>
    <w:rsid w:val="00043B9E"/>
    <w:rsid w:val="00043D72"/>
    <w:rsid w:val="0004401C"/>
    <w:rsid w:val="00044B38"/>
    <w:rsid w:val="00044C20"/>
    <w:rsid w:val="00045401"/>
    <w:rsid w:val="000461FE"/>
    <w:rsid w:val="00046A55"/>
    <w:rsid w:val="00046F92"/>
    <w:rsid w:val="00047998"/>
    <w:rsid w:val="00047BF5"/>
    <w:rsid w:val="000505EB"/>
    <w:rsid w:val="00050F6B"/>
    <w:rsid w:val="0005140E"/>
    <w:rsid w:val="00051AF4"/>
    <w:rsid w:val="00051B04"/>
    <w:rsid w:val="000538A5"/>
    <w:rsid w:val="00053B63"/>
    <w:rsid w:val="00053E3A"/>
    <w:rsid w:val="00053F50"/>
    <w:rsid w:val="0005400C"/>
    <w:rsid w:val="00054639"/>
    <w:rsid w:val="0005475F"/>
    <w:rsid w:val="0005556B"/>
    <w:rsid w:val="000555A6"/>
    <w:rsid w:val="000555F1"/>
    <w:rsid w:val="00055703"/>
    <w:rsid w:val="00055818"/>
    <w:rsid w:val="00056A57"/>
    <w:rsid w:val="00056B14"/>
    <w:rsid w:val="00056C60"/>
    <w:rsid w:val="00056E9A"/>
    <w:rsid w:val="000602EE"/>
    <w:rsid w:val="000606B1"/>
    <w:rsid w:val="00060F77"/>
    <w:rsid w:val="000610E3"/>
    <w:rsid w:val="0006234E"/>
    <w:rsid w:val="00063642"/>
    <w:rsid w:val="000636C7"/>
    <w:rsid w:val="00063887"/>
    <w:rsid w:val="00063B20"/>
    <w:rsid w:val="00063D15"/>
    <w:rsid w:val="00063FB9"/>
    <w:rsid w:val="000642B7"/>
    <w:rsid w:val="00064753"/>
    <w:rsid w:val="00064B8A"/>
    <w:rsid w:val="00065332"/>
    <w:rsid w:val="00065C0B"/>
    <w:rsid w:val="00065CA3"/>
    <w:rsid w:val="00066063"/>
    <w:rsid w:val="0006642B"/>
    <w:rsid w:val="00066487"/>
    <w:rsid w:val="00066D3C"/>
    <w:rsid w:val="00066E30"/>
    <w:rsid w:val="0006744D"/>
    <w:rsid w:val="000676F7"/>
    <w:rsid w:val="000678CD"/>
    <w:rsid w:val="00067E05"/>
    <w:rsid w:val="0007053C"/>
    <w:rsid w:val="000708B2"/>
    <w:rsid w:val="000714C6"/>
    <w:rsid w:val="0007187C"/>
    <w:rsid w:val="00071D41"/>
    <w:rsid w:val="00072C8C"/>
    <w:rsid w:val="0007353D"/>
    <w:rsid w:val="00073561"/>
    <w:rsid w:val="00073DF4"/>
    <w:rsid w:val="0007431A"/>
    <w:rsid w:val="00074355"/>
    <w:rsid w:val="000743AD"/>
    <w:rsid w:val="000744BB"/>
    <w:rsid w:val="000744E2"/>
    <w:rsid w:val="00074B5F"/>
    <w:rsid w:val="00074E24"/>
    <w:rsid w:val="00075486"/>
    <w:rsid w:val="00075723"/>
    <w:rsid w:val="0007720A"/>
    <w:rsid w:val="0007732F"/>
    <w:rsid w:val="00077787"/>
    <w:rsid w:val="00077BF5"/>
    <w:rsid w:val="00077C55"/>
    <w:rsid w:val="00080612"/>
    <w:rsid w:val="0008061A"/>
    <w:rsid w:val="00080FB7"/>
    <w:rsid w:val="000810EB"/>
    <w:rsid w:val="00081C44"/>
    <w:rsid w:val="00081CE0"/>
    <w:rsid w:val="00081E2F"/>
    <w:rsid w:val="00082126"/>
    <w:rsid w:val="00082597"/>
    <w:rsid w:val="00082E64"/>
    <w:rsid w:val="00083391"/>
    <w:rsid w:val="000834B3"/>
    <w:rsid w:val="00083ADC"/>
    <w:rsid w:val="00083E5B"/>
    <w:rsid w:val="000840E7"/>
    <w:rsid w:val="00084552"/>
    <w:rsid w:val="0008467A"/>
    <w:rsid w:val="00084915"/>
    <w:rsid w:val="00084D30"/>
    <w:rsid w:val="0008561A"/>
    <w:rsid w:val="00085708"/>
    <w:rsid w:val="00086EF3"/>
    <w:rsid w:val="00087650"/>
    <w:rsid w:val="00087CB1"/>
    <w:rsid w:val="00090320"/>
    <w:rsid w:val="00090473"/>
    <w:rsid w:val="0009054E"/>
    <w:rsid w:val="00090757"/>
    <w:rsid w:val="000907A4"/>
    <w:rsid w:val="00090A9E"/>
    <w:rsid w:val="00090D6E"/>
    <w:rsid w:val="00090EC1"/>
    <w:rsid w:val="00091FE0"/>
    <w:rsid w:val="00092BB1"/>
    <w:rsid w:val="000931C0"/>
    <w:rsid w:val="0009386E"/>
    <w:rsid w:val="000942A4"/>
    <w:rsid w:val="00094340"/>
    <w:rsid w:val="0009462D"/>
    <w:rsid w:val="0009499A"/>
    <w:rsid w:val="00094AE5"/>
    <w:rsid w:val="00095647"/>
    <w:rsid w:val="00095C48"/>
    <w:rsid w:val="00095E38"/>
    <w:rsid w:val="00096096"/>
    <w:rsid w:val="000964DF"/>
    <w:rsid w:val="00096718"/>
    <w:rsid w:val="00096DE7"/>
    <w:rsid w:val="000977E0"/>
    <w:rsid w:val="000979AA"/>
    <w:rsid w:val="000A027E"/>
    <w:rsid w:val="000A0A64"/>
    <w:rsid w:val="000A0DEB"/>
    <w:rsid w:val="000A12C9"/>
    <w:rsid w:val="000A1379"/>
    <w:rsid w:val="000A14AA"/>
    <w:rsid w:val="000A16C3"/>
    <w:rsid w:val="000A19F7"/>
    <w:rsid w:val="000A1A2D"/>
    <w:rsid w:val="000A1A7A"/>
    <w:rsid w:val="000A232A"/>
    <w:rsid w:val="000A2E09"/>
    <w:rsid w:val="000A3545"/>
    <w:rsid w:val="000A4594"/>
    <w:rsid w:val="000A4D68"/>
    <w:rsid w:val="000A4E1B"/>
    <w:rsid w:val="000A5053"/>
    <w:rsid w:val="000A54F8"/>
    <w:rsid w:val="000A67B7"/>
    <w:rsid w:val="000A6F07"/>
    <w:rsid w:val="000A740B"/>
    <w:rsid w:val="000A7F3D"/>
    <w:rsid w:val="000B0234"/>
    <w:rsid w:val="000B0540"/>
    <w:rsid w:val="000B1032"/>
    <w:rsid w:val="000B175B"/>
    <w:rsid w:val="000B184B"/>
    <w:rsid w:val="000B197A"/>
    <w:rsid w:val="000B1D44"/>
    <w:rsid w:val="000B1E3E"/>
    <w:rsid w:val="000B2B1F"/>
    <w:rsid w:val="000B2FD9"/>
    <w:rsid w:val="000B33D6"/>
    <w:rsid w:val="000B3A06"/>
    <w:rsid w:val="000B3A0F"/>
    <w:rsid w:val="000B414F"/>
    <w:rsid w:val="000B4B27"/>
    <w:rsid w:val="000B4EE3"/>
    <w:rsid w:val="000B549B"/>
    <w:rsid w:val="000B5FA4"/>
    <w:rsid w:val="000B62A3"/>
    <w:rsid w:val="000B73EC"/>
    <w:rsid w:val="000C16DB"/>
    <w:rsid w:val="000C1C45"/>
    <w:rsid w:val="000C28B3"/>
    <w:rsid w:val="000C2C68"/>
    <w:rsid w:val="000C364F"/>
    <w:rsid w:val="000C3655"/>
    <w:rsid w:val="000C3A50"/>
    <w:rsid w:val="000C3BE7"/>
    <w:rsid w:val="000C3F7E"/>
    <w:rsid w:val="000C4049"/>
    <w:rsid w:val="000C4228"/>
    <w:rsid w:val="000C6190"/>
    <w:rsid w:val="000C677F"/>
    <w:rsid w:val="000C6795"/>
    <w:rsid w:val="000C6DF8"/>
    <w:rsid w:val="000C70A8"/>
    <w:rsid w:val="000C7A45"/>
    <w:rsid w:val="000D0CE0"/>
    <w:rsid w:val="000D1BBC"/>
    <w:rsid w:val="000D1CCD"/>
    <w:rsid w:val="000D2955"/>
    <w:rsid w:val="000D2E0E"/>
    <w:rsid w:val="000D3823"/>
    <w:rsid w:val="000D3953"/>
    <w:rsid w:val="000D406E"/>
    <w:rsid w:val="000D4838"/>
    <w:rsid w:val="000D4A94"/>
    <w:rsid w:val="000D4DFC"/>
    <w:rsid w:val="000D5170"/>
    <w:rsid w:val="000D5777"/>
    <w:rsid w:val="000D5C6C"/>
    <w:rsid w:val="000D613D"/>
    <w:rsid w:val="000D64AB"/>
    <w:rsid w:val="000D67F0"/>
    <w:rsid w:val="000D6B2B"/>
    <w:rsid w:val="000D6D50"/>
    <w:rsid w:val="000D6F35"/>
    <w:rsid w:val="000D6F41"/>
    <w:rsid w:val="000D7683"/>
    <w:rsid w:val="000D7831"/>
    <w:rsid w:val="000D79A1"/>
    <w:rsid w:val="000D7C5F"/>
    <w:rsid w:val="000D7E9C"/>
    <w:rsid w:val="000E02A5"/>
    <w:rsid w:val="000E0415"/>
    <w:rsid w:val="000E07DA"/>
    <w:rsid w:val="000E0808"/>
    <w:rsid w:val="000E0DC6"/>
    <w:rsid w:val="000E13C0"/>
    <w:rsid w:val="000E1418"/>
    <w:rsid w:val="000E1694"/>
    <w:rsid w:val="000E17B9"/>
    <w:rsid w:val="000E1DCB"/>
    <w:rsid w:val="000E1DE9"/>
    <w:rsid w:val="000E2036"/>
    <w:rsid w:val="000E21D1"/>
    <w:rsid w:val="000E2265"/>
    <w:rsid w:val="000E287C"/>
    <w:rsid w:val="000E2B23"/>
    <w:rsid w:val="000E2BC1"/>
    <w:rsid w:val="000E2EE3"/>
    <w:rsid w:val="000E3456"/>
    <w:rsid w:val="000E38D5"/>
    <w:rsid w:val="000E3BC9"/>
    <w:rsid w:val="000E3F88"/>
    <w:rsid w:val="000E43BD"/>
    <w:rsid w:val="000E48B8"/>
    <w:rsid w:val="000E52D8"/>
    <w:rsid w:val="000E57B7"/>
    <w:rsid w:val="000E6539"/>
    <w:rsid w:val="000E6836"/>
    <w:rsid w:val="000E6FE5"/>
    <w:rsid w:val="000E739D"/>
    <w:rsid w:val="000E73AA"/>
    <w:rsid w:val="000E73B9"/>
    <w:rsid w:val="000E76DD"/>
    <w:rsid w:val="000E76E6"/>
    <w:rsid w:val="000E784B"/>
    <w:rsid w:val="000E7C1D"/>
    <w:rsid w:val="000F0107"/>
    <w:rsid w:val="000F02D2"/>
    <w:rsid w:val="000F0761"/>
    <w:rsid w:val="000F19F6"/>
    <w:rsid w:val="000F1E21"/>
    <w:rsid w:val="000F2706"/>
    <w:rsid w:val="000F2C72"/>
    <w:rsid w:val="000F2F40"/>
    <w:rsid w:val="000F402E"/>
    <w:rsid w:val="000F45B3"/>
    <w:rsid w:val="000F4625"/>
    <w:rsid w:val="000F4A25"/>
    <w:rsid w:val="000F4BEB"/>
    <w:rsid w:val="000F4F7D"/>
    <w:rsid w:val="000F5294"/>
    <w:rsid w:val="000F52B7"/>
    <w:rsid w:val="000F58D0"/>
    <w:rsid w:val="000F5AA6"/>
    <w:rsid w:val="000F5BEB"/>
    <w:rsid w:val="000F5E16"/>
    <w:rsid w:val="000F677E"/>
    <w:rsid w:val="000F6B02"/>
    <w:rsid w:val="000F7182"/>
    <w:rsid w:val="000F71BD"/>
    <w:rsid w:val="000F7523"/>
    <w:rsid w:val="000F7715"/>
    <w:rsid w:val="000F78DC"/>
    <w:rsid w:val="000F794E"/>
    <w:rsid w:val="000F7D40"/>
    <w:rsid w:val="001008AA"/>
    <w:rsid w:val="00100AD9"/>
    <w:rsid w:val="00100F99"/>
    <w:rsid w:val="00101045"/>
    <w:rsid w:val="00101241"/>
    <w:rsid w:val="001012B2"/>
    <w:rsid w:val="00101D67"/>
    <w:rsid w:val="00101E69"/>
    <w:rsid w:val="00102461"/>
    <w:rsid w:val="001031F3"/>
    <w:rsid w:val="001039D3"/>
    <w:rsid w:val="001040D2"/>
    <w:rsid w:val="00104FAC"/>
    <w:rsid w:val="001050E0"/>
    <w:rsid w:val="00105A52"/>
    <w:rsid w:val="00105C79"/>
    <w:rsid w:val="001065DF"/>
    <w:rsid w:val="00107A3E"/>
    <w:rsid w:val="00107D1C"/>
    <w:rsid w:val="0011030D"/>
    <w:rsid w:val="001107B6"/>
    <w:rsid w:val="00110FFA"/>
    <w:rsid w:val="0011100B"/>
    <w:rsid w:val="00111207"/>
    <w:rsid w:val="00111269"/>
    <w:rsid w:val="0011159C"/>
    <w:rsid w:val="001116A1"/>
    <w:rsid w:val="00111B81"/>
    <w:rsid w:val="00111C14"/>
    <w:rsid w:val="00111CEA"/>
    <w:rsid w:val="00111D9C"/>
    <w:rsid w:val="0011204C"/>
    <w:rsid w:val="00112601"/>
    <w:rsid w:val="00112D68"/>
    <w:rsid w:val="0011304C"/>
    <w:rsid w:val="001132F3"/>
    <w:rsid w:val="001133FA"/>
    <w:rsid w:val="00113D03"/>
    <w:rsid w:val="00113F80"/>
    <w:rsid w:val="0011418F"/>
    <w:rsid w:val="001145AA"/>
    <w:rsid w:val="00114B10"/>
    <w:rsid w:val="00114CFE"/>
    <w:rsid w:val="00114D98"/>
    <w:rsid w:val="00115357"/>
    <w:rsid w:val="00115681"/>
    <w:rsid w:val="00115E8B"/>
    <w:rsid w:val="001161E1"/>
    <w:rsid w:val="001161E9"/>
    <w:rsid w:val="0011643F"/>
    <w:rsid w:val="00116D26"/>
    <w:rsid w:val="00116FAA"/>
    <w:rsid w:val="00117409"/>
    <w:rsid w:val="00117A64"/>
    <w:rsid w:val="00117EBC"/>
    <w:rsid w:val="001205EF"/>
    <w:rsid w:val="00120F2B"/>
    <w:rsid w:val="00121AEA"/>
    <w:rsid w:val="00121DBD"/>
    <w:rsid w:val="0012202F"/>
    <w:rsid w:val="00122418"/>
    <w:rsid w:val="00122714"/>
    <w:rsid w:val="001229C7"/>
    <w:rsid w:val="00122CEB"/>
    <w:rsid w:val="001233D4"/>
    <w:rsid w:val="00123AA9"/>
    <w:rsid w:val="001241A6"/>
    <w:rsid w:val="00124355"/>
    <w:rsid w:val="00124E58"/>
    <w:rsid w:val="00124FA3"/>
    <w:rsid w:val="00125453"/>
    <w:rsid w:val="001258D1"/>
    <w:rsid w:val="00125F63"/>
    <w:rsid w:val="001264DF"/>
    <w:rsid w:val="001264E3"/>
    <w:rsid w:val="00126943"/>
    <w:rsid w:val="00127C4C"/>
    <w:rsid w:val="00130882"/>
    <w:rsid w:val="00130D4C"/>
    <w:rsid w:val="00130F28"/>
    <w:rsid w:val="00131738"/>
    <w:rsid w:val="00131AD5"/>
    <w:rsid w:val="00131DCE"/>
    <w:rsid w:val="0013279D"/>
    <w:rsid w:val="00132E77"/>
    <w:rsid w:val="0013329A"/>
    <w:rsid w:val="0013348D"/>
    <w:rsid w:val="00133B8B"/>
    <w:rsid w:val="00134DB9"/>
    <w:rsid w:val="00135AAF"/>
    <w:rsid w:val="00136110"/>
    <w:rsid w:val="0013634F"/>
    <w:rsid w:val="001364B3"/>
    <w:rsid w:val="0013693B"/>
    <w:rsid w:val="00136ACE"/>
    <w:rsid w:val="0013715F"/>
    <w:rsid w:val="00137780"/>
    <w:rsid w:val="001378C3"/>
    <w:rsid w:val="00137A72"/>
    <w:rsid w:val="00140682"/>
    <w:rsid w:val="00140A6F"/>
    <w:rsid w:val="00140BBD"/>
    <w:rsid w:val="00140D46"/>
    <w:rsid w:val="00141278"/>
    <w:rsid w:val="001415B3"/>
    <w:rsid w:val="0014175F"/>
    <w:rsid w:val="00141FB3"/>
    <w:rsid w:val="00142852"/>
    <w:rsid w:val="00142C6D"/>
    <w:rsid w:val="00142E54"/>
    <w:rsid w:val="0014300E"/>
    <w:rsid w:val="001433F0"/>
    <w:rsid w:val="001433F8"/>
    <w:rsid w:val="00143F89"/>
    <w:rsid w:val="00144902"/>
    <w:rsid w:val="00144B6B"/>
    <w:rsid w:val="00144F1E"/>
    <w:rsid w:val="00145292"/>
    <w:rsid w:val="001452FC"/>
    <w:rsid w:val="0014533A"/>
    <w:rsid w:val="00146584"/>
    <w:rsid w:val="001467ED"/>
    <w:rsid w:val="00146CAD"/>
    <w:rsid w:val="00146DC5"/>
    <w:rsid w:val="0014709C"/>
    <w:rsid w:val="001473AA"/>
    <w:rsid w:val="001474BF"/>
    <w:rsid w:val="00147AE2"/>
    <w:rsid w:val="00150A7E"/>
    <w:rsid w:val="00151CA2"/>
    <w:rsid w:val="00152A61"/>
    <w:rsid w:val="00153872"/>
    <w:rsid w:val="001539FB"/>
    <w:rsid w:val="00153BAF"/>
    <w:rsid w:val="00153C13"/>
    <w:rsid w:val="00153F0C"/>
    <w:rsid w:val="001543AA"/>
    <w:rsid w:val="0015542A"/>
    <w:rsid w:val="00155736"/>
    <w:rsid w:val="001563A5"/>
    <w:rsid w:val="001563F7"/>
    <w:rsid w:val="00156550"/>
    <w:rsid w:val="00156B99"/>
    <w:rsid w:val="00156FD1"/>
    <w:rsid w:val="00157028"/>
    <w:rsid w:val="00157160"/>
    <w:rsid w:val="001575EE"/>
    <w:rsid w:val="001578D7"/>
    <w:rsid w:val="00157D03"/>
    <w:rsid w:val="001600D5"/>
    <w:rsid w:val="001600FE"/>
    <w:rsid w:val="0016032D"/>
    <w:rsid w:val="00160564"/>
    <w:rsid w:val="00161045"/>
    <w:rsid w:val="001620D8"/>
    <w:rsid w:val="00162684"/>
    <w:rsid w:val="00162744"/>
    <w:rsid w:val="00162FDC"/>
    <w:rsid w:val="0016305B"/>
    <w:rsid w:val="00163F09"/>
    <w:rsid w:val="001643E6"/>
    <w:rsid w:val="001649D6"/>
    <w:rsid w:val="00164ACA"/>
    <w:rsid w:val="0016505A"/>
    <w:rsid w:val="001660E2"/>
    <w:rsid w:val="00166124"/>
    <w:rsid w:val="001663C5"/>
    <w:rsid w:val="00166AF3"/>
    <w:rsid w:val="00166B56"/>
    <w:rsid w:val="001671D9"/>
    <w:rsid w:val="00167480"/>
    <w:rsid w:val="00167BE1"/>
    <w:rsid w:val="00167E02"/>
    <w:rsid w:val="00167E6B"/>
    <w:rsid w:val="00170136"/>
    <w:rsid w:val="0017018E"/>
    <w:rsid w:val="001706EC"/>
    <w:rsid w:val="00170D20"/>
    <w:rsid w:val="001710AF"/>
    <w:rsid w:val="00171AE3"/>
    <w:rsid w:val="00171CB5"/>
    <w:rsid w:val="00172683"/>
    <w:rsid w:val="001732CA"/>
    <w:rsid w:val="0017373E"/>
    <w:rsid w:val="00173C86"/>
    <w:rsid w:val="00173F70"/>
    <w:rsid w:val="001749AE"/>
    <w:rsid w:val="00174C70"/>
    <w:rsid w:val="00174EC2"/>
    <w:rsid w:val="00175442"/>
    <w:rsid w:val="001755B7"/>
    <w:rsid w:val="001768CB"/>
    <w:rsid w:val="00176916"/>
    <w:rsid w:val="00176C80"/>
    <w:rsid w:val="00176FD1"/>
    <w:rsid w:val="001771EB"/>
    <w:rsid w:val="00177247"/>
    <w:rsid w:val="001776FE"/>
    <w:rsid w:val="00177B88"/>
    <w:rsid w:val="00180676"/>
    <w:rsid w:val="00180B22"/>
    <w:rsid w:val="00180C4B"/>
    <w:rsid w:val="00180E13"/>
    <w:rsid w:val="001810F9"/>
    <w:rsid w:val="00181587"/>
    <w:rsid w:val="00181BBE"/>
    <w:rsid w:val="0018243B"/>
    <w:rsid w:val="0018288D"/>
    <w:rsid w:val="0018376C"/>
    <w:rsid w:val="00184222"/>
    <w:rsid w:val="00184413"/>
    <w:rsid w:val="001844B7"/>
    <w:rsid w:val="00184DCE"/>
    <w:rsid w:val="00184DDA"/>
    <w:rsid w:val="00185218"/>
    <w:rsid w:val="00185712"/>
    <w:rsid w:val="0018588C"/>
    <w:rsid w:val="00186039"/>
    <w:rsid w:val="00186592"/>
    <w:rsid w:val="00186776"/>
    <w:rsid w:val="00186CFE"/>
    <w:rsid w:val="00186F12"/>
    <w:rsid w:val="001870DB"/>
    <w:rsid w:val="001875AF"/>
    <w:rsid w:val="001876A4"/>
    <w:rsid w:val="001900CD"/>
    <w:rsid w:val="00190199"/>
    <w:rsid w:val="001902EC"/>
    <w:rsid w:val="00190915"/>
    <w:rsid w:val="001909D8"/>
    <w:rsid w:val="00190A90"/>
    <w:rsid w:val="0019157A"/>
    <w:rsid w:val="00191C15"/>
    <w:rsid w:val="0019265F"/>
    <w:rsid w:val="0019284A"/>
    <w:rsid w:val="001929CC"/>
    <w:rsid w:val="00193254"/>
    <w:rsid w:val="00193E17"/>
    <w:rsid w:val="00194D4B"/>
    <w:rsid w:val="00195278"/>
    <w:rsid w:val="001957C6"/>
    <w:rsid w:val="001959D0"/>
    <w:rsid w:val="00195B8D"/>
    <w:rsid w:val="00196E26"/>
    <w:rsid w:val="00196E71"/>
    <w:rsid w:val="00197406"/>
    <w:rsid w:val="001974C7"/>
    <w:rsid w:val="001976EC"/>
    <w:rsid w:val="00197703"/>
    <w:rsid w:val="00197BA9"/>
    <w:rsid w:val="00197E13"/>
    <w:rsid w:val="00197EE0"/>
    <w:rsid w:val="001A0306"/>
    <w:rsid w:val="001A0452"/>
    <w:rsid w:val="001A0EAA"/>
    <w:rsid w:val="001A1496"/>
    <w:rsid w:val="001A1D0E"/>
    <w:rsid w:val="001A2569"/>
    <w:rsid w:val="001A27A7"/>
    <w:rsid w:val="001A2C3B"/>
    <w:rsid w:val="001A3387"/>
    <w:rsid w:val="001A3D59"/>
    <w:rsid w:val="001A4124"/>
    <w:rsid w:val="001A49E7"/>
    <w:rsid w:val="001A4A8C"/>
    <w:rsid w:val="001A4B19"/>
    <w:rsid w:val="001A4C04"/>
    <w:rsid w:val="001A5299"/>
    <w:rsid w:val="001A52AF"/>
    <w:rsid w:val="001A549F"/>
    <w:rsid w:val="001A59BE"/>
    <w:rsid w:val="001A60BE"/>
    <w:rsid w:val="001A681E"/>
    <w:rsid w:val="001B016F"/>
    <w:rsid w:val="001B037D"/>
    <w:rsid w:val="001B088A"/>
    <w:rsid w:val="001B1272"/>
    <w:rsid w:val="001B1493"/>
    <w:rsid w:val="001B1982"/>
    <w:rsid w:val="001B1CB6"/>
    <w:rsid w:val="001B1F39"/>
    <w:rsid w:val="001B24F9"/>
    <w:rsid w:val="001B28D6"/>
    <w:rsid w:val="001B3357"/>
    <w:rsid w:val="001B3487"/>
    <w:rsid w:val="001B3702"/>
    <w:rsid w:val="001B4463"/>
    <w:rsid w:val="001B4547"/>
    <w:rsid w:val="001B4B04"/>
    <w:rsid w:val="001B4DB6"/>
    <w:rsid w:val="001B4DE0"/>
    <w:rsid w:val="001B51C8"/>
    <w:rsid w:val="001B567E"/>
    <w:rsid w:val="001B5875"/>
    <w:rsid w:val="001B5EDF"/>
    <w:rsid w:val="001B6727"/>
    <w:rsid w:val="001B6877"/>
    <w:rsid w:val="001B69B9"/>
    <w:rsid w:val="001B7365"/>
    <w:rsid w:val="001B7C75"/>
    <w:rsid w:val="001C0467"/>
    <w:rsid w:val="001C04FF"/>
    <w:rsid w:val="001C0779"/>
    <w:rsid w:val="001C07BD"/>
    <w:rsid w:val="001C0A28"/>
    <w:rsid w:val="001C0DE6"/>
    <w:rsid w:val="001C0EF4"/>
    <w:rsid w:val="001C1163"/>
    <w:rsid w:val="001C185D"/>
    <w:rsid w:val="001C1887"/>
    <w:rsid w:val="001C1946"/>
    <w:rsid w:val="001C2B19"/>
    <w:rsid w:val="001C2C6C"/>
    <w:rsid w:val="001C3D10"/>
    <w:rsid w:val="001C3D39"/>
    <w:rsid w:val="001C46D6"/>
    <w:rsid w:val="001C4B9C"/>
    <w:rsid w:val="001C6663"/>
    <w:rsid w:val="001C6D54"/>
    <w:rsid w:val="001C7895"/>
    <w:rsid w:val="001C7C45"/>
    <w:rsid w:val="001D01B8"/>
    <w:rsid w:val="001D066B"/>
    <w:rsid w:val="001D0C2F"/>
    <w:rsid w:val="001D1B77"/>
    <w:rsid w:val="001D1E5D"/>
    <w:rsid w:val="001D24D8"/>
    <w:rsid w:val="001D26DF"/>
    <w:rsid w:val="001D2C14"/>
    <w:rsid w:val="001D307F"/>
    <w:rsid w:val="001D4D09"/>
    <w:rsid w:val="001D4D84"/>
    <w:rsid w:val="001D4D99"/>
    <w:rsid w:val="001D5827"/>
    <w:rsid w:val="001D6BC3"/>
    <w:rsid w:val="001D706B"/>
    <w:rsid w:val="001D7915"/>
    <w:rsid w:val="001D7FA6"/>
    <w:rsid w:val="001E02AD"/>
    <w:rsid w:val="001E100B"/>
    <w:rsid w:val="001E126C"/>
    <w:rsid w:val="001E15EB"/>
    <w:rsid w:val="001E1611"/>
    <w:rsid w:val="001E2042"/>
    <w:rsid w:val="001E263E"/>
    <w:rsid w:val="001E26F1"/>
    <w:rsid w:val="001E2AEA"/>
    <w:rsid w:val="001E2D53"/>
    <w:rsid w:val="001E2E8C"/>
    <w:rsid w:val="001E33CD"/>
    <w:rsid w:val="001E341B"/>
    <w:rsid w:val="001E3FD9"/>
    <w:rsid w:val="001E412C"/>
    <w:rsid w:val="001E443C"/>
    <w:rsid w:val="001E491A"/>
    <w:rsid w:val="001E4B95"/>
    <w:rsid w:val="001E4E8D"/>
    <w:rsid w:val="001E52F2"/>
    <w:rsid w:val="001E55EE"/>
    <w:rsid w:val="001E5618"/>
    <w:rsid w:val="001E68C3"/>
    <w:rsid w:val="001E6920"/>
    <w:rsid w:val="001E6E2D"/>
    <w:rsid w:val="001E7D10"/>
    <w:rsid w:val="001E7E7D"/>
    <w:rsid w:val="001E7E8F"/>
    <w:rsid w:val="001F06A9"/>
    <w:rsid w:val="001F06F7"/>
    <w:rsid w:val="001F1428"/>
    <w:rsid w:val="001F1544"/>
    <w:rsid w:val="001F1599"/>
    <w:rsid w:val="001F19C4"/>
    <w:rsid w:val="001F2032"/>
    <w:rsid w:val="001F2125"/>
    <w:rsid w:val="001F21CA"/>
    <w:rsid w:val="001F2554"/>
    <w:rsid w:val="001F3D31"/>
    <w:rsid w:val="001F46B0"/>
    <w:rsid w:val="001F48A2"/>
    <w:rsid w:val="001F4A91"/>
    <w:rsid w:val="001F4EA2"/>
    <w:rsid w:val="001F53DB"/>
    <w:rsid w:val="001F566E"/>
    <w:rsid w:val="001F5B3F"/>
    <w:rsid w:val="001F5BA3"/>
    <w:rsid w:val="001F6044"/>
    <w:rsid w:val="001F685F"/>
    <w:rsid w:val="001F6E4C"/>
    <w:rsid w:val="001F6FAC"/>
    <w:rsid w:val="00201943"/>
    <w:rsid w:val="00201F20"/>
    <w:rsid w:val="0020240E"/>
    <w:rsid w:val="00202501"/>
    <w:rsid w:val="00202583"/>
    <w:rsid w:val="002026BC"/>
    <w:rsid w:val="00202993"/>
    <w:rsid w:val="00202A8F"/>
    <w:rsid w:val="00203576"/>
    <w:rsid w:val="00203748"/>
    <w:rsid w:val="002041CA"/>
    <w:rsid w:val="00204358"/>
    <w:rsid w:val="002043F0"/>
    <w:rsid w:val="00204A23"/>
    <w:rsid w:val="00205347"/>
    <w:rsid w:val="00205869"/>
    <w:rsid w:val="0020589A"/>
    <w:rsid w:val="00205A46"/>
    <w:rsid w:val="00206621"/>
    <w:rsid w:val="002068C9"/>
    <w:rsid w:val="00206B0F"/>
    <w:rsid w:val="00206DBA"/>
    <w:rsid w:val="002076F8"/>
    <w:rsid w:val="00207B32"/>
    <w:rsid w:val="00207BF0"/>
    <w:rsid w:val="00210D4B"/>
    <w:rsid w:val="00210DEE"/>
    <w:rsid w:val="002112F2"/>
    <w:rsid w:val="0021130E"/>
    <w:rsid w:val="00211B88"/>
    <w:rsid w:val="00211E0B"/>
    <w:rsid w:val="00212DF2"/>
    <w:rsid w:val="002133E2"/>
    <w:rsid w:val="00213D42"/>
    <w:rsid w:val="00213F63"/>
    <w:rsid w:val="002144B5"/>
    <w:rsid w:val="0021454C"/>
    <w:rsid w:val="00214B96"/>
    <w:rsid w:val="00215058"/>
    <w:rsid w:val="002151A0"/>
    <w:rsid w:val="002152DC"/>
    <w:rsid w:val="002152E1"/>
    <w:rsid w:val="00216126"/>
    <w:rsid w:val="00216559"/>
    <w:rsid w:val="00216E09"/>
    <w:rsid w:val="00217178"/>
    <w:rsid w:val="002202B0"/>
    <w:rsid w:val="00220BA5"/>
    <w:rsid w:val="00220F52"/>
    <w:rsid w:val="00220FCB"/>
    <w:rsid w:val="00221245"/>
    <w:rsid w:val="0022138A"/>
    <w:rsid w:val="00222736"/>
    <w:rsid w:val="00223D5E"/>
    <w:rsid w:val="0022467F"/>
    <w:rsid w:val="00224C3B"/>
    <w:rsid w:val="00225583"/>
    <w:rsid w:val="002261B3"/>
    <w:rsid w:val="0022645D"/>
    <w:rsid w:val="00226CA0"/>
    <w:rsid w:val="0022710E"/>
    <w:rsid w:val="002273E7"/>
    <w:rsid w:val="00227461"/>
    <w:rsid w:val="002304B1"/>
    <w:rsid w:val="002306B5"/>
    <w:rsid w:val="00230764"/>
    <w:rsid w:val="00230F6D"/>
    <w:rsid w:val="00230F82"/>
    <w:rsid w:val="00231663"/>
    <w:rsid w:val="00232142"/>
    <w:rsid w:val="002321B6"/>
    <w:rsid w:val="00232356"/>
    <w:rsid w:val="00232575"/>
    <w:rsid w:val="002325AF"/>
    <w:rsid w:val="002325CE"/>
    <w:rsid w:val="002328AD"/>
    <w:rsid w:val="00232AE0"/>
    <w:rsid w:val="0023389E"/>
    <w:rsid w:val="00233AB9"/>
    <w:rsid w:val="00234050"/>
    <w:rsid w:val="00234493"/>
    <w:rsid w:val="00234900"/>
    <w:rsid w:val="00234A8E"/>
    <w:rsid w:val="00234D6D"/>
    <w:rsid w:val="002350BA"/>
    <w:rsid w:val="002351D4"/>
    <w:rsid w:val="002351DA"/>
    <w:rsid w:val="00235219"/>
    <w:rsid w:val="00235530"/>
    <w:rsid w:val="0023610D"/>
    <w:rsid w:val="0023625A"/>
    <w:rsid w:val="0023643E"/>
    <w:rsid w:val="00236650"/>
    <w:rsid w:val="00236ED2"/>
    <w:rsid w:val="00237220"/>
    <w:rsid w:val="00237331"/>
    <w:rsid w:val="002373DF"/>
    <w:rsid w:val="0023761E"/>
    <w:rsid w:val="00237F21"/>
    <w:rsid w:val="0024082F"/>
    <w:rsid w:val="00240927"/>
    <w:rsid w:val="00240FBC"/>
    <w:rsid w:val="00241101"/>
    <w:rsid w:val="00241767"/>
    <w:rsid w:val="002422E1"/>
    <w:rsid w:val="002423A1"/>
    <w:rsid w:val="00242ACD"/>
    <w:rsid w:val="00242E9D"/>
    <w:rsid w:val="00242F05"/>
    <w:rsid w:val="00242FFB"/>
    <w:rsid w:val="00243038"/>
    <w:rsid w:val="002431FA"/>
    <w:rsid w:val="002433D4"/>
    <w:rsid w:val="00243967"/>
    <w:rsid w:val="00243B35"/>
    <w:rsid w:val="00244372"/>
    <w:rsid w:val="002445CD"/>
    <w:rsid w:val="00245E74"/>
    <w:rsid w:val="00246213"/>
    <w:rsid w:val="0024622B"/>
    <w:rsid w:val="0024622E"/>
    <w:rsid w:val="002467A4"/>
    <w:rsid w:val="00246BCC"/>
    <w:rsid w:val="00246C07"/>
    <w:rsid w:val="00246ECB"/>
    <w:rsid w:val="00247258"/>
    <w:rsid w:val="00247462"/>
    <w:rsid w:val="002475F2"/>
    <w:rsid w:val="00250072"/>
    <w:rsid w:val="0025057C"/>
    <w:rsid w:val="002505BA"/>
    <w:rsid w:val="00251746"/>
    <w:rsid w:val="0025177E"/>
    <w:rsid w:val="00251991"/>
    <w:rsid w:val="00251B11"/>
    <w:rsid w:val="00252428"/>
    <w:rsid w:val="00252654"/>
    <w:rsid w:val="00252E6D"/>
    <w:rsid w:val="00252FBD"/>
    <w:rsid w:val="00253A69"/>
    <w:rsid w:val="00253B10"/>
    <w:rsid w:val="0025471E"/>
    <w:rsid w:val="002556BE"/>
    <w:rsid w:val="00255A8C"/>
    <w:rsid w:val="00255B2E"/>
    <w:rsid w:val="00255CEE"/>
    <w:rsid w:val="00256081"/>
    <w:rsid w:val="00256302"/>
    <w:rsid w:val="002567B7"/>
    <w:rsid w:val="00256E13"/>
    <w:rsid w:val="0025712F"/>
    <w:rsid w:val="00257BA9"/>
    <w:rsid w:val="00257CAC"/>
    <w:rsid w:val="002602F9"/>
    <w:rsid w:val="0026056C"/>
    <w:rsid w:val="00260A04"/>
    <w:rsid w:val="00260FD8"/>
    <w:rsid w:val="00261482"/>
    <w:rsid w:val="002614D0"/>
    <w:rsid w:val="00262851"/>
    <w:rsid w:val="00262940"/>
    <w:rsid w:val="00263443"/>
    <w:rsid w:val="00263471"/>
    <w:rsid w:val="00263820"/>
    <w:rsid w:val="00263A08"/>
    <w:rsid w:val="002647FA"/>
    <w:rsid w:val="00265265"/>
    <w:rsid w:val="002658C3"/>
    <w:rsid w:val="002659F5"/>
    <w:rsid w:val="00265B22"/>
    <w:rsid w:val="00265D76"/>
    <w:rsid w:val="0026603B"/>
    <w:rsid w:val="00266144"/>
    <w:rsid w:val="002661E5"/>
    <w:rsid w:val="00266C43"/>
    <w:rsid w:val="00266FFD"/>
    <w:rsid w:val="00267165"/>
    <w:rsid w:val="00267D3A"/>
    <w:rsid w:val="002701AE"/>
    <w:rsid w:val="0027044A"/>
    <w:rsid w:val="0027049F"/>
    <w:rsid w:val="00270550"/>
    <w:rsid w:val="002715B3"/>
    <w:rsid w:val="002721BF"/>
    <w:rsid w:val="0027237A"/>
    <w:rsid w:val="002728CD"/>
    <w:rsid w:val="00272F01"/>
    <w:rsid w:val="00273405"/>
    <w:rsid w:val="00273562"/>
    <w:rsid w:val="002736B3"/>
    <w:rsid w:val="0027375A"/>
    <w:rsid w:val="00273E0A"/>
    <w:rsid w:val="0027483D"/>
    <w:rsid w:val="00274E12"/>
    <w:rsid w:val="0027513F"/>
    <w:rsid w:val="0027527C"/>
    <w:rsid w:val="002753F6"/>
    <w:rsid w:val="00275B63"/>
    <w:rsid w:val="00276060"/>
    <w:rsid w:val="00276231"/>
    <w:rsid w:val="0027648B"/>
    <w:rsid w:val="00276687"/>
    <w:rsid w:val="00276C7A"/>
    <w:rsid w:val="0027728A"/>
    <w:rsid w:val="00277639"/>
    <w:rsid w:val="002815D1"/>
    <w:rsid w:val="00281662"/>
    <w:rsid w:val="00281EDC"/>
    <w:rsid w:val="00282328"/>
    <w:rsid w:val="00282FB8"/>
    <w:rsid w:val="0028361C"/>
    <w:rsid w:val="00283690"/>
    <w:rsid w:val="00283C78"/>
    <w:rsid w:val="002848DF"/>
    <w:rsid w:val="00285C9D"/>
    <w:rsid w:val="0028607B"/>
    <w:rsid w:val="0028612B"/>
    <w:rsid w:val="00286399"/>
    <w:rsid w:val="00286605"/>
    <w:rsid w:val="002871D7"/>
    <w:rsid w:val="00287665"/>
    <w:rsid w:val="002877B2"/>
    <w:rsid w:val="00287922"/>
    <w:rsid w:val="00287CEE"/>
    <w:rsid w:val="0029035C"/>
    <w:rsid w:val="002904F9"/>
    <w:rsid w:val="00290611"/>
    <w:rsid w:val="00290796"/>
    <w:rsid w:val="002909DE"/>
    <w:rsid w:val="00291AF6"/>
    <w:rsid w:val="00291CAA"/>
    <w:rsid w:val="002934B1"/>
    <w:rsid w:val="00293BBA"/>
    <w:rsid w:val="00293CE4"/>
    <w:rsid w:val="0029402E"/>
    <w:rsid w:val="0029528F"/>
    <w:rsid w:val="002957A0"/>
    <w:rsid w:val="002959DA"/>
    <w:rsid w:val="00296139"/>
    <w:rsid w:val="00296A03"/>
    <w:rsid w:val="00296B10"/>
    <w:rsid w:val="00297285"/>
    <w:rsid w:val="002974E9"/>
    <w:rsid w:val="00297B5A"/>
    <w:rsid w:val="00297D0C"/>
    <w:rsid w:val="00297F49"/>
    <w:rsid w:val="002A02EB"/>
    <w:rsid w:val="002A052A"/>
    <w:rsid w:val="002A062E"/>
    <w:rsid w:val="002A0934"/>
    <w:rsid w:val="002A1250"/>
    <w:rsid w:val="002A1387"/>
    <w:rsid w:val="002A1FCE"/>
    <w:rsid w:val="002A3345"/>
    <w:rsid w:val="002A33ED"/>
    <w:rsid w:val="002A3596"/>
    <w:rsid w:val="002A35AA"/>
    <w:rsid w:val="002A3AAA"/>
    <w:rsid w:val="002A3B15"/>
    <w:rsid w:val="002A3B34"/>
    <w:rsid w:val="002A3DC0"/>
    <w:rsid w:val="002A4583"/>
    <w:rsid w:val="002A483C"/>
    <w:rsid w:val="002A4F21"/>
    <w:rsid w:val="002A5AA9"/>
    <w:rsid w:val="002A5EEE"/>
    <w:rsid w:val="002A65D0"/>
    <w:rsid w:val="002A68E2"/>
    <w:rsid w:val="002A6EE9"/>
    <w:rsid w:val="002A701A"/>
    <w:rsid w:val="002A709E"/>
    <w:rsid w:val="002A7709"/>
    <w:rsid w:val="002A7D40"/>
    <w:rsid w:val="002A7F94"/>
    <w:rsid w:val="002B0050"/>
    <w:rsid w:val="002B0547"/>
    <w:rsid w:val="002B065A"/>
    <w:rsid w:val="002B0DA4"/>
    <w:rsid w:val="002B0F55"/>
    <w:rsid w:val="002B109A"/>
    <w:rsid w:val="002B10A2"/>
    <w:rsid w:val="002B12F8"/>
    <w:rsid w:val="002B1DE8"/>
    <w:rsid w:val="002B2374"/>
    <w:rsid w:val="002B2451"/>
    <w:rsid w:val="002B2AFD"/>
    <w:rsid w:val="002B31B7"/>
    <w:rsid w:val="002B32A7"/>
    <w:rsid w:val="002B350D"/>
    <w:rsid w:val="002B3ED0"/>
    <w:rsid w:val="002B4E33"/>
    <w:rsid w:val="002B547A"/>
    <w:rsid w:val="002B58EF"/>
    <w:rsid w:val="002B59E7"/>
    <w:rsid w:val="002B5B29"/>
    <w:rsid w:val="002B7374"/>
    <w:rsid w:val="002C1100"/>
    <w:rsid w:val="002C111E"/>
    <w:rsid w:val="002C12F6"/>
    <w:rsid w:val="002C1692"/>
    <w:rsid w:val="002C1812"/>
    <w:rsid w:val="002C1869"/>
    <w:rsid w:val="002C24C5"/>
    <w:rsid w:val="002C2DE0"/>
    <w:rsid w:val="002C3064"/>
    <w:rsid w:val="002C32E6"/>
    <w:rsid w:val="002C3833"/>
    <w:rsid w:val="002C40B5"/>
    <w:rsid w:val="002C439D"/>
    <w:rsid w:val="002C4760"/>
    <w:rsid w:val="002C4AF4"/>
    <w:rsid w:val="002C4B4D"/>
    <w:rsid w:val="002C4B5D"/>
    <w:rsid w:val="002C50E6"/>
    <w:rsid w:val="002C5766"/>
    <w:rsid w:val="002C6C8A"/>
    <w:rsid w:val="002C6D45"/>
    <w:rsid w:val="002C7238"/>
    <w:rsid w:val="002D0742"/>
    <w:rsid w:val="002D0A6B"/>
    <w:rsid w:val="002D114C"/>
    <w:rsid w:val="002D1E2C"/>
    <w:rsid w:val="002D21AA"/>
    <w:rsid w:val="002D235B"/>
    <w:rsid w:val="002D3010"/>
    <w:rsid w:val="002D310C"/>
    <w:rsid w:val="002D318F"/>
    <w:rsid w:val="002D3513"/>
    <w:rsid w:val="002D38BF"/>
    <w:rsid w:val="002D451A"/>
    <w:rsid w:val="002D502C"/>
    <w:rsid w:val="002D50E3"/>
    <w:rsid w:val="002D5260"/>
    <w:rsid w:val="002D5316"/>
    <w:rsid w:val="002D67A0"/>
    <w:rsid w:val="002D6E53"/>
    <w:rsid w:val="002D7C16"/>
    <w:rsid w:val="002D7CAB"/>
    <w:rsid w:val="002D7F8E"/>
    <w:rsid w:val="002E08E3"/>
    <w:rsid w:val="002E0E60"/>
    <w:rsid w:val="002E101F"/>
    <w:rsid w:val="002E1812"/>
    <w:rsid w:val="002E3714"/>
    <w:rsid w:val="002E378B"/>
    <w:rsid w:val="002E3D89"/>
    <w:rsid w:val="002E47C1"/>
    <w:rsid w:val="002E5380"/>
    <w:rsid w:val="002E57DB"/>
    <w:rsid w:val="002E59D0"/>
    <w:rsid w:val="002E5A6E"/>
    <w:rsid w:val="002E6C5A"/>
    <w:rsid w:val="002E6FAB"/>
    <w:rsid w:val="002E7A1A"/>
    <w:rsid w:val="002E7CB6"/>
    <w:rsid w:val="002F038F"/>
    <w:rsid w:val="002F046D"/>
    <w:rsid w:val="002F0787"/>
    <w:rsid w:val="002F0BB6"/>
    <w:rsid w:val="002F1469"/>
    <w:rsid w:val="002F2CAA"/>
    <w:rsid w:val="002F329C"/>
    <w:rsid w:val="002F4DD0"/>
    <w:rsid w:val="002F5B76"/>
    <w:rsid w:val="002F5DE4"/>
    <w:rsid w:val="002F6329"/>
    <w:rsid w:val="002F7151"/>
    <w:rsid w:val="0030101C"/>
    <w:rsid w:val="003015A2"/>
    <w:rsid w:val="00301764"/>
    <w:rsid w:val="00301F1F"/>
    <w:rsid w:val="0030273B"/>
    <w:rsid w:val="00303926"/>
    <w:rsid w:val="00303A06"/>
    <w:rsid w:val="00303B3F"/>
    <w:rsid w:val="00304200"/>
    <w:rsid w:val="00304301"/>
    <w:rsid w:val="00304695"/>
    <w:rsid w:val="00304DF4"/>
    <w:rsid w:val="0030504F"/>
    <w:rsid w:val="003051FC"/>
    <w:rsid w:val="00305515"/>
    <w:rsid w:val="00305526"/>
    <w:rsid w:val="00305629"/>
    <w:rsid w:val="00305737"/>
    <w:rsid w:val="00305C18"/>
    <w:rsid w:val="00305D10"/>
    <w:rsid w:val="00307880"/>
    <w:rsid w:val="00307D11"/>
    <w:rsid w:val="00310FA1"/>
    <w:rsid w:val="00312109"/>
    <w:rsid w:val="00312772"/>
    <w:rsid w:val="003131E3"/>
    <w:rsid w:val="00313B41"/>
    <w:rsid w:val="00314293"/>
    <w:rsid w:val="00314617"/>
    <w:rsid w:val="003146DA"/>
    <w:rsid w:val="00314C8B"/>
    <w:rsid w:val="0031514D"/>
    <w:rsid w:val="0031548D"/>
    <w:rsid w:val="00315874"/>
    <w:rsid w:val="003159FF"/>
    <w:rsid w:val="00315C14"/>
    <w:rsid w:val="00315DA0"/>
    <w:rsid w:val="0031687C"/>
    <w:rsid w:val="003172F4"/>
    <w:rsid w:val="00317ACB"/>
    <w:rsid w:val="00320087"/>
    <w:rsid w:val="00320318"/>
    <w:rsid w:val="003207B5"/>
    <w:rsid w:val="00320D9F"/>
    <w:rsid w:val="00321247"/>
    <w:rsid w:val="0032152B"/>
    <w:rsid w:val="003216F8"/>
    <w:rsid w:val="00321EB4"/>
    <w:rsid w:val="00321FEB"/>
    <w:rsid w:val="00322008"/>
    <w:rsid w:val="00322054"/>
    <w:rsid w:val="003222A1"/>
    <w:rsid w:val="003229D8"/>
    <w:rsid w:val="00322DE5"/>
    <w:rsid w:val="00322E0C"/>
    <w:rsid w:val="003233C0"/>
    <w:rsid w:val="0032373E"/>
    <w:rsid w:val="00323973"/>
    <w:rsid w:val="00323D40"/>
    <w:rsid w:val="00323DE1"/>
    <w:rsid w:val="00324450"/>
    <w:rsid w:val="00324489"/>
    <w:rsid w:val="00324DCD"/>
    <w:rsid w:val="00324EA7"/>
    <w:rsid w:val="00325274"/>
    <w:rsid w:val="0032581F"/>
    <w:rsid w:val="003263A0"/>
    <w:rsid w:val="0032652F"/>
    <w:rsid w:val="00326566"/>
    <w:rsid w:val="003268BC"/>
    <w:rsid w:val="00327045"/>
    <w:rsid w:val="003278BD"/>
    <w:rsid w:val="00327BCE"/>
    <w:rsid w:val="0033074C"/>
    <w:rsid w:val="00331562"/>
    <w:rsid w:val="00331771"/>
    <w:rsid w:val="00331AFF"/>
    <w:rsid w:val="00331FB6"/>
    <w:rsid w:val="00331FED"/>
    <w:rsid w:val="00332A8A"/>
    <w:rsid w:val="00332D43"/>
    <w:rsid w:val="003335D7"/>
    <w:rsid w:val="00333642"/>
    <w:rsid w:val="003338AB"/>
    <w:rsid w:val="00333EBB"/>
    <w:rsid w:val="003343C5"/>
    <w:rsid w:val="003344B6"/>
    <w:rsid w:val="0033451F"/>
    <w:rsid w:val="003346DB"/>
    <w:rsid w:val="00334EDB"/>
    <w:rsid w:val="00334F45"/>
    <w:rsid w:val="0033502E"/>
    <w:rsid w:val="00335ECC"/>
    <w:rsid w:val="00336419"/>
    <w:rsid w:val="00336C97"/>
    <w:rsid w:val="00336D1D"/>
    <w:rsid w:val="00336DE0"/>
    <w:rsid w:val="00337F88"/>
    <w:rsid w:val="0034082A"/>
    <w:rsid w:val="00340D95"/>
    <w:rsid w:val="00340F7F"/>
    <w:rsid w:val="0034139C"/>
    <w:rsid w:val="00341455"/>
    <w:rsid w:val="00341A14"/>
    <w:rsid w:val="00341DDA"/>
    <w:rsid w:val="003421BC"/>
    <w:rsid w:val="00342432"/>
    <w:rsid w:val="00342544"/>
    <w:rsid w:val="00342A44"/>
    <w:rsid w:val="003435D5"/>
    <w:rsid w:val="00343937"/>
    <w:rsid w:val="00343FD0"/>
    <w:rsid w:val="003443F2"/>
    <w:rsid w:val="0034450F"/>
    <w:rsid w:val="00346297"/>
    <w:rsid w:val="0034645A"/>
    <w:rsid w:val="0034719B"/>
    <w:rsid w:val="0034764A"/>
    <w:rsid w:val="00347695"/>
    <w:rsid w:val="003476C1"/>
    <w:rsid w:val="00347BCF"/>
    <w:rsid w:val="003506B7"/>
    <w:rsid w:val="00350E20"/>
    <w:rsid w:val="00350F17"/>
    <w:rsid w:val="00351335"/>
    <w:rsid w:val="00351CEE"/>
    <w:rsid w:val="0035223F"/>
    <w:rsid w:val="00352708"/>
    <w:rsid w:val="00352D4B"/>
    <w:rsid w:val="00352DB0"/>
    <w:rsid w:val="00352F98"/>
    <w:rsid w:val="003544A3"/>
    <w:rsid w:val="003546E7"/>
    <w:rsid w:val="00354B3C"/>
    <w:rsid w:val="003556D4"/>
    <w:rsid w:val="00355C27"/>
    <w:rsid w:val="00356175"/>
    <w:rsid w:val="003561AE"/>
    <w:rsid w:val="0035638C"/>
    <w:rsid w:val="0035668F"/>
    <w:rsid w:val="00356C06"/>
    <w:rsid w:val="003603DF"/>
    <w:rsid w:val="003605E9"/>
    <w:rsid w:val="00360789"/>
    <w:rsid w:val="0036098B"/>
    <w:rsid w:val="003609EC"/>
    <w:rsid w:val="003614A3"/>
    <w:rsid w:val="00361719"/>
    <w:rsid w:val="0036190F"/>
    <w:rsid w:val="00361F20"/>
    <w:rsid w:val="00362359"/>
    <w:rsid w:val="00362592"/>
    <w:rsid w:val="003626FC"/>
    <w:rsid w:val="00362A79"/>
    <w:rsid w:val="00363048"/>
    <w:rsid w:val="00363534"/>
    <w:rsid w:val="00363942"/>
    <w:rsid w:val="00363B27"/>
    <w:rsid w:val="00363D27"/>
    <w:rsid w:val="00363FB0"/>
    <w:rsid w:val="00364DC3"/>
    <w:rsid w:val="00364F88"/>
    <w:rsid w:val="003653F1"/>
    <w:rsid w:val="00365609"/>
    <w:rsid w:val="0036593D"/>
    <w:rsid w:val="00365B03"/>
    <w:rsid w:val="00365BE4"/>
    <w:rsid w:val="00366142"/>
    <w:rsid w:val="0036670A"/>
    <w:rsid w:val="00366F52"/>
    <w:rsid w:val="00367AB7"/>
    <w:rsid w:val="00367B8E"/>
    <w:rsid w:val="0037021A"/>
    <w:rsid w:val="00370C70"/>
    <w:rsid w:val="00371688"/>
    <w:rsid w:val="00371704"/>
    <w:rsid w:val="003719B1"/>
    <w:rsid w:val="00372F2B"/>
    <w:rsid w:val="0037347D"/>
    <w:rsid w:val="00373591"/>
    <w:rsid w:val="00373704"/>
    <w:rsid w:val="00373BA9"/>
    <w:rsid w:val="00373C1A"/>
    <w:rsid w:val="00373C4D"/>
    <w:rsid w:val="00373FB2"/>
    <w:rsid w:val="00374272"/>
    <w:rsid w:val="003742F1"/>
    <w:rsid w:val="0037450D"/>
    <w:rsid w:val="0037463E"/>
    <w:rsid w:val="00374C29"/>
    <w:rsid w:val="003756DC"/>
    <w:rsid w:val="00375A38"/>
    <w:rsid w:val="00376063"/>
    <w:rsid w:val="0037622C"/>
    <w:rsid w:val="00376ED6"/>
    <w:rsid w:val="003772BA"/>
    <w:rsid w:val="00377789"/>
    <w:rsid w:val="00377BD7"/>
    <w:rsid w:val="00377C39"/>
    <w:rsid w:val="003801DB"/>
    <w:rsid w:val="003804A7"/>
    <w:rsid w:val="0038061E"/>
    <w:rsid w:val="00380958"/>
    <w:rsid w:val="00380A4A"/>
    <w:rsid w:val="00380E34"/>
    <w:rsid w:val="00381283"/>
    <w:rsid w:val="003814BB"/>
    <w:rsid w:val="00381622"/>
    <w:rsid w:val="00381A4B"/>
    <w:rsid w:val="00381B1C"/>
    <w:rsid w:val="00381C81"/>
    <w:rsid w:val="00381CC8"/>
    <w:rsid w:val="00382E9C"/>
    <w:rsid w:val="0038320B"/>
    <w:rsid w:val="00383679"/>
    <w:rsid w:val="003836E0"/>
    <w:rsid w:val="00383E1F"/>
    <w:rsid w:val="00384869"/>
    <w:rsid w:val="00384B1C"/>
    <w:rsid w:val="00385167"/>
    <w:rsid w:val="00385836"/>
    <w:rsid w:val="00385865"/>
    <w:rsid w:val="00385A4F"/>
    <w:rsid w:val="003861F9"/>
    <w:rsid w:val="0038648D"/>
    <w:rsid w:val="00386853"/>
    <w:rsid w:val="003872B1"/>
    <w:rsid w:val="003873CB"/>
    <w:rsid w:val="0038748C"/>
    <w:rsid w:val="00387A47"/>
    <w:rsid w:val="00387F92"/>
    <w:rsid w:val="00390525"/>
    <w:rsid w:val="00391E7C"/>
    <w:rsid w:val="003922E5"/>
    <w:rsid w:val="00392761"/>
    <w:rsid w:val="0039288F"/>
    <w:rsid w:val="00393E61"/>
    <w:rsid w:val="00393F47"/>
    <w:rsid w:val="00394047"/>
    <w:rsid w:val="00394B70"/>
    <w:rsid w:val="00394EE9"/>
    <w:rsid w:val="00395352"/>
    <w:rsid w:val="003955E2"/>
    <w:rsid w:val="0039564B"/>
    <w:rsid w:val="0039586F"/>
    <w:rsid w:val="00395C9C"/>
    <w:rsid w:val="0039650F"/>
    <w:rsid w:val="003967D9"/>
    <w:rsid w:val="0039699B"/>
    <w:rsid w:val="00396D04"/>
    <w:rsid w:val="0039720B"/>
    <w:rsid w:val="00397533"/>
    <w:rsid w:val="0039755A"/>
    <w:rsid w:val="003979F0"/>
    <w:rsid w:val="003A0877"/>
    <w:rsid w:val="003A1167"/>
    <w:rsid w:val="003A17A0"/>
    <w:rsid w:val="003A1835"/>
    <w:rsid w:val="003A1A33"/>
    <w:rsid w:val="003A1BA4"/>
    <w:rsid w:val="003A2735"/>
    <w:rsid w:val="003A3017"/>
    <w:rsid w:val="003A41E2"/>
    <w:rsid w:val="003A4202"/>
    <w:rsid w:val="003A4246"/>
    <w:rsid w:val="003A46BB"/>
    <w:rsid w:val="003A476B"/>
    <w:rsid w:val="003A4A4E"/>
    <w:rsid w:val="003A4E59"/>
    <w:rsid w:val="003A4EC7"/>
    <w:rsid w:val="003A535F"/>
    <w:rsid w:val="003A5BF4"/>
    <w:rsid w:val="003A6065"/>
    <w:rsid w:val="003A6FEE"/>
    <w:rsid w:val="003A7295"/>
    <w:rsid w:val="003A754D"/>
    <w:rsid w:val="003A75B0"/>
    <w:rsid w:val="003A7D0B"/>
    <w:rsid w:val="003B004C"/>
    <w:rsid w:val="003B07A5"/>
    <w:rsid w:val="003B0860"/>
    <w:rsid w:val="003B0DEF"/>
    <w:rsid w:val="003B0F1C"/>
    <w:rsid w:val="003B133B"/>
    <w:rsid w:val="003B1F60"/>
    <w:rsid w:val="003B210C"/>
    <w:rsid w:val="003B253A"/>
    <w:rsid w:val="003B3590"/>
    <w:rsid w:val="003B3937"/>
    <w:rsid w:val="003B39D7"/>
    <w:rsid w:val="003B3BC8"/>
    <w:rsid w:val="003B3DD5"/>
    <w:rsid w:val="003B47F3"/>
    <w:rsid w:val="003B4A6F"/>
    <w:rsid w:val="003B50DB"/>
    <w:rsid w:val="003B5127"/>
    <w:rsid w:val="003B512A"/>
    <w:rsid w:val="003B57D8"/>
    <w:rsid w:val="003B5981"/>
    <w:rsid w:val="003B5DDE"/>
    <w:rsid w:val="003B5F8F"/>
    <w:rsid w:val="003B7500"/>
    <w:rsid w:val="003B79A5"/>
    <w:rsid w:val="003B79A8"/>
    <w:rsid w:val="003B7B99"/>
    <w:rsid w:val="003B7D24"/>
    <w:rsid w:val="003B7DBC"/>
    <w:rsid w:val="003C0AC6"/>
    <w:rsid w:val="003C0BB3"/>
    <w:rsid w:val="003C0DCF"/>
    <w:rsid w:val="003C103A"/>
    <w:rsid w:val="003C1AF4"/>
    <w:rsid w:val="003C1B81"/>
    <w:rsid w:val="003C24E2"/>
    <w:rsid w:val="003C28D8"/>
    <w:rsid w:val="003C2CC4"/>
    <w:rsid w:val="003C3487"/>
    <w:rsid w:val="003C4024"/>
    <w:rsid w:val="003C4975"/>
    <w:rsid w:val="003C5146"/>
    <w:rsid w:val="003C5B4D"/>
    <w:rsid w:val="003C5D78"/>
    <w:rsid w:val="003C5FE6"/>
    <w:rsid w:val="003C6037"/>
    <w:rsid w:val="003C6057"/>
    <w:rsid w:val="003C6219"/>
    <w:rsid w:val="003C6356"/>
    <w:rsid w:val="003C6680"/>
    <w:rsid w:val="003C7E2B"/>
    <w:rsid w:val="003D00D3"/>
    <w:rsid w:val="003D010C"/>
    <w:rsid w:val="003D0308"/>
    <w:rsid w:val="003D04CC"/>
    <w:rsid w:val="003D0988"/>
    <w:rsid w:val="003D0A68"/>
    <w:rsid w:val="003D0B9B"/>
    <w:rsid w:val="003D1283"/>
    <w:rsid w:val="003D1321"/>
    <w:rsid w:val="003D1B9C"/>
    <w:rsid w:val="003D1EC8"/>
    <w:rsid w:val="003D26CB"/>
    <w:rsid w:val="003D2BF4"/>
    <w:rsid w:val="003D2C1E"/>
    <w:rsid w:val="003D3790"/>
    <w:rsid w:val="003D39B7"/>
    <w:rsid w:val="003D3DAC"/>
    <w:rsid w:val="003D3F8B"/>
    <w:rsid w:val="003D4888"/>
    <w:rsid w:val="003D4B23"/>
    <w:rsid w:val="003D4DE8"/>
    <w:rsid w:val="003D619A"/>
    <w:rsid w:val="003D683D"/>
    <w:rsid w:val="003D70B7"/>
    <w:rsid w:val="003D7357"/>
    <w:rsid w:val="003D7DF2"/>
    <w:rsid w:val="003E013D"/>
    <w:rsid w:val="003E136A"/>
    <w:rsid w:val="003E14AB"/>
    <w:rsid w:val="003E24AA"/>
    <w:rsid w:val="003E278A"/>
    <w:rsid w:val="003E305A"/>
    <w:rsid w:val="003E32B2"/>
    <w:rsid w:val="003E3B0D"/>
    <w:rsid w:val="003E49BC"/>
    <w:rsid w:val="003E4E6C"/>
    <w:rsid w:val="003E53AA"/>
    <w:rsid w:val="003E5B37"/>
    <w:rsid w:val="003E69BD"/>
    <w:rsid w:val="003E6DE2"/>
    <w:rsid w:val="003E7312"/>
    <w:rsid w:val="003E799C"/>
    <w:rsid w:val="003F01F8"/>
    <w:rsid w:val="003F0611"/>
    <w:rsid w:val="003F09AA"/>
    <w:rsid w:val="003F10C5"/>
    <w:rsid w:val="003F1181"/>
    <w:rsid w:val="003F2269"/>
    <w:rsid w:val="003F2599"/>
    <w:rsid w:val="003F267B"/>
    <w:rsid w:val="003F2AC9"/>
    <w:rsid w:val="003F2C0A"/>
    <w:rsid w:val="003F2F28"/>
    <w:rsid w:val="003F2F2E"/>
    <w:rsid w:val="003F33F2"/>
    <w:rsid w:val="003F354B"/>
    <w:rsid w:val="003F3F82"/>
    <w:rsid w:val="003F4120"/>
    <w:rsid w:val="003F45D4"/>
    <w:rsid w:val="003F4B01"/>
    <w:rsid w:val="003F4DC1"/>
    <w:rsid w:val="003F4DD9"/>
    <w:rsid w:val="003F4FDA"/>
    <w:rsid w:val="003F559C"/>
    <w:rsid w:val="003F5630"/>
    <w:rsid w:val="003F56E7"/>
    <w:rsid w:val="003F5DBA"/>
    <w:rsid w:val="003F69CE"/>
    <w:rsid w:val="003F7100"/>
    <w:rsid w:val="003F7821"/>
    <w:rsid w:val="003F797E"/>
    <w:rsid w:val="003F7F71"/>
    <w:rsid w:val="0040017E"/>
    <w:rsid w:val="00400225"/>
    <w:rsid w:val="00400BA7"/>
    <w:rsid w:val="00400D0C"/>
    <w:rsid w:val="00401271"/>
    <w:rsid w:val="00401A2E"/>
    <w:rsid w:val="00401CDF"/>
    <w:rsid w:val="00401F85"/>
    <w:rsid w:val="0040216F"/>
    <w:rsid w:val="004022B2"/>
    <w:rsid w:val="0040268F"/>
    <w:rsid w:val="00402776"/>
    <w:rsid w:val="00403861"/>
    <w:rsid w:val="00403A4A"/>
    <w:rsid w:val="00403EB9"/>
    <w:rsid w:val="00404173"/>
    <w:rsid w:val="00404995"/>
    <w:rsid w:val="0040502A"/>
    <w:rsid w:val="0040544A"/>
    <w:rsid w:val="0040584F"/>
    <w:rsid w:val="00405962"/>
    <w:rsid w:val="00406E0C"/>
    <w:rsid w:val="00407226"/>
    <w:rsid w:val="00407299"/>
    <w:rsid w:val="004075F0"/>
    <w:rsid w:val="00407A9F"/>
    <w:rsid w:val="00407E05"/>
    <w:rsid w:val="00410690"/>
    <w:rsid w:val="00410F71"/>
    <w:rsid w:val="004115B0"/>
    <w:rsid w:val="00413488"/>
    <w:rsid w:val="00413520"/>
    <w:rsid w:val="004137D1"/>
    <w:rsid w:val="00413C22"/>
    <w:rsid w:val="00413CD9"/>
    <w:rsid w:val="0041405C"/>
    <w:rsid w:val="0041436F"/>
    <w:rsid w:val="00414DE9"/>
    <w:rsid w:val="00414E11"/>
    <w:rsid w:val="00415189"/>
    <w:rsid w:val="004151B8"/>
    <w:rsid w:val="00415423"/>
    <w:rsid w:val="0041579B"/>
    <w:rsid w:val="0041579F"/>
    <w:rsid w:val="00415B78"/>
    <w:rsid w:val="0041646E"/>
    <w:rsid w:val="004164C9"/>
    <w:rsid w:val="00416989"/>
    <w:rsid w:val="004174D0"/>
    <w:rsid w:val="00417C83"/>
    <w:rsid w:val="00417D90"/>
    <w:rsid w:val="00417F48"/>
    <w:rsid w:val="00420E6D"/>
    <w:rsid w:val="0042102D"/>
    <w:rsid w:val="004216A2"/>
    <w:rsid w:val="0042216E"/>
    <w:rsid w:val="0042243A"/>
    <w:rsid w:val="00422852"/>
    <w:rsid w:val="00422C37"/>
    <w:rsid w:val="004232F4"/>
    <w:rsid w:val="004247B2"/>
    <w:rsid w:val="004249B0"/>
    <w:rsid w:val="0042500C"/>
    <w:rsid w:val="004254C4"/>
    <w:rsid w:val="004258F9"/>
    <w:rsid w:val="004259A3"/>
    <w:rsid w:val="00425A94"/>
    <w:rsid w:val="00425CA8"/>
    <w:rsid w:val="00425E72"/>
    <w:rsid w:val="0042632F"/>
    <w:rsid w:val="004267D5"/>
    <w:rsid w:val="00427802"/>
    <w:rsid w:val="00427DD3"/>
    <w:rsid w:val="004308F2"/>
    <w:rsid w:val="004312AE"/>
    <w:rsid w:val="004312B5"/>
    <w:rsid w:val="004313B4"/>
    <w:rsid w:val="00431789"/>
    <w:rsid w:val="00431C31"/>
    <w:rsid w:val="00431E46"/>
    <w:rsid w:val="004321D1"/>
    <w:rsid w:val="00432418"/>
    <w:rsid w:val="004324DC"/>
    <w:rsid w:val="004325CB"/>
    <w:rsid w:val="00432A2E"/>
    <w:rsid w:val="00432F85"/>
    <w:rsid w:val="00433090"/>
    <w:rsid w:val="004332D2"/>
    <w:rsid w:val="00433DC5"/>
    <w:rsid w:val="004348FA"/>
    <w:rsid w:val="00436158"/>
    <w:rsid w:val="0043615D"/>
    <w:rsid w:val="004361A4"/>
    <w:rsid w:val="00436252"/>
    <w:rsid w:val="00436AC1"/>
    <w:rsid w:val="004377CF"/>
    <w:rsid w:val="004379AD"/>
    <w:rsid w:val="00437A64"/>
    <w:rsid w:val="00440A07"/>
    <w:rsid w:val="00442363"/>
    <w:rsid w:val="004425F9"/>
    <w:rsid w:val="00442BC9"/>
    <w:rsid w:val="004437DB"/>
    <w:rsid w:val="004437FC"/>
    <w:rsid w:val="004438B6"/>
    <w:rsid w:val="00443BC3"/>
    <w:rsid w:val="00443FEE"/>
    <w:rsid w:val="004451D5"/>
    <w:rsid w:val="00445963"/>
    <w:rsid w:val="00445ACB"/>
    <w:rsid w:val="00445EFB"/>
    <w:rsid w:val="00445FA1"/>
    <w:rsid w:val="0044607A"/>
    <w:rsid w:val="0044777B"/>
    <w:rsid w:val="0044784A"/>
    <w:rsid w:val="00447A3E"/>
    <w:rsid w:val="00447D38"/>
    <w:rsid w:val="004500B9"/>
    <w:rsid w:val="0045029D"/>
    <w:rsid w:val="00450CF0"/>
    <w:rsid w:val="00450D5E"/>
    <w:rsid w:val="0045205C"/>
    <w:rsid w:val="0045255F"/>
    <w:rsid w:val="004527C4"/>
    <w:rsid w:val="00452A84"/>
    <w:rsid w:val="00453491"/>
    <w:rsid w:val="004538EE"/>
    <w:rsid w:val="00454332"/>
    <w:rsid w:val="004548E2"/>
    <w:rsid w:val="004554E9"/>
    <w:rsid w:val="00455555"/>
    <w:rsid w:val="0045588D"/>
    <w:rsid w:val="00455AEC"/>
    <w:rsid w:val="00456109"/>
    <w:rsid w:val="0045690D"/>
    <w:rsid w:val="00456B00"/>
    <w:rsid w:val="00456BD5"/>
    <w:rsid w:val="0045766F"/>
    <w:rsid w:val="00457912"/>
    <w:rsid w:val="004603D7"/>
    <w:rsid w:val="00461822"/>
    <w:rsid w:val="00461A81"/>
    <w:rsid w:val="00462413"/>
    <w:rsid w:val="004627F3"/>
    <w:rsid w:val="00462880"/>
    <w:rsid w:val="00462C96"/>
    <w:rsid w:val="00462D25"/>
    <w:rsid w:val="00462F4D"/>
    <w:rsid w:val="00464E66"/>
    <w:rsid w:val="00464FE8"/>
    <w:rsid w:val="00465178"/>
    <w:rsid w:val="00465AC3"/>
    <w:rsid w:val="00467236"/>
    <w:rsid w:val="00467554"/>
    <w:rsid w:val="004676B4"/>
    <w:rsid w:val="00467BD6"/>
    <w:rsid w:val="00467D9D"/>
    <w:rsid w:val="00467F8D"/>
    <w:rsid w:val="004714C1"/>
    <w:rsid w:val="004716FF"/>
    <w:rsid w:val="00471EB0"/>
    <w:rsid w:val="00472088"/>
    <w:rsid w:val="004726F9"/>
    <w:rsid w:val="00473430"/>
    <w:rsid w:val="004738F6"/>
    <w:rsid w:val="00474A33"/>
    <w:rsid w:val="00474B4D"/>
    <w:rsid w:val="00474F72"/>
    <w:rsid w:val="00475926"/>
    <w:rsid w:val="00475F2A"/>
    <w:rsid w:val="00476674"/>
    <w:rsid w:val="00476BCB"/>
    <w:rsid w:val="00476BE3"/>
    <w:rsid w:val="00476DEC"/>
    <w:rsid w:val="00476F24"/>
    <w:rsid w:val="004771EE"/>
    <w:rsid w:val="00477907"/>
    <w:rsid w:val="004779CF"/>
    <w:rsid w:val="0048077B"/>
    <w:rsid w:val="00480AE5"/>
    <w:rsid w:val="00481478"/>
    <w:rsid w:val="00481FEB"/>
    <w:rsid w:val="00482262"/>
    <w:rsid w:val="00482294"/>
    <w:rsid w:val="0048269E"/>
    <w:rsid w:val="00482D12"/>
    <w:rsid w:val="0048381D"/>
    <w:rsid w:val="00484DF7"/>
    <w:rsid w:val="00485401"/>
    <w:rsid w:val="00485716"/>
    <w:rsid w:val="00485E00"/>
    <w:rsid w:val="00485EAC"/>
    <w:rsid w:val="00486D71"/>
    <w:rsid w:val="004872E8"/>
    <w:rsid w:val="0048739C"/>
    <w:rsid w:val="0048760F"/>
    <w:rsid w:val="00487B34"/>
    <w:rsid w:val="004916C7"/>
    <w:rsid w:val="0049194C"/>
    <w:rsid w:val="00491AAB"/>
    <w:rsid w:val="00491F71"/>
    <w:rsid w:val="0049303C"/>
    <w:rsid w:val="00493427"/>
    <w:rsid w:val="00493494"/>
    <w:rsid w:val="00493899"/>
    <w:rsid w:val="00493A32"/>
    <w:rsid w:val="00494945"/>
    <w:rsid w:val="004957F2"/>
    <w:rsid w:val="004960EA"/>
    <w:rsid w:val="00496871"/>
    <w:rsid w:val="00496A58"/>
    <w:rsid w:val="00497515"/>
    <w:rsid w:val="00497DD7"/>
    <w:rsid w:val="004A01AB"/>
    <w:rsid w:val="004A0341"/>
    <w:rsid w:val="004A07C2"/>
    <w:rsid w:val="004A102F"/>
    <w:rsid w:val="004A1831"/>
    <w:rsid w:val="004A18EB"/>
    <w:rsid w:val="004A1FD1"/>
    <w:rsid w:val="004A225B"/>
    <w:rsid w:val="004A2DF1"/>
    <w:rsid w:val="004A2EA7"/>
    <w:rsid w:val="004A3125"/>
    <w:rsid w:val="004A3532"/>
    <w:rsid w:val="004A3B7C"/>
    <w:rsid w:val="004A3C02"/>
    <w:rsid w:val="004A3E11"/>
    <w:rsid w:val="004A3FF6"/>
    <w:rsid w:val="004A5741"/>
    <w:rsid w:val="004A583D"/>
    <w:rsid w:val="004A584A"/>
    <w:rsid w:val="004A59DC"/>
    <w:rsid w:val="004A6AF1"/>
    <w:rsid w:val="004A6D8D"/>
    <w:rsid w:val="004A6F27"/>
    <w:rsid w:val="004A7273"/>
    <w:rsid w:val="004B0062"/>
    <w:rsid w:val="004B0BB2"/>
    <w:rsid w:val="004B0CF0"/>
    <w:rsid w:val="004B1038"/>
    <w:rsid w:val="004B10C3"/>
    <w:rsid w:val="004B1934"/>
    <w:rsid w:val="004B20BB"/>
    <w:rsid w:val="004B2142"/>
    <w:rsid w:val="004B2346"/>
    <w:rsid w:val="004B2521"/>
    <w:rsid w:val="004B31A1"/>
    <w:rsid w:val="004B36A5"/>
    <w:rsid w:val="004B37B9"/>
    <w:rsid w:val="004B3A52"/>
    <w:rsid w:val="004B40A6"/>
    <w:rsid w:val="004B4E44"/>
    <w:rsid w:val="004B5909"/>
    <w:rsid w:val="004B5B00"/>
    <w:rsid w:val="004B7113"/>
    <w:rsid w:val="004C0204"/>
    <w:rsid w:val="004C0CB2"/>
    <w:rsid w:val="004C0FF7"/>
    <w:rsid w:val="004C10B1"/>
    <w:rsid w:val="004C17E3"/>
    <w:rsid w:val="004C21CA"/>
    <w:rsid w:val="004C2A88"/>
    <w:rsid w:val="004C36BE"/>
    <w:rsid w:val="004C4323"/>
    <w:rsid w:val="004C4A61"/>
    <w:rsid w:val="004C4BA2"/>
    <w:rsid w:val="004C55B0"/>
    <w:rsid w:val="004C5A1C"/>
    <w:rsid w:val="004C6765"/>
    <w:rsid w:val="004C6892"/>
    <w:rsid w:val="004C68B6"/>
    <w:rsid w:val="004C6B46"/>
    <w:rsid w:val="004C7130"/>
    <w:rsid w:val="004C7DD6"/>
    <w:rsid w:val="004D0C86"/>
    <w:rsid w:val="004D0FA1"/>
    <w:rsid w:val="004D104D"/>
    <w:rsid w:val="004D14DC"/>
    <w:rsid w:val="004D1A31"/>
    <w:rsid w:val="004D24CB"/>
    <w:rsid w:val="004D2969"/>
    <w:rsid w:val="004D2BCD"/>
    <w:rsid w:val="004D3192"/>
    <w:rsid w:val="004D4397"/>
    <w:rsid w:val="004D4726"/>
    <w:rsid w:val="004D47D1"/>
    <w:rsid w:val="004D538B"/>
    <w:rsid w:val="004D5589"/>
    <w:rsid w:val="004D55EB"/>
    <w:rsid w:val="004D593D"/>
    <w:rsid w:val="004D61E1"/>
    <w:rsid w:val="004D6A15"/>
    <w:rsid w:val="004D782D"/>
    <w:rsid w:val="004D79E2"/>
    <w:rsid w:val="004D7DED"/>
    <w:rsid w:val="004D7F9F"/>
    <w:rsid w:val="004E009C"/>
    <w:rsid w:val="004E022A"/>
    <w:rsid w:val="004E0299"/>
    <w:rsid w:val="004E055E"/>
    <w:rsid w:val="004E0E23"/>
    <w:rsid w:val="004E102B"/>
    <w:rsid w:val="004E3022"/>
    <w:rsid w:val="004E30F4"/>
    <w:rsid w:val="004E3914"/>
    <w:rsid w:val="004E3E5C"/>
    <w:rsid w:val="004E4528"/>
    <w:rsid w:val="004E4C1C"/>
    <w:rsid w:val="004E5117"/>
    <w:rsid w:val="004E53F8"/>
    <w:rsid w:val="004E607E"/>
    <w:rsid w:val="004E6F00"/>
    <w:rsid w:val="004E73AA"/>
    <w:rsid w:val="004E75E9"/>
    <w:rsid w:val="004E7ED2"/>
    <w:rsid w:val="004E7FC6"/>
    <w:rsid w:val="004F0040"/>
    <w:rsid w:val="004F0443"/>
    <w:rsid w:val="004F08BA"/>
    <w:rsid w:val="004F1490"/>
    <w:rsid w:val="004F1CFF"/>
    <w:rsid w:val="004F242A"/>
    <w:rsid w:val="004F2BA1"/>
    <w:rsid w:val="004F2C72"/>
    <w:rsid w:val="004F2FEB"/>
    <w:rsid w:val="004F31F4"/>
    <w:rsid w:val="004F3984"/>
    <w:rsid w:val="004F3A52"/>
    <w:rsid w:val="004F3CFF"/>
    <w:rsid w:val="004F4182"/>
    <w:rsid w:val="004F42C8"/>
    <w:rsid w:val="004F4835"/>
    <w:rsid w:val="004F4C7F"/>
    <w:rsid w:val="004F5837"/>
    <w:rsid w:val="004F5EC3"/>
    <w:rsid w:val="004F6633"/>
    <w:rsid w:val="004F6657"/>
    <w:rsid w:val="004F6B6B"/>
    <w:rsid w:val="004F6BA0"/>
    <w:rsid w:val="004F7150"/>
    <w:rsid w:val="004F7232"/>
    <w:rsid w:val="004F7831"/>
    <w:rsid w:val="004F7A3B"/>
    <w:rsid w:val="004F7F22"/>
    <w:rsid w:val="0050021B"/>
    <w:rsid w:val="00500637"/>
    <w:rsid w:val="0050066D"/>
    <w:rsid w:val="00500936"/>
    <w:rsid w:val="00500E5F"/>
    <w:rsid w:val="00500E6A"/>
    <w:rsid w:val="005013AA"/>
    <w:rsid w:val="005015CA"/>
    <w:rsid w:val="00501DBE"/>
    <w:rsid w:val="0050200B"/>
    <w:rsid w:val="0050339D"/>
    <w:rsid w:val="00503469"/>
    <w:rsid w:val="00503BEA"/>
    <w:rsid w:val="00503E69"/>
    <w:rsid w:val="00503FD8"/>
    <w:rsid w:val="005050AC"/>
    <w:rsid w:val="005059BA"/>
    <w:rsid w:val="00506781"/>
    <w:rsid w:val="00506817"/>
    <w:rsid w:val="00507815"/>
    <w:rsid w:val="0050799E"/>
    <w:rsid w:val="00507AEA"/>
    <w:rsid w:val="0051078D"/>
    <w:rsid w:val="005109C7"/>
    <w:rsid w:val="00510B30"/>
    <w:rsid w:val="00511248"/>
    <w:rsid w:val="005112D1"/>
    <w:rsid w:val="00511975"/>
    <w:rsid w:val="00511B6E"/>
    <w:rsid w:val="00511BD5"/>
    <w:rsid w:val="00511CC1"/>
    <w:rsid w:val="00511DA2"/>
    <w:rsid w:val="00512635"/>
    <w:rsid w:val="00512B69"/>
    <w:rsid w:val="00512E32"/>
    <w:rsid w:val="00513415"/>
    <w:rsid w:val="00513A62"/>
    <w:rsid w:val="00513A81"/>
    <w:rsid w:val="00513FC1"/>
    <w:rsid w:val="005142F8"/>
    <w:rsid w:val="00514353"/>
    <w:rsid w:val="00514E58"/>
    <w:rsid w:val="00515843"/>
    <w:rsid w:val="005164DB"/>
    <w:rsid w:val="0051650E"/>
    <w:rsid w:val="00516576"/>
    <w:rsid w:val="005167E3"/>
    <w:rsid w:val="00517D15"/>
    <w:rsid w:val="00517EE2"/>
    <w:rsid w:val="005201CE"/>
    <w:rsid w:val="005202A9"/>
    <w:rsid w:val="005208FF"/>
    <w:rsid w:val="005214EC"/>
    <w:rsid w:val="0052197D"/>
    <w:rsid w:val="00521AFD"/>
    <w:rsid w:val="005220EB"/>
    <w:rsid w:val="005232AA"/>
    <w:rsid w:val="00523CCB"/>
    <w:rsid w:val="00523E18"/>
    <w:rsid w:val="0052421C"/>
    <w:rsid w:val="005246A8"/>
    <w:rsid w:val="00524E6F"/>
    <w:rsid w:val="005257F9"/>
    <w:rsid w:val="00526786"/>
    <w:rsid w:val="00526FF4"/>
    <w:rsid w:val="00527809"/>
    <w:rsid w:val="00527DD5"/>
    <w:rsid w:val="0053025E"/>
    <w:rsid w:val="0053069C"/>
    <w:rsid w:val="00531208"/>
    <w:rsid w:val="005317D5"/>
    <w:rsid w:val="0053198C"/>
    <w:rsid w:val="00531A8A"/>
    <w:rsid w:val="00531B82"/>
    <w:rsid w:val="005328C0"/>
    <w:rsid w:val="00532B05"/>
    <w:rsid w:val="00532E1B"/>
    <w:rsid w:val="00533616"/>
    <w:rsid w:val="005338E8"/>
    <w:rsid w:val="00534156"/>
    <w:rsid w:val="0053469B"/>
    <w:rsid w:val="00534AFC"/>
    <w:rsid w:val="00534F9B"/>
    <w:rsid w:val="00535571"/>
    <w:rsid w:val="005356F5"/>
    <w:rsid w:val="005357B6"/>
    <w:rsid w:val="00535ABA"/>
    <w:rsid w:val="00536BD3"/>
    <w:rsid w:val="00536C5C"/>
    <w:rsid w:val="00536EB6"/>
    <w:rsid w:val="005372B0"/>
    <w:rsid w:val="005375E6"/>
    <w:rsid w:val="00537649"/>
    <w:rsid w:val="0053768B"/>
    <w:rsid w:val="0054008D"/>
    <w:rsid w:val="00540751"/>
    <w:rsid w:val="00540DFB"/>
    <w:rsid w:val="005420CD"/>
    <w:rsid w:val="005420F2"/>
    <w:rsid w:val="005426FE"/>
    <w:rsid w:val="0054285C"/>
    <w:rsid w:val="0054304D"/>
    <w:rsid w:val="005444D5"/>
    <w:rsid w:val="005444FD"/>
    <w:rsid w:val="0054480E"/>
    <w:rsid w:val="005449DC"/>
    <w:rsid w:val="00544C69"/>
    <w:rsid w:val="00545539"/>
    <w:rsid w:val="00545A3C"/>
    <w:rsid w:val="00545A80"/>
    <w:rsid w:val="00545D99"/>
    <w:rsid w:val="005464EC"/>
    <w:rsid w:val="00546F2C"/>
    <w:rsid w:val="00547737"/>
    <w:rsid w:val="00547855"/>
    <w:rsid w:val="00547873"/>
    <w:rsid w:val="00547B59"/>
    <w:rsid w:val="00547DEF"/>
    <w:rsid w:val="0055007A"/>
    <w:rsid w:val="00550954"/>
    <w:rsid w:val="0055097E"/>
    <w:rsid w:val="00551B6E"/>
    <w:rsid w:val="00552325"/>
    <w:rsid w:val="00552B6B"/>
    <w:rsid w:val="00552EEF"/>
    <w:rsid w:val="00552FC2"/>
    <w:rsid w:val="00553C03"/>
    <w:rsid w:val="00553D87"/>
    <w:rsid w:val="00553F51"/>
    <w:rsid w:val="005551B1"/>
    <w:rsid w:val="00555884"/>
    <w:rsid w:val="00555DC5"/>
    <w:rsid w:val="0055639A"/>
    <w:rsid w:val="00556413"/>
    <w:rsid w:val="00556B7F"/>
    <w:rsid w:val="00556DCB"/>
    <w:rsid w:val="00557549"/>
    <w:rsid w:val="00557AAA"/>
    <w:rsid w:val="00557CA4"/>
    <w:rsid w:val="005601D8"/>
    <w:rsid w:val="0056054B"/>
    <w:rsid w:val="005621BD"/>
    <w:rsid w:val="00562241"/>
    <w:rsid w:val="005624C1"/>
    <w:rsid w:val="00562682"/>
    <w:rsid w:val="00562900"/>
    <w:rsid w:val="00563060"/>
    <w:rsid w:val="005652C8"/>
    <w:rsid w:val="005653D0"/>
    <w:rsid w:val="005657F2"/>
    <w:rsid w:val="00566142"/>
    <w:rsid w:val="00566742"/>
    <w:rsid w:val="00566EA0"/>
    <w:rsid w:val="00567329"/>
    <w:rsid w:val="00567ABD"/>
    <w:rsid w:val="005708DB"/>
    <w:rsid w:val="0057095E"/>
    <w:rsid w:val="005714F9"/>
    <w:rsid w:val="00571FCD"/>
    <w:rsid w:val="0057224D"/>
    <w:rsid w:val="00572DF1"/>
    <w:rsid w:val="00572EB4"/>
    <w:rsid w:val="00573206"/>
    <w:rsid w:val="005734D7"/>
    <w:rsid w:val="00573EA8"/>
    <w:rsid w:val="00573EB4"/>
    <w:rsid w:val="005743B4"/>
    <w:rsid w:val="00574A66"/>
    <w:rsid w:val="00574D41"/>
    <w:rsid w:val="005753E6"/>
    <w:rsid w:val="0057550A"/>
    <w:rsid w:val="00575993"/>
    <w:rsid w:val="00576C12"/>
    <w:rsid w:val="00576EC3"/>
    <w:rsid w:val="0057716A"/>
    <w:rsid w:val="00577372"/>
    <w:rsid w:val="005807FD"/>
    <w:rsid w:val="00580858"/>
    <w:rsid w:val="00580D2A"/>
    <w:rsid w:val="00580D76"/>
    <w:rsid w:val="0058100A"/>
    <w:rsid w:val="00581096"/>
    <w:rsid w:val="00581184"/>
    <w:rsid w:val="005811FF"/>
    <w:rsid w:val="005813EB"/>
    <w:rsid w:val="005816FE"/>
    <w:rsid w:val="00581AFA"/>
    <w:rsid w:val="00581B27"/>
    <w:rsid w:val="005822BC"/>
    <w:rsid w:val="00582B3F"/>
    <w:rsid w:val="0058322F"/>
    <w:rsid w:val="005839B2"/>
    <w:rsid w:val="00583A12"/>
    <w:rsid w:val="00583FD1"/>
    <w:rsid w:val="00584173"/>
    <w:rsid w:val="0058430B"/>
    <w:rsid w:val="00584363"/>
    <w:rsid w:val="00585290"/>
    <w:rsid w:val="00585496"/>
    <w:rsid w:val="005854AA"/>
    <w:rsid w:val="00585EF5"/>
    <w:rsid w:val="0058616B"/>
    <w:rsid w:val="005864EA"/>
    <w:rsid w:val="00586C76"/>
    <w:rsid w:val="00586D53"/>
    <w:rsid w:val="005873F7"/>
    <w:rsid w:val="00587956"/>
    <w:rsid w:val="00587B73"/>
    <w:rsid w:val="00590085"/>
    <w:rsid w:val="00590616"/>
    <w:rsid w:val="00590702"/>
    <w:rsid w:val="00590E9C"/>
    <w:rsid w:val="00590F12"/>
    <w:rsid w:val="00591066"/>
    <w:rsid w:val="00591F22"/>
    <w:rsid w:val="00591F65"/>
    <w:rsid w:val="00591FA3"/>
    <w:rsid w:val="00591FE6"/>
    <w:rsid w:val="005926D2"/>
    <w:rsid w:val="0059307B"/>
    <w:rsid w:val="00593282"/>
    <w:rsid w:val="005934B4"/>
    <w:rsid w:val="005936DC"/>
    <w:rsid w:val="00593C1C"/>
    <w:rsid w:val="005941C2"/>
    <w:rsid w:val="00594CAF"/>
    <w:rsid w:val="00595278"/>
    <w:rsid w:val="00595520"/>
    <w:rsid w:val="00595A58"/>
    <w:rsid w:val="00595D4D"/>
    <w:rsid w:val="00595F73"/>
    <w:rsid w:val="005962A0"/>
    <w:rsid w:val="00596669"/>
    <w:rsid w:val="00596CBB"/>
    <w:rsid w:val="00596FD1"/>
    <w:rsid w:val="00597310"/>
    <w:rsid w:val="005A0D20"/>
    <w:rsid w:val="005A10EF"/>
    <w:rsid w:val="005A1D4E"/>
    <w:rsid w:val="005A2AC4"/>
    <w:rsid w:val="005A4401"/>
    <w:rsid w:val="005A44B9"/>
    <w:rsid w:val="005A4946"/>
    <w:rsid w:val="005A5023"/>
    <w:rsid w:val="005A5142"/>
    <w:rsid w:val="005A5C2B"/>
    <w:rsid w:val="005A60B1"/>
    <w:rsid w:val="005A68A9"/>
    <w:rsid w:val="005A69B2"/>
    <w:rsid w:val="005A6BD7"/>
    <w:rsid w:val="005A6C87"/>
    <w:rsid w:val="005A70F2"/>
    <w:rsid w:val="005A73F2"/>
    <w:rsid w:val="005A75C5"/>
    <w:rsid w:val="005B014A"/>
    <w:rsid w:val="005B0403"/>
    <w:rsid w:val="005B05C6"/>
    <w:rsid w:val="005B08D4"/>
    <w:rsid w:val="005B0B96"/>
    <w:rsid w:val="005B15EC"/>
    <w:rsid w:val="005B1933"/>
    <w:rsid w:val="005B1BA0"/>
    <w:rsid w:val="005B1E8E"/>
    <w:rsid w:val="005B22A5"/>
    <w:rsid w:val="005B35C7"/>
    <w:rsid w:val="005B35FD"/>
    <w:rsid w:val="005B3DB3"/>
    <w:rsid w:val="005B46E6"/>
    <w:rsid w:val="005B52C0"/>
    <w:rsid w:val="005B5431"/>
    <w:rsid w:val="005B5749"/>
    <w:rsid w:val="005B5A05"/>
    <w:rsid w:val="005B5DDA"/>
    <w:rsid w:val="005B6195"/>
    <w:rsid w:val="005B61CD"/>
    <w:rsid w:val="005B68FC"/>
    <w:rsid w:val="005B696E"/>
    <w:rsid w:val="005B6D4A"/>
    <w:rsid w:val="005B6F93"/>
    <w:rsid w:val="005B78FF"/>
    <w:rsid w:val="005B79EB"/>
    <w:rsid w:val="005B7A72"/>
    <w:rsid w:val="005C01DF"/>
    <w:rsid w:val="005C02D1"/>
    <w:rsid w:val="005C13A8"/>
    <w:rsid w:val="005C1632"/>
    <w:rsid w:val="005C1982"/>
    <w:rsid w:val="005C1BCA"/>
    <w:rsid w:val="005C1CC2"/>
    <w:rsid w:val="005C1F38"/>
    <w:rsid w:val="005C22F8"/>
    <w:rsid w:val="005C23AD"/>
    <w:rsid w:val="005C26A7"/>
    <w:rsid w:val="005C2861"/>
    <w:rsid w:val="005C2D1C"/>
    <w:rsid w:val="005C3846"/>
    <w:rsid w:val="005C3AEB"/>
    <w:rsid w:val="005C3B3D"/>
    <w:rsid w:val="005C47F2"/>
    <w:rsid w:val="005C496D"/>
    <w:rsid w:val="005C5AC8"/>
    <w:rsid w:val="005C5BF0"/>
    <w:rsid w:val="005C5CE0"/>
    <w:rsid w:val="005C5F5F"/>
    <w:rsid w:val="005C6413"/>
    <w:rsid w:val="005C671A"/>
    <w:rsid w:val="005C6A0C"/>
    <w:rsid w:val="005C6E06"/>
    <w:rsid w:val="005C7B98"/>
    <w:rsid w:val="005D01CF"/>
    <w:rsid w:val="005D0422"/>
    <w:rsid w:val="005D065F"/>
    <w:rsid w:val="005D0CA3"/>
    <w:rsid w:val="005D1224"/>
    <w:rsid w:val="005D15CA"/>
    <w:rsid w:val="005D1630"/>
    <w:rsid w:val="005D1ADD"/>
    <w:rsid w:val="005D23BA"/>
    <w:rsid w:val="005D268B"/>
    <w:rsid w:val="005D2995"/>
    <w:rsid w:val="005D2A58"/>
    <w:rsid w:val="005D3071"/>
    <w:rsid w:val="005D32E7"/>
    <w:rsid w:val="005D38A1"/>
    <w:rsid w:val="005D38BC"/>
    <w:rsid w:val="005D3BD1"/>
    <w:rsid w:val="005D3D5D"/>
    <w:rsid w:val="005D4092"/>
    <w:rsid w:val="005D4180"/>
    <w:rsid w:val="005D488E"/>
    <w:rsid w:val="005D5603"/>
    <w:rsid w:val="005D5708"/>
    <w:rsid w:val="005D6297"/>
    <w:rsid w:val="005D66F4"/>
    <w:rsid w:val="005D6E42"/>
    <w:rsid w:val="005D6FB5"/>
    <w:rsid w:val="005D70F6"/>
    <w:rsid w:val="005D7248"/>
    <w:rsid w:val="005D72E5"/>
    <w:rsid w:val="005D7EEC"/>
    <w:rsid w:val="005D7FEA"/>
    <w:rsid w:val="005E00C3"/>
    <w:rsid w:val="005E01FC"/>
    <w:rsid w:val="005E0605"/>
    <w:rsid w:val="005E0A87"/>
    <w:rsid w:val="005E1467"/>
    <w:rsid w:val="005E1958"/>
    <w:rsid w:val="005E1B8B"/>
    <w:rsid w:val="005E1C2D"/>
    <w:rsid w:val="005E29AB"/>
    <w:rsid w:val="005E29D0"/>
    <w:rsid w:val="005E33CC"/>
    <w:rsid w:val="005E35DF"/>
    <w:rsid w:val="005E3720"/>
    <w:rsid w:val="005E3886"/>
    <w:rsid w:val="005E3AA0"/>
    <w:rsid w:val="005E3C1F"/>
    <w:rsid w:val="005E4572"/>
    <w:rsid w:val="005E458E"/>
    <w:rsid w:val="005E4ABB"/>
    <w:rsid w:val="005E4BC4"/>
    <w:rsid w:val="005E5149"/>
    <w:rsid w:val="005E5D36"/>
    <w:rsid w:val="005E6104"/>
    <w:rsid w:val="005E625D"/>
    <w:rsid w:val="005E6C19"/>
    <w:rsid w:val="005E6D1C"/>
    <w:rsid w:val="005E6D26"/>
    <w:rsid w:val="005E7216"/>
    <w:rsid w:val="005E7311"/>
    <w:rsid w:val="005E7819"/>
    <w:rsid w:val="005E7A20"/>
    <w:rsid w:val="005F05E5"/>
    <w:rsid w:val="005F0D93"/>
    <w:rsid w:val="005F1B73"/>
    <w:rsid w:val="005F24F6"/>
    <w:rsid w:val="005F26F2"/>
    <w:rsid w:val="005F2AA1"/>
    <w:rsid w:val="005F2CB7"/>
    <w:rsid w:val="005F3066"/>
    <w:rsid w:val="005F3308"/>
    <w:rsid w:val="005F39CC"/>
    <w:rsid w:val="005F3BAF"/>
    <w:rsid w:val="005F3E61"/>
    <w:rsid w:val="005F3F58"/>
    <w:rsid w:val="005F463F"/>
    <w:rsid w:val="005F4AC8"/>
    <w:rsid w:val="005F4BD0"/>
    <w:rsid w:val="005F4DC5"/>
    <w:rsid w:val="005F56BE"/>
    <w:rsid w:val="005F5734"/>
    <w:rsid w:val="005F6241"/>
    <w:rsid w:val="005F64FF"/>
    <w:rsid w:val="005F721A"/>
    <w:rsid w:val="005F7DBE"/>
    <w:rsid w:val="006004D3"/>
    <w:rsid w:val="00600862"/>
    <w:rsid w:val="006009CA"/>
    <w:rsid w:val="0060155A"/>
    <w:rsid w:val="00601E9D"/>
    <w:rsid w:val="00602520"/>
    <w:rsid w:val="00602B02"/>
    <w:rsid w:val="0060328B"/>
    <w:rsid w:val="00603DC2"/>
    <w:rsid w:val="00603E84"/>
    <w:rsid w:val="00604084"/>
    <w:rsid w:val="00604AAB"/>
    <w:rsid w:val="00604DDD"/>
    <w:rsid w:val="00605C0F"/>
    <w:rsid w:val="00605CAC"/>
    <w:rsid w:val="00605EDA"/>
    <w:rsid w:val="0060628B"/>
    <w:rsid w:val="00606A0A"/>
    <w:rsid w:val="00606C97"/>
    <w:rsid w:val="00606DED"/>
    <w:rsid w:val="00606F08"/>
    <w:rsid w:val="006073B8"/>
    <w:rsid w:val="006079A6"/>
    <w:rsid w:val="00607BF4"/>
    <w:rsid w:val="00607D9A"/>
    <w:rsid w:val="00607E31"/>
    <w:rsid w:val="00607EE7"/>
    <w:rsid w:val="00610230"/>
    <w:rsid w:val="0061025F"/>
    <w:rsid w:val="0061083C"/>
    <w:rsid w:val="006115CC"/>
    <w:rsid w:val="00611AB2"/>
    <w:rsid w:val="00611FC4"/>
    <w:rsid w:val="006121A1"/>
    <w:rsid w:val="006128EE"/>
    <w:rsid w:val="00612B7F"/>
    <w:rsid w:val="006134AE"/>
    <w:rsid w:val="00613C80"/>
    <w:rsid w:val="00614BB8"/>
    <w:rsid w:val="00615739"/>
    <w:rsid w:val="006158F4"/>
    <w:rsid w:val="00615C4F"/>
    <w:rsid w:val="00615E61"/>
    <w:rsid w:val="00615E96"/>
    <w:rsid w:val="006164B2"/>
    <w:rsid w:val="00616681"/>
    <w:rsid w:val="00616B7D"/>
    <w:rsid w:val="00616DEA"/>
    <w:rsid w:val="006176FB"/>
    <w:rsid w:val="0062070E"/>
    <w:rsid w:val="006208D7"/>
    <w:rsid w:val="006210A9"/>
    <w:rsid w:val="00621408"/>
    <w:rsid w:val="006216F0"/>
    <w:rsid w:val="006218F7"/>
    <w:rsid w:val="00621D5D"/>
    <w:rsid w:val="00622261"/>
    <w:rsid w:val="00622267"/>
    <w:rsid w:val="0062262A"/>
    <w:rsid w:val="00622E6B"/>
    <w:rsid w:val="00623D1C"/>
    <w:rsid w:val="0062405F"/>
    <w:rsid w:val="00624245"/>
    <w:rsid w:val="00624C57"/>
    <w:rsid w:val="00624F80"/>
    <w:rsid w:val="006253C5"/>
    <w:rsid w:val="006255CD"/>
    <w:rsid w:val="00625B12"/>
    <w:rsid w:val="00625F14"/>
    <w:rsid w:val="00626598"/>
    <w:rsid w:val="00626FF0"/>
    <w:rsid w:val="006278F8"/>
    <w:rsid w:val="00627F90"/>
    <w:rsid w:val="0063017D"/>
    <w:rsid w:val="006308E9"/>
    <w:rsid w:val="00630CB6"/>
    <w:rsid w:val="00630FCB"/>
    <w:rsid w:val="00631580"/>
    <w:rsid w:val="006316EB"/>
    <w:rsid w:val="006317F2"/>
    <w:rsid w:val="0063194C"/>
    <w:rsid w:val="00631A48"/>
    <w:rsid w:val="00632960"/>
    <w:rsid w:val="006348CA"/>
    <w:rsid w:val="0063557B"/>
    <w:rsid w:val="00635768"/>
    <w:rsid w:val="006364A0"/>
    <w:rsid w:val="00636725"/>
    <w:rsid w:val="00636BA6"/>
    <w:rsid w:val="00640368"/>
    <w:rsid w:val="00640938"/>
    <w:rsid w:val="00640ACC"/>
    <w:rsid w:val="00640B26"/>
    <w:rsid w:val="00642419"/>
    <w:rsid w:val="00642511"/>
    <w:rsid w:val="00642B46"/>
    <w:rsid w:val="00643337"/>
    <w:rsid w:val="00644582"/>
    <w:rsid w:val="00644710"/>
    <w:rsid w:val="00644A6B"/>
    <w:rsid w:val="00644E74"/>
    <w:rsid w:val="00645F06"/>
    <w:rsid w:val="006460C1"/>
    <w:rsid w:val="00646232"/>
    <w:rsid w:val="006468D7"/>
    <w:rsid w:val="00647058"/>
    <w:rsid w:val="006474AA"/>
    <w:rsid w:val="00647527"/>
    <w:rsid w:val="006505BD"/>
    <w:rsid w:val="00650655"/>
    <w:rsid w:val="00650DC6"/>
    <w:rsid w:val="006510ED"/>
    <w:rsid w:val="00652389"/>
    <w:rsid w:val="00652950"/>
    <w:rsid w:val="00652A2C"/>
    <w:rsid w:val="00652BFF"/>
    <w:rsid w:val="00653B80"/>
    <w:rsid w:val="00653D59"/>
    <w:rsid w:val="006546B7"/>
    <w:rsid w:val="0065515A"/>
    <w:rsid w:val="00655C25"/>
    <w:rsid w:val="00655CF3"/>
    <w:rsid w:val="006560C1"/>
    <w:rsid w:val="00656637"/>
    <w:rsid w:val="00656BFF"/>
    <w:rsid w:val="00656CBD"/>
    <w:rsid w:val="00656E44"/>
    <w:rsid w:val="00656E61"/>
    <w:rsid w:val="0065724A"/>
    <w:rsid w:val="00657A86"/>
    <w:rsid w:val="006602C7"/>
    <w:rsid w:val="006603A1"/>
    <w:rsid w:val="00660AE9"/>
    <w:rsid w:val="00660DAA"/>
    <w:rsid w:val="00661135"/>
    <w:rsid w:val="0066117A"/>
    <w:rsid w:val="00661527"/>
    <w:rsid w:val="006619EF"/>
    <w:rsid w:val="00661E30"/>
    <w:rsid w:val="0066246D"/>
    <w:rsid w:val="006628FB"/>
    <w:rsid w:val="00662FDD"/>
    <w:rsid w:val="00663CA4"/>
    <w:rsid w:val="0066431B"/>
    <w:rsid w:val="00664365"/>
    <w:rsid w:val="0066466C"/>
    <w:rsid w:val="0066476E"/>
    <w:rsid w:val="00665468"/>
    <w:rsid w:val="00665561"/>
    <w:rsid w:val="00665C89"/>
    <w:rsid w:val="00666079"/>
    <w:rsid w:val="006661D8"/>
    <w:rsid w:val="006664D0"/>
    <w:rsid w:val="00667B88"/>
    <w:rsid w:val="00670A90"/>
    <w:rsid w:val="00670B90"/>
    <w:rsid w:val="00671292"/>
    <w:rsid w:val="00672259"/>
    <w:rsid w:val="00672978"/>
    <w:rsid w:val="0067304D"/>
    <w:rsid w:val="00673968"/>
    <w:rsid w:val="00673C46"/>
    <w:rsid w:val="006749FC"/>
    <w:rsid w:val="00674BBA"/>
    <w:rsid w:val="00675343"/>
    <w:rsid w:val="006754EF"/>
    <w:rsid w:val="00675746"/>
    <w:rsid w:val="006765F3"/>
    <w:rsid w:val="006766CB"/>
    <w:rsid w:val="00676940"/>
    <w:rsid w:val="006770B2"/>
    <w:rsid w:val="0067725A"/>
    <w:rsid w:val="00677315"/>
    <w:rsid w:val="00677B04"/>
    <w:rsid w:val="00680484"/>
    <w:rsid w:val="006804FF"/>
    <w:rsid w:val="0068081F"/>
    <w:rsid w:val="00680A15"/>
    <w:rsid w:val="00680A8B"/>
    <w:rsid w:val="006810DC"/>
    <w:rsid w:val="006814CD"/>
    <w:rsid w:val="00681568"/>
    <w:rsid w:val="00681862"/>
    <w:rsid w:val="006818D5"/>
    <w:rsid w:val="00682DE4"/>
    <w:rsid w:val="00682F0E"/>
    <w:rsid w:val="00683000"/>
    <w:rsid w:val="006831B0"/>
    <w:rsid w:val="0068325A"/>
    <w:rsid w:val="00683378"/>
    <w:rsid w:val="0068367B"/>
    <w:rsid w:val="00683A17"/>
    <w:rsid w:val="00683C1D"/>
    <w:rsid w:val="00684372"/>
    <w:rsid w:val="00684822"/>
    <w:rsid w:val="00684883"/>
    <w:rsid w:val="00684E08"/>
    <w:rsid w:val="00685F46"/>
    <w:rsid w:val="00686148"/>
    <w:rsid w:val="006862FB"/>
    <w:rsid w:val="006865C6"/>
    <w:rsid w:val="006867DE"/>
    <w:rsid w:val="00686897"/>
    <w:rsid w:val="00686899"/>
    <w:rsid w:val="00686BCA"/>
    <w:rsid w:val="006873E0"/>
    <w:rsid w:val="00687587"/>
    <w:rsid w:val="006878FE"/>
    <w:rsid w:val="00687AA8"/>
    <w:rsid w:val="0069029E"/>
    <w:rsid w:val="0069123B"/>
    <w:rsid w:val="00691522"/>
    <w:rsid w:val="00691AC7"/>
    <w:rsid w:val="00691D2B"/>
    <w:rsid w:val="0069228E"/>
    <w:rsid w:val="00692D97"/>
    <w:rsid w:val="00692F65"/>
    <w:rsid w:val="006940E1"/>
    <w:rsid w:val="00694284"/>
    <w:rsid w:val="0069446D"/>
    <w:rsid w:val="00694BD7"/>
    <w:rsid w:val="00694BF1"/>
    <w:rsid w:val="00694FF0"/>
    <w:rsid w:val="00695BD7"/>
    <w:rsid w:val="00695DAE"/>
    <w:rsid w:val="00695DD7"/>
    <w:rsid w:val="0069626E"/>
    <w:rsid w:val="00696920"/>
    <w:rsid w:val="00696F91"/>
    <w:rsid w:val="00697A6E"/>
    <w:rsid w:val="00697EB4"/>
    <w:rsid w:val="006A0C17"/>
    <w:rsid w:val="006A0C53"/>
    <w:rsid w:val="006A0D18"/>
    <w:rsid w:val="006A1124"/>
    <w:rsid w:val="006A1821"/>
    <w:rsid w:val="006A1ED2"/>
    <w:rsid w:val="006A227E"/>
    <w:rsid w:val="006A2670"/>
    <w:rsid w:val="006A271C"/>
    <w:rsid w:val="006A28F4"/>
    <w:rsid w:val="006A32DC"/>
    <w:rsid w:val="006A3B93"/>
    <w:rsid w:val="006A3C72"/>
    <w:rsid w:val="006A3E03"/>
    <w:rsid w:val="006A44B3"/>
    <w:rsid w:val="006A4D40"/>
    <w:rsid w:val="006A4F6E"/>
    <w:rsid w:val="006A54C0"/>
    <w:rsid w:val="006A57E7"/>
    <w:rsid w:val="006A7392"/>
    <w:rsid w:val="006A78FA"/>
    <w:rsid w:val="006B03A1"/>
    <w:rsid w:val="006B11D7"/>
    <w:rsid w:val="006B21BA"/>
    <w:rsid w:val="006B29E8"/>
    <w:rsid w:val="006B2AAD"/>
    <w:rsid w:val="006B2B0A"/>
    <w:rsid w:val="006B2E43"/>
    <w:rsid w:val="006B3496"/>
    <w:rsid w:val="006B3632"/>
    <w:rsid w:val="006B4DA3"/>
    <w:rsid w:val="006B5720"/>
    <w:rsid w:val="006B578D"/>
    <w:rsid w:val="006B5F36"/>
    <w:rsid w:val="006B67D9"/>
    <w:rsid w:val="006B6B4F"/>
    <w:rsid w:val="006B6CB6"/>
    <w:rsid w:val="006B715E"/>
    <w:rsid w:val="006B7245"/>
    <w:rsid w:val="006B73CC"/>
    <w:rsid w:val="006B75FF"/>
    <w:rsid w:val="006B77A0"/>
    <w:rsid w:val="006B7A4A"/>
    <w:rsid w:val="006C08C8"/>
    <w:rsid w:val="006C093A"/>
    <w:rsid w:val="006C1376"/>
    <w:rsid w:val="006C16CA"/>
    <w:rsid w:val="006C1DB8"/>
    <w:rsid w:val="006C21E4"/>
    <w:rsid w:val="006C2354"/>
    <w:rsid w:val="006C261B"/>
    <w:rsid w:val="006C34CC"/>
    <w:rsid w:val="006C385A"/>
    <w:rsid w:val="006C395F"/>
    <w:rsid w:val="006C3C45"/>
    <w:rsid w:val="006C3C97"/>
    <w:rsid w:val="006C4467"/>
    <w:rsid w:val="006C4753"/>
    <w:rsid w:val="006C5194"/>
    <w:rsid w:val="006C5535"/>
    <w:rsid w:val="006C5FE3"/>
    <w:rsid w:val="006C62B6"/>
    <w:rsid w:val="006C64D4"/>
    <w:rsid w:val="006C64D7"/>
    <w:rsid w:val="006C7FB9"/>
    <w:rsid w:val="006D0589"/>
    <w:rsid w:val="006D06ED"/>
    <w:rsid w:val="006D09AE"/>
    <w:rsid w:val="006D0A6D"/>
    <w:rsid w:val="006D127B"/>
    <w:rsid w:val="006D1498"/>
    <w:rsid w:val="006D1571"/>
    <w:rsid w:val="006D1A2A"/>
    <w:rsid w:val="006D229D"/>
    <w:rsid w:val="006D263B"/>
    <w:rsid w:val="006D3542"/>
    <w:rsid w:val="006D4176"/>
    <w:rsid w:val="006D4E33"/>
    <w:rsid w:val="006D52D0"/>
    <w:rsid w:val="006D5728"/>
    <w:rsid w:val="006D57DC"/>
    <w:rsid w:val="006D5FF2"/>
    <w:rsid w:val="006D6389"/>
    <w:rsid w:val="006D6B4B"/>
    <w:rsid w:val="006D6BE8"/>
    <w:rsid w:val="006D6DC4"/>
    <w:rsid w:val="006D712E"/>
    <w:rsid w:val="006D77F3"/>
    <w:rsid w:val="006D7C5E"/>
    <w:rsid w:val="006D7EDC"/>
    <w:rsid w:val="006E0AD6"/>
    <w:rsid w:val="006E12CF"/>
    <w:rsid w:val="006E153F"/>
    <w:rsid w:val="006E180B"/>
    <w:rsid w:val="006E1A8E"/>
    <w:rsid w:val="006E29C9"/>
    <w:rsid w:val="006E29DE"/>
    <w:rsid w:val="006E2B5D"/>
    <w:rsid w:val="006E384A"/>
    <w:rsid w:val="006E3D4F"/>
    <w:rsid w:val="006E3D7C"/>
    <w:rsid w:val="006E3F2F"/>
    <w:rsid w:val="006E4033"/>
    <w:rsid w:val="006E48A8"/>
    <w:rsid w:val="006E4C50"/>
    <w:rsid w:val="006E564B"/>
    <w:rsid w:val="006E5AD9"/>
    <w:rsid w:val="006E5C5A"/>
    <w:rsid w:val="006E5D46"/>
    <w:rsid w:val="006E6122"/>
    <w:rsid w:val="006E61C3"/>
    <w:rsid w:val="006E65EA"/>
    <w:rsid w:val="006E6BCA"/>
    <w:rsid w:val="006E6E10"/>
    <w:rsid w:val="006E7154"/>
    <w:rsid w:val="006E71AD"/>
    <w:rsid w:val="006E7D67"/>
    <w:rsid w:val="006E7FB7"/>
    <w:rsid w:val="006F0954"/>
    <w:rsid w:val="006F0D56"/>
    <w:rsid w:val="006F2A50"/>
    <w:rsid w:val="006F335C"/>
    <w:rsid w:val="006F338F"/>
    <w:rsid w:val="006F35BE"/>
    <w:rsid w:val="006F36A5"/>
    <w:rsid w:val="006F3811"/>
    <w:rsid w:val="006F4A1C"/>
    <w:rsid w:val="006F4D07"/>
    <w:rsid w:val="006F5163"/>
    <w:rsid w:val="006F5665"/>
    <w:rsid w:val="006F5859"/>
    <w:rsid w:val="006F59F4"/>
    <w:rsid w:val="006F65C1"/>
    <w:rsid w:val="006F68BC"/>
    <w:rsid w:val="006F7842"/>
    <w:rsid w:val="006F7CE8"/>
    <w:rsid w:val="007003CD"/>
    <w:rsid w:val="00700BBD"/>
    <w:rsid w:val="00700C13"/>
    <w:rsid w:val="00700C70"/>
    <w:rsid w:val="00700F56"/>
    <w:rsid w:val="007020C4"/>
    <w:rsid w:val="0070351A"/>
    <w:rsid w:val="007036EE"/>
    <w:rsid w:val="00703BB8"/>
    <w:rsid w:val="0070423F"/>
    <w:rsid w:val="007044BF"/>
    <w:rsid w:val="00704B4E"/>
    <w:rsid w:val="00705357"/>
    <w:rsid w:val="0070543C"/>
    <w:rsid w:val="00705D5B"/>
    <w:rsid w:val="0070606E"/>
    <w:rsid w:val="00706561"/>
    <w:rsid w:val="0070660D"/>
    <w:rsid w:val="00706645"/>
    <w:rsid w:val="00706723"/>
    <w:rsid w:val="00706944"/>
    <w:rsid w:val="00706A28"/>
    <w:rsid w:val="0070701E"/>
    <w:rsid w:val="007071A7"/>
    <w:rsid w:val="00707BD9"/>
    <w:rsid w:val="00707E68"/>
    <w:rsid w:val="0071052C"/>
    <w:rsid w:val="0071082A"/>
    <w:rsid w:val="00710BC7"/>
    <w:rsid w:val="00711A7A"/>
    <w:rsid w:val="00711FD7"/>
    <w:rsid w:val="007120A4"/>
    <w:rsid w:val="007123D2"/>
    <w:rsid w:val="0071259D"/>
    <w:rsid w:val="0071276D"/>
    <w:rsid w:val="00712983"/>
    <w:rsid w:val="007134AD"/>
    <w:rsid w:val="0071381A"/>
    <w:rsid w:val="00713AAF"/>
    <w:rsid w:val="00713E83"/>
    <w:rsid w:val="00713F50"/>
    <w:rsid w:val="00714290"/>
    <w:rsid w:val="00714500"/>
    <w:rsid w:val="00714EC5"/>
    <w:rsid w:val="0071532C"/>
    <w:rsid w:val="00715852"/>
    <w:rsid w:val="0072022D"/>
    <w:rsid w:val="007204E4"/>
    <w:rsid w:val="007206BD"/>
    <w:rsid w:val="00720A25"/>
    <w:rsid w:val="007213E3"/>
    <w:rsid w:val="0072147E"/>
    <w:rsid w:val="00721BAC"/>
    <w:rsid w:val="007220CC"/>
    <w:rsid w:val="00722282"/>
    <w:rsid w:val="00722410"/>
    <w:rsid w:val="00722538"/>
    <w:rsid w:val="00722A6C"/>
    <w:rsid w:val="007230E4"/>
    <w:rsid w:val="007232BE"/>
    <w:rsid w:val="00723409"/>
    <w:rsid w:val="00723E14"/>
    <w:rsid w:val="00724002"/>
    <w:rsid w:val="0072456D"/>
    <w:rsid w:val="00724722"/>
    <w:rsid w:val="007247A0"/>
    <w:rsid w:val="007247F1"/>
    <w:rsid w:val="0072482D"/>
    <w:rsid w:val="007248F4"/>
    <w:rsid w:val="0072547A"/>
    <w:rsid w:val="00725D47"/>
    <w:rsid w:val="00725D96"/>
    <w:rsid w:val="00725E42"/>
    <w:rsid w:val="00725FE7"/>
    <w:rsid w:val="0072632A"/>
    <w:rsid w:val="00726485"/>
    <w:rsid w:val="007268DE"/>
    <w:rsid w:val="00726E43"/>
    <w:rsid w:val="0072707E"/>
    <w:rsid w:val="00727659"/>
    <w:rsid w:val="00727AD7"/>
    <w:rsid w:val="007302E1"/>
    <w:rsid w:val="00731B9B"/>
    <w:rsid w:val="00731C3F"/>
    <w:rsid w:val="00731C47"/>
    <w:rsid w:val="00731FCA"/>
    <w:rsid w:val="0073241A"/>
    <w:rsid w:val="0073268A"/>
    <w:rsid w:val="00732997"/>
    <w:rsid w:val="00733AD6"/>
    <w:rsid w:val="0073435B"/>
    <w:rsid w:val="007352C2"/>
    <w:rsid w:val="007354FB"/>
    <w:rsid w:val="007356A1"/>
    <w:rsid w:val="007358E8"/>
    <w:rsid w:val="007362ED"/>
    <w:rsid w:val="007364B1"/>
    <w:rsid w:val="007364B3"/>
    <w:rsid w:val="007365B8"/>
    <w:rsid w:val="007365C8"/>
    <w:rsid w:val="00736ECE"/>
    <w:rsid w:val="007370E0"/>
    <w:rsid w:val="0073711D"/>
    <w:rsid w:val="00737635"/>
    <w:rsid w:val="00737718"/>
    <w:rsid w:val="00737DCF"/>
    <w:rsid w:val="007402F7"/>
    <w:rsid w:val="00740384"/>
    <w:rsid w:val="007406FC"/>
    <w:rsid w:val="00740AD0"/>
    <w:rsid w:val="007414A6"/>
    <w:rsid w:val="00742D1A"/>
    <w:rsid w:val="00742E15"/>
    <w:rsid w:val="00742FAF"/>
    <w:rsid w:val="00743209"/>
    <w:rsid w:val="007432BE"/>
    <w:rsid w:val="007436E4"/>
    <w:rsid w:val="0074455C"/>
    <w:rsid w:val="007446BA"/>
    <w:rsid w:val="0074482A"/>
    <w:rsid w:val="00744BC4"/>
    <w:rsid w:val="0074513E"/>
    <w:rsid w:val="0074533B"/>
    <w:rsid w:val="00745887"/>
    <w:rsid w:val="00745B85"/>
    <w:rsid w:val="00745FC6"/>
    <w:rsid w:val="00746088"/>
    <w:rsid w:val="0074621F"/>
    <w:rsid w:val="007462E1"/>
    <w:rsid w:val="00746310"/>
    <w:rsid w:val="00746332"/>
    <w:rsid w:val="00746758"/>
    <w:rsid w:val="00746A72"/>
    <w:rsid w:val="00746EEF"/>
    <w:rsid w:val="00747095"/>
    <w:rsid w:val="00747384"/>
    <w:rsid w:val="00747433"/>
    <w:rsid w:val="00747868"/>
    <w:rsid w:val="0075013D"/>
    <w:rsid w:val="0075071E"/>
    <w:rsid w:val="00751D95"/>
    <w:rsid w:val="00751DCD"/>
    <w:rsid w:val="0075249D"/>
    <w:rsid w:val="00752A09"/>
    <w:rsid w:val="00752BDB"/>
    <w:rsid w:val="00752FE7"/>
    <w:rsid w:val="00753223"/>
    <w:rsid w:val="00753417"/>
    <w:rsid w:val="00753675"/>
    <w:rsid w:val="00753F15"/>
    <w:rsid w:val="00753FC0"/>
    <w:rsid w:val="00754220"/>
    <w:rsid w:val="00754424"/>
    <w:rsid w:val="007544F9"/>
    <w:rsid w:val="00754979"/>
    <w:rsid w:val="00754E26"/>
    <w:rsid w:val="00754EE3"/>
    <w:rsid w:val="00754F10"/>
    <w:rsid w:val="007554F6"/>
    <w:rsid w:val="007556EA"/>
    <w:rsid w:val="0075584C"/>
    <w:rsid w:val="00755BBB"/>
    <w:rsid w:val="00756805"/>
    <w:rsid w:val="00756B90"/>
    <w:rsid w:val="00757A13"/>
    <w:rsid w:val="00760DBB"/>
    <w:rsid w:val="0076108E"/>
    <w:rsid w:val="007610A0"/>
    <w:rsid w:val="00761409"/>
    <w:rsid w:val="00762ADB"/>
    <w:rsid w:val="007631A6"/>
    <w:rsid w:val="007631A9"/>
    <w:rsid w:val="007643BC"/>
    <w:rsid w:val="00764DA9"/>
    <w:rsid w:val="007651E0"/>
    <w:rsid w:val="007657BC"/>
    <w:rsid w:val="007657EC"/>
    <w:rsid w:val="00765D92"/>
    <w:rsid w:val="007660C6"/>
    <w:rsid w:val="0076674B"/>
    <w:rsid w:val="00766BD6"/>
    <w:rsid w:val="0076716D"/>
    <w:rsid w:val="007672A4"/>
    <w:rsid w:val="00767E73"/>
    <w:rsid w:val="00770542"/>
    <w:rsid w:val="00770608"/>
    <w:rsid w:val="00770F6C"/>
    <w:rsid w:val="007714D8"/>
    <w:rsid w:val="007715B4"/>
    <w:rsid w:val="00771703"/>
    <w:rsid w:val="00771D5F"/>
    <w:rsid w:val="0077287E"/>
    <w:rsid w:val="007728F5"/>
    <w:rsid w:val="00772CB2"/>
    <w:rsid w:val="007737E4"/>
    <w:rsid w:val="00774C6B"/>
    <w:rsid w:val="00774C8F"/>
    <w:rsid w:val="0077531A"/>
    <w:rsid w:val="0077580F"/>
    <w:rsid w:val="00776175"/>
    <w:rsid w:val="00776339"/>
    <w:rsid w:val="00776886"/>
    <w:rsid w:val="00776A1A"/>
    <w:rsid w:val="0077712E"/>
    <w:rsid w:val="00777254"/>
    <w:rsid w:val="007807E7"/>
    <w:rsid w:val="00781087"/>
    <w:rsid w:val="007818E2"/>
    <w:rsid w:val="0078216E"/>
    <w:rsid w:val="00782F8B"/>
    <w:rsid w:val="00783AB6"/>
    <w:rsid w:val="00783CBF"/>
    <w:rsid w:val="00784C85"/>
    <w:rsid w:val="00784DC7"/>
    <w:rsid w:val="007851B4"/>
    <w:rsid w:val="0078603F"/>
    <w:rsid w:val="0078608C"/>
    <w:rsid w:val="00786179"/>
    <w:rsid w:val="007861F5"/>
    <w:rsid w:val="007863CF"/>
    <w:rsid w:val="007868CC"/>
    <w:rsid w:val="00786BA0"/>
    <w:rsid w:val="0078789E"/>
    <w:rsid w:val="00787B3C"/>
    <w:rsid w:val="00787B40"/>
    <w:rsid w:val="00790951"/>
    <w:rsid w:val="00791D75"/>
    <w:rsid w:val="00791DE0"/>
    <w:rsid w:val="00792011"/>
    <w:rsid w:val="00792168"/>
    <w:rsid w:val="0079241E"/>
    <w:rsid w:val="00792E03"/>
    <w:rsid w:val="00793112"/>
    <w:rsid w:val="00793F8F"/>
    <w:rsid w:val="007945A7"/>
    <w:rsid w:val="00794B02"/>
    <w:rsid w:val="00795242"/>
    <w:rsid w:val="00795291"/>
    <w:rsid w:val="00795318"/>
    <w:rsid w:val="007959FE"/>
    <w:rsid w:val="00796BFD"/>
    <w:rsid w:val="00796DD9"/>
    <w:rsid w:val="00797269"/>
    <w:rsid w:val="007977E6"/>
    <w:rsid w:val="007977F5"/>
    <w:rsid w:val="00797E73"/>
    <w:rsid w:val="007A02FA"/>
    <w:rsid w:val="007A031F"/>
    <w:rsid w:val="007A077C"/>
    <w:rsid w:val="007A0888"/>
    <w:rsid w:val="007A0B38"/>
    <w:rsid w:val="007A0CF1"/>
    <w:rsid w:val="007A11E6"/>
    <w:rsid w:val="007A2D74"/>
    <w:rsid w:val="007A34B3"/>
    <w:rsid w:val="007A3B8F"/>
    <w:rsid w:val="007A4843"/>
    <w:rsid w:val="007A4B2D"/>
    <w:rsid w:val="007A4CBA"/>
    <w:rsid w:val="007A5524"/>
    <w:rsid w:val="007A5B7B"/>
    <w:rsid w:val="007A6327"/>
    <w:rsid w:val="007A6591"/>
    <w:rsid w:val="007A79D1"/>
    <w:rsid w:val="007B0D89"/>
    <w:rsid w:val="007B13D4"/>
    <w:rsid w:val="007B1739"/>
    <w:rsid w:val="007B1B8E"/>
    <w:rsid w:val="007B1BB8"/>
    <w:rsid w:val="007B1F98"/>
    <w:rsid w:val="007B20CD"/>
    <w:rsid w:val="007B22DE"/>
    <w:rsid w:val="007B235E"/>
    <w:rsid w:val="007B26D2"/>
    <w:rsid w:val="007B29B9"/>
    <w:rsid w:val="007B2D35"/>
    <w:rsid w:val="007B2ECD"/>
    <w:rsid w:val="007B34BB"/>
    <w:rsid w:val="007B49A4"/>
    <w:rsid w:val="007B4A39"/>
    <w:rsid w:val="007B4AB6"/>
    <w:rsid w:val="007B525A"/>
    <w:rsid w:val="007B5442"/>
    <w:rsid w:val="007B55D4"/>
    <w:rsid w:val="007B5CD7"/>
    <w:rsid w:val="007B664E"/>
    <w:rsid w:val="007B667F"/>
    <w:rsid w:val="007B672E"/>
    <w:rsid w:val="007B699A"/>
    <w:rsid w:val="007B6BA5"/>
    <w:rsid w:val="007B6D69"/>
    <w:rsid w:val="007B6F08"/>
    <w:rsid w:val="007B75A1"/>
    <w:rsid w:val="007B7C1B"/>
    <w:rsid w:val="007B7D66"/>
    <w:rsid w:val="007C0D3F"/>
    <w:rsid w:val="007C1137"/>
    <w:rsid w:val="007C1905"/>
    <w:rsid w:val="007C3277"/>
    <w:rsid w:val="007C3390"/>
    <w:rsid w:val="007C35C6"/>
    <w:rsid w:val="007C4153"/>
    <w:rsid w:val="007C42D8"/>
    <w:rsid w:val="007C48A0"/>
    <w:rsid w:val="007C4CC5"/>
    <w:rsid w:val="007C4F4B"/>
    <w:rsid w:val="007C599E"/>
    <w:rsid w:val="007C5A09"/>
    <w:rsid w:val="007C6FF7"/>
    <w:rsid w:val="007C7004"/>
    <w:rsid w:val="007C75C1"/>
    <w:rsid w:val="007C7E01"/>
    <w:rsid w:val="007D0857"/>
    <w:rsid w:val="007D09A9"/>
    <w:rsid w:val="007D0E89"/>
    <w:rsid w:val="007D0F86"/>
    <w:rsid w:val="007D1563"/>
    <w:rsid w:val="007D1727"/>
    <w:rsid w:val="007D1EF4"/>
    <w:rsid w:val="007D31EC"/>
    <w:rsid w:val="007D35CA"/>
    <w:rsid w:val="007D453F"/>
    <w:rsid w:val="007D471C"/>
    <w:rsid w:val="007D490B"/>
    <w:rsid w:val="007D4F5D"/>
    <w:rsid w:val="007D506A"/>
    <w:rsid w:val="007D52B1"/>
    <w:rsid w:val="007D56A6"/>
    <w:rsid w:val="007D591E"/>
    <w:rsid w:val="007D5B7C"/>
    <w:rsid w:val="007D5F24"/>
    <w:rsid w:val="007D5FA1"/>
    <w:rsid w:val="007D66D7"/>
    <w:rsid w:val="007D70C6"/>
    <w:rsid w:val="007D7362"/>
    <w:rsid w:val="007D7574"/>
    <w:rsid w:val="007D7C7A"/>
    <w:rsid w:val="007D7CBC"/>
    <w:rsid w:val="007D7FA1"/>
    <w:rsid w:val="007E07E5"/>
    <w:rsid w:val="007E0CE9"/>
    <w:rsid w:val="007E12F5"/>
    <w:rsid w:val="007E1644"/>
    <w:rsid w:val="007E1646"/>
    <w:rsid w:val="007E19B2"/>
    <w:rsid w:val="007E1F02"/>
    <w:rsid w:val="007E24CF"/>
    <w:rsid w:val="007E2702"/>
    <w:rsid w:val="007E2A89"/>
    <w:rsid w:val="007E346C"/>
    <w:rsid w:val="007E3474"/>
    <w:rsid w:val="007E4815"/>
    <w:rsid w:val="007E591D"/>
    <w:rsid w:val="007E5BD3"/>
    <w:rsid w:val="007E5C34"/>
    <w:rsid w:val="007E5D33"/>
    <w:rsid w:val="007E5FA3"/>
    <w:rsid w:val="007E617B"/>
    <w:rsid w:val="007E6982"/>
    <w:rsid w:val="007E6CFF"/>
    <w:rsid w:val="007E6D1F"/>
    <w:rsid w:val="007E70DE"/>
    <w:rsid w:val="007E729C"/>
    <w:rsid w:val="007E757B"/>
    <w:rsid w:val="007E7916"/>
    <w:rsid w:val="007E7FE1"/>
    <w:rsid w:val="007F023C"/>
    <w:rsid w:val="007F080A"/>
    <w:rsid w:val="007F08A8"/>
    <w:rsid w:val="007F0907"/>
    <w:rsid w:val="007F0FC3"/>
    <w:rsid w:val="007F100B"/>
    <w:rsid w:val="007F1139"/>
    <w:rsid w:val="007F11F2"/>
    <w:rsid w:val="007F13A9"/>
    <w:rsid w:val="007F1FE4"/>
    <w:rsid w:val="007F246B"/>
    <w:rsid w:val="007F24ED"/>
    <w:rsid w:val="007F25AA"/>
    <w:rsid w:val="007F25C9"/>
    <w:rsid w:val="007F3534"/>
    <w:rsid w:val="007F3602"/>
    <w:rsid w:val="007F3990"/>
    <w:rsid w:val="007F43CB"/>
    <w:rsid w:val="007F494F"/>
    <w:rsid w:val="007F4996"/>
    <w:rsid w:val="007F4AEC"/>
    <w:rsid w:val="007F4EBA"/>
    <w:rsid w:val="007F5416"/>
    <w:rsid w:val="007F59AD"/>
    <w:rsid w:val="007F5B81"/>
    <w:rsid w:val="007F5CE2"/>
    <w:rsid w:val="007F6611"/>
    <w:rsid w:val="007F6A26"/>
    <w:rsid w:val="007F6F76"/>
    <w:rsid w:val="007F7A88"/>
    <w:rsid w:val="007F7BAF"/>
    <w:rsid w:val="007F7CC9"/>
    <w:rsid w:val="007F7EEB"/>
    <w:rsid w:val="007F7F89"/>
    <w:rsid w:val="0080040D"/>
    <w:rsid w:val="00801D3F"/>
    <w:rsid w:val="008025B1"/>
    <w:rsid w:val="008028F3"/>
    <w:rsid w:val="00802981"/>
    <w:rsid w:val="00802DFC"/>
    <w:rsid w:val="0080325F"/>
    <w:rsid w:val="008036ED"/>
    <w:rsid w:val="008036EE"/>
    <w:rsid w:val="00803707"/>
    <w:rsid w:val="00803855"/>
    <w:rsid w:val="0080413F"/>
    <w:rsid w:val="00804333"/>
    <w:rsid w:val="00804D33"/>
    <w:rsid w:val="00804D45"/>
    <w:rsid w:val="00805558"/>
    <w:rsid w:val="00805C4E"/>
    <w:rsid w:val="00805C63"/>
    <w:rsid w:val="00805EAD"/>
    <w:rsid w:val="00806D4D"/>
    <w:rsid w:val="00806E5C"/>
    <w:rsid w:val="00807B4E"/>
    <w:rsid w:val="00807D54"/>
    <w:rsid w:val="00807F9D"/>
    <w:rsid w:val="00810039"/>
    <w:rsid w:val="00810778"/>
    <w:rsid w:val="00810BAC"/>
    <w:rsid w:val="00811042"/>
    <w:rsid w:val="0081118B"/>
    <w:rsid w:val="00811512"/>
    <w:rsid w:val="00811920"/>
    <w:rsid w:val="00811C39"/>
    <w:rsid w:val="00812729"/>
    <w:rsid w:val="00812BDB"/>
    <w:rsid w:val="008131B6"/>
    <w:rsid w:val="00814E6F"/>
    <w:rsid w:val="0081565D"/>
    <w:rsid w:val="00815D6F"/>
    <w:rsid w:val="008161E5"/>
    <w:rsid w:val="008168DC"/>
    <w:rsid w:val="00816A96"/>
    <w:rsid w:val="00816C90"/>
    <w:rsid w:val="008172AA"/>
    <w:rsid w:val="008175E9"/>
    <w:rsid w:val="00817914"/>
    <w:rsid w:val="008179DB"/>
    <w:rsid w:val="008204B4"/>
    <w:rsid w:val="00820F64"/>
    <w:rsid w:val="008218FE"/>
    <w:rsid w:val="00821CC4"/>
    <w:rsid w:val="00821FB6"/>
    <w:rsid w:val="008227E0"/>
    <w:rsid w:val="008228F7"/>
    <w:rsid w:val="00822A35"/>
    <w:rsid w:val="00822DD7"/>
    <w:rsid w:val="00823799"/>
    <w:rsid w:val="00823914"/>
    <w:rsid w:val="008242D7"/>
    <w:rsid w:val="008242E5"/>
    <w:rsid w:val="0082515F"/>
    <w:rsid w:val="0082577B"/>
    <w:rsid w:val="00825901"/>
    <w:rsid w:val="008268B6"/>
    <w:rsid w:val="00826F5B"/>
    <w:rsid w:val="0082714A"/>
    <w:rsid w:val="00827535"/>
    <w:rsid w:val="00830C56"/>
    <w:rsid w:val="0083109A"/>
    <w:rsid w:val="008314B1"/>
    <w:rsid w:val="0083167B"/>
    <w:rsid w:val="0083193D"/>
    <w:rsid w:val="00831A5B"/>
    <w:rsid w:val="00832050"/>
    <w:rsid w:val="00832078"/>
    <w:rsid w:val="008322AE"/>
    <w:rsid w:val="00832C22"/>
    <w:rsid w:val="00833366"/>
    <w:rsid w:val="00833B40"/>
    <w:rsid w:val="00833BFA"/>
    <w:rsid w:val="00834F4A"/>
    <w:rsid w:val="00836319"/>
    <w:rsid w:val="008363DC"/>
    <w:rsid w:val="008365C7"/>
    <w:rsid w:val="00836797"/>
    <w:rsid w:val="008372CD"/>
    <w:rsid w:val="008373DA"/>
    <w:rsid w:val="0083747A"/>
    <w:rsid w:val="00837695"/>
    <w:rsid w:val="008378EB"/>
    <w:rsid w:val="00837A24"/>
    <w:rsid w:val="00837F3B"/>
    <w:rsid w:val="008400E3"/>
    <w:rsid w:val="008405A0"/>
    <w:rsid w:val="0084115F"/>
    <w:rsid w:val="00841E63"/>
    <w:rsid w:val="00843045"/>
    <w:rsid w:val="0084354D"/>
    <w:rsid w:val="008437E7"/>
    <w:rsid w:val="00843CA1"/>
    <w:rsid w:val="00844413"/>
    <w:rsid w:val="00844429"/>
    <w:rsid w:val="00844D14"/>
    <w:rsid w:val="0084538E"/>
    <w:rsid w:val="00845779"/>
    <w:rsid w:val="008459EA"/>
    <w:rsid w:val="00845A7A"/>
    <w:rsid w:val="00845CF9"/>
    <w:rsid w:val="008462D3"/>
    <w:rsid w:val="008471C1"/>
    <w:rsid w:val="008474EA"/>
    <w:rsid w:val="0084793C"/>
    <w:rsid w:val="0085019C"/>
    <w:rsid w:val="008509B2"/>
    <w:rsid w:val="00851140"/>
    <w:rsid w:val="00851170"/>
    <w:rsid w:val="00851A19"/>
    <w:rsid w:val="00851CF5"/>
    <w:rsid w:val="008524A8"/>
    <w:rsid w:val="00852D0F"/>
    <w:rsid w:val="00852D19"/>
    <w:rsid w:val="008534CD"/>
    <w:rsid w:val="0085366C"/>
    <w:rsid w:val="008546EC"/>
    <w:rsid w:val="00854CBA"/>
    <w:rsid w:val="00854D8F"/>
    <w:rsid w:val="0085531E"/>
    <w:rsid w:val="00855420"/>
    <w:rsid w:val="00855A57"/>
    <w:rsid w:val="00855DFD"/>
    <w:rsid w:val="00856277"/>
    <w:rsid w:val="008565D1"/>
    <w:rsid w:val="00856721"/>
    <w:rsid w:val="0085686F"/>
    <w:rsid w:val="008578A6"/>
    <w:rsid w:val="00857C4E"/>
    <w:rsid w:val="0086132C"/>
    <w:rsid w:val="008617DB"/>
    <w:rsid w:val="00861D37"/>
    <w:rsid w:val="00861E14"/>
    <w:rsid w:val="008620D9"/>
    <w:rsid w:val="008624C1"/>
    <w:rsid w:val="00862B03"/>
    <w:rsid w:val="00862B5D"/>
    <w:rsid w:val="0086354E"/>
    <w:rsid w:val="00863743"/>
    <w:rsid w:val="00863C3C"/>
    <w:rsid w:val="00864817"/>
    <w:rsid w:val="00865340"/>
    <w:rsid w:val="00865453"/>
    <w:rsid w:val="0086597F"/>
    <w:rsid w:val="008659D8"/>
    <w:rsid w:val="00866272"/>
    <w:rsid w:val="00866893"/>
    <w:rsid w:val="00866EA9"/>
    <w:rsid w:val="00866F02"/>
    <w:rsid w:val="00866F82"/>
    <w:rsid w:val="00867047"/>
    <w:rsid w:val="00867167"/>
    <w:rsid w:val="0086772E"/>
    <w:rsid w:val="00867977"/>
    <w:rsid w:val="00867D18"/>
    <w:rsid w:val="008713C5"/>
    <w:rsid w:val="00871A4F"/>
    <w:rsid w:val="00871C57"/>
    <w:rsid w:val="00871F9A"/>
    <w:rsid w:val="00871FD5"/>
    <w:rsid w:val="00872A96"/>
    <w:rsid w:val="00873975"/>
    <w:rsid w:val="00873BA0"/>
    <w:rsid w:val="0087401B"/>
    <w:rsid w:val="0087413F"/>
    <w:rsid w:val="008743B1"/>
    <w:rsid w:val="0087492A"/>
    <w:rsid w:val="00874D74"/>
    <w:rsid w:val="00875816"/>
    <w:rsid w:val="008760C4"/>
    <w:rsid w:val="00876860"/>
    <w:rsid w:val="00876A78"/>
    <w:rsid w:val="00876AF7"/>
    <w:rsid w:val="00876F90"/>
    <w:rsid w:val="00877B83"/>
    <w:rsid w:val="00880644"/>
    <w:rsid w:val="00880F51"/>
    <w:rsid w:val="00880F56"/>
    <w:rsid w:val="008810B3"/>
    <w:rsid w:val="0088124E"/>
    <w:rsid w:val="0088172E"/>
    <w:rsid w:val="00881EFA"/>
    <w:rsid w:val="008820BB"/>
    <w:rsid w:val="00882E47"/>
    <w:rsid w:val="008835AB"/>
    <w:rsid w:val="00883C1F"/>
    <w:rsid w:val="00883C2A"/>
    <w:rsid w:val="00883ED9"/>
    <w:rsid w:val="00884770"/>
    <w:rsid w:val="008848D9"/>
    <w:rsid w:val="00884AF6"/>
    <w:rsid w:val="00885508"/>
    <w:rsid w:val="0088562E"/>
    <w:rsid w:val="008856C5"/>
    <w:rsid w:val="00885D36"/>
    <w:rsid w:val="00885DC6"/>
    <w:rsid w:val="00885E6E"/>
    <w:rsid w:val="0088615E"/>
    <w:rsid w:val="00886544"/>
    <w:rsid w:val="00886579"/>
    <w:rsid w:val="00886A09"/>
    <w:rsid w:val="00886BC7"/>
    <w:rsid w:val="00886C9E"/>
    <w:rsid w:val="00887145"/>
    <w:rsid w:val="00887387"/>
    <w:rsid w:val="008879CB"/>
    <w:rsid w:val="00887C0F"/>
    <w:rsid w:val="00887DE3"/>
    <w:rsid w:val="008902F2"/>
    <w:rsid w:val="00890589"/>
    <w:rsid w:val="00890C6A"/>
    <w:rsid w:val="008910E1"/>
    <w:rsid w:val="0089116C"/>
    <w:rsid w:val="00891462"/>
    <w:rsid w:val="00891C76"/>
    <w:rsid w:val="00891E6E"/>
    <w:rsid w:val="00891E7D"/>
    <w:rsid w:val="008922A7"/>
    <w:rsid w:val="00892F3F"/>
    <w:rsid w:val="00893E1A"/>
    <w:rsid w:val="00894163"/>
    <w:rsid w:val="00894181"/>
    <w:rsid w:val="00894A24"/>
    <w:rsid w:val="00895335"/>
    <w:rsid w:val="00895953"/>
    <w:rsid w:val="00895CCA"/>
    <w:rsid w:val="00895E9A"/>
    <w:rsid w:val="00895F77"/>
    <w:rsid w:val="00896806"/>
    <w:rsid w:val="00896D6F"/>
    <w:rsid w:val="0089704D"/>
    <w:rsid w:val="008972FD"/>
    <w:rsid w:val="008979B1"/>
    <w:rsid w:val="008A035C"/>
    <w:rsid w:val="008A11CB"/>
    <w:rsid w:val="008A1C10"/>
    <w:rsid w:val="008A206E"/>
    <w:rsid w:val="008A207F"/>
    <w:rsid w:val="008A224C"/>
    <w:rsid w:val="008A256E"/>
    <w:rsid w:val="008A2669"/>
    <w:rsid w:val="008A2C8E"/>
    <w:rsid w:val="008A2E83"/>
    <w:rsid w:val="008A3053"/>
    <w:rsid w:val="008A3CF7"/>
    <w:rsid w:val="008A4200"/>
    <w:rsid w:val="008A460D"/>
    <w:rsid w:val="008A4677"/>
    <w:rsid w:val="008A4759"/>
    <w:rsid w:val="008A47F9"/>
    <w:rsid w:val="008A4CE5"/>
    <w:rsid w:val="008A4D19"/>
    <w:rsid w:val="008A5279"/>
    <w:rsid w:val="008A630D"/>
    <w:rsid w:val="008A6B25"/>
    <w:rsid w:val="008A6C4F"/>
    <w:rsid w:val="008A6EDB"/>
    <w:rsid w:val="008A72DA"/>
    <w:rsid w:val="008A74C6"/>
    <w:rsid w:val="008A7D56"/>
    <w:rsid w:val="008A7FAC"/>
    <w:rsid w:val="008B064F"/>
    <w:rsid w:val="008B0C78"/>
    <w:rsid w:val="008B0C7A"/>
    <w:rsid w:val="008B127C"/>
    <w:rsid w:val="008B1C09"/>
    <w:rsid w:val="008B20BA"/>
    <w:rsid w:val="008B2C97"/>
    <w:rsid w:val="008B2CCA"/>
    <w:rsid w:val="008B30FF"/>
    <w:rsid w:val="008B34D3"/>
    <w:rsid w:val="008B350C"/>
    <w:rsid w:val="008B3539"/>
    <w:rsid w:val="008B389E"/>
    <w:rsid w:val="008B40CF"/>
    <w:rsid w:val="008B42B4"/>
    <w:rsid w:val="008B48F6"/>
    <w:rsid w:val="008B4B74"/>
    <w:rsid w:val="008B4E89"/>
    <w:rsid w:val="008B526F"/>
    <w:rsid w:val="008B53E5"/>
    <w:rsid w:val="008B5654"/>
    <w:rsid w:val="008B57A5"/>
    <w:rsid w:val="008B5FCB"/>
    <w:rsid w:val="008B6207"/>
    <w:rsid w:val="008B6411"/>
    <w:rsid w:val="008B682D"/>
    <w:rsid w:val="008B6E6A"/>
    <w:rsid w:val="008C005D"/>
    <w:rsid w:val="008C0220"/>
    <w:rsid w:val="008C0754"/>
    <w:rsid w:val="008C0A48"/>
    <w:rsid w:val="008C10C1"/>
    <w:rsid w:val="008C22DC"/>
    <w:rsid w:val="008C36B8"/>
    <w:rsid w:val="008C37AF"/>
    <w:rsid w:val="008C3A70"/>
    <w:rsid w:val="008C41E0"/>
    <w:rsid w:val="008C483E"/>
    <w:rsid w:val="008C4AE0"/>
    <w:rsid w:val="008C5FDB"/>
    <w:rsid w:val="008C66A6"/>
    <w:rsid w:val="008C6803"/>
    <w:rsid w:val="008C6CED"/>
    <w:rsid w:val="008C6F63"/>
    <w:rsid w:val="008C712E"/>
    <w:rsid w:val="008C7193"/>
    <w:rsid w:val="008C7518"/>
    <w:rsid w:val="008D045E"/>
    <w:rsid w:val="008D0BEF"/>
    <w:rsid w:val="008D0E20"/>
    <w:rsid w:val="008D1F0F"/>
    <w:rsid w:val="008D2072"/>
    <w:rsid w:val="008D21BA"/>
    <w:rsid w:val="008D24BC"/>
    <w:rsid w:val="008D2565"/>
    <w:rsid w:val="008D2A1D"/>
    <w:rsid w:val="008D3569"/>
    <w:rsid w:val="008D3F25"/>
    <w:rsid w:val="008D4D82"/>
    <w:rsid w:val="008D554B"/>
    <w:rsid w:val="008D555C"/>
    <w:rsid w:val="008D58CC"/>
    <w:rsid w:val="008D63FF"/>
    <w:rsid w:val="008D68E0"/>
    <w:rsid w:val="008D71D1"/>
    <w:rsid w:val="008D74C0"/>
    <w:rsid w:val="008D7644"/>
    <w:rsid w:val="008D79E6"/>
    <w:rsid w:val="008E0AAF"/>
    <w:rsid w:val="008E0E46"/>
    <w:rsid w:val="008E1260"/>
    <w:rsid w:val="008E126F"/>
    <w:rsid w:val="008E1829"/>
    <w:rsid w:val="008E2145"/>
    <w:rsid w:val="008E23C8"/>
    <w:rsid w:val="008E2EEC"/>
    <w:rsid w:val="008E3269"/>
    <w:rsid w:val="008E3F09"/>
    <w:rsid w:val="008E483C"/>
    <w:rsid w:val="008E49A6"/>
    <w:rsid w:val="008E4E3C"/>
    <w:rsid w:val="008E4F63"/>
    <w:rsid w:val="008E4F71"/>
    <w:rsid w:val="008E5291"/>
    <w:rsid w:val="008E5505"/>
    <w:rsid w:val="008E567A"/>
    <w:rsid w:val="008E5FC6"/>
    <w:rsid w:val="008E6499"/>
    <w:rsid w:val="008E6779"/>
    <w:rsid w:val="008E6A41"/>
    <w:rsid w:val="008E7116"/>
    <w:rsid w:val="008E7E07"/>
    <w:rsid w:val="008F0A0F"/>
    <w:rsid w:val="008F0BFC"/>
    <w:rsid w:val="008F0C17"/>
    <w:rsid w:val="008F1067"/>
    <w:rsid w:val="008F129B"/>
    <w:rsid w:val="008F143B"/>
    <w:rsid w:val="008F14A1"/>
    <w:rsid w:val="008F1877"/>
    <w:rsid w:val="008F2045"/>
    <w:rsid w:val="008F2410"/>
    <w:rsid w:val="008F2B7F"/>
    <w:rsid w:val="008F362A"/>
    <w:rsid w:val="008F3817"/>
    <w:rsid w:val="008F3882"/>
    <w:rsid w:val="008F3B26"/>
    <w:rsid w:val="008F3DCF"/>
    <w:rsid w:val="008F3E27"/>
    <w:rsid w:val="008F4B48"/>
    <w:rsid w:val="008F4B7C"/>
    <w:rsid w:val="008F5961"/>
    <w:rsid w:val="008F5D94"/>
    <w:rsid w:val="008F61B1"/>
    <w:rsid w:val="008F6201"/>
    <w:rsid w:val="008F63A4"/>
    <w:rsid w:val="008F63DA"/>
    <w:rsid w:val="008F64FD"/>
    <w:rsid w:val="008F6AF2"/>
    <w:rsid w:val="008F6B0C"/>
    <w:rsid w:val="008F6B8A"/>
    <w:rsid w:val="008F6D03"/>
    <w:rsid w:val="008F7FEA"/>
    <w:rsid w:val="00900469"/>
    <w:rsid w:val="009013F9"/>
    <w:rsid w:val="00901490"/>
    <w:rsid w:val="00901497"/>
    <w:rsid w:val="00902036"/>
    <w:rsid w:val="00902845"/>
    <w:rsid w:val="00902BD8"/>
    <w:rsid w:val="00904286"/>
    <w:rsid w:val="009046E9"/>
    <w:rsid w:val="00904FB2"/>
    <w:rsid w:val="00905292"/>
    <w:rsid w:val="00905D66"/>
    <w:rsid w:val="009061D6"/>
    <w:rsid w:val="00906527"/>
    <w:rsid w:val="00906A78"/>
    <w:rsid w:val="00906C23"/>
    <w:rsid w:val="00906F6A"/>
    <w:rsid w:val="00907235"/>
    <w:rsid w:val="00907E12"/>
    <w:rsid w:val="0091087B"/>
    <w:rsid w:val="00910B64"/>
    <w:rsid w:val="00911005"/>
    <w:rsid w:val="0091176A"/>
    <w:rsid w:val="009119A8"/>
    <w:rsid w:val="00912ECF"/>
    <w:rsid w:val="009140D2"/>
    <w:rsid w:val="00914601"/>
    <w:rsid w:val="00914745"/>
    <w:rsid w:val="0091478A"/>
    <w:rsid w:val="00914C21"/>
    <w:rsid w:val="0091522E"/>
    <w:rsid w:val="00915398"/>
    <w:rsid w:val="009157F8"/>
    <w:rsid w:val="00915C1B"/>
    <w:rsid w:val="00915D7D"/>
    <w:rsid w:val="00916934"/>
    <w:rsid w:val="00916D52"/>
    <w:rsid w:val="00916DB3"/>
    <w:rsid w:val="00916DC1"/>
    <w:rsid w:val="009170FA"/>
    <w:rsid w:val="00917351"/>
    <w:rsid w:val="00917386"/>
    <w:rsid w:val="00917AAE"/>
    <w:rsid w:val="00917CD2"/>
    <w:rsid w:val="00920306"/>
    <w:rsid w:val="00920D09"/>
    <w:rsid w:val="009210B9"/>
    <w:rsid w:val="00921907"/>
    <w:rsid w:val="0092202F"/>
    <w:rsid w:val="009226BD"/>
    <w:rsid w:val="00922932"/>
    <w:rsid w:val="00922D78"/>
    <w:rsid w:val="0092359E"/>
    <w:rsid w:val="009235BE"/>
    <w:rsid w:val="00923882"/>
    <w:rsid w:val="00923D6A"/>
    <w:rsid w:val="00923DA5"/>
    <w:rsid w:val="00923FAB"/>
    <w:rsid w:val="00924280"/>
    <w:rsid w:val="009245EC"/>
    <w:rsid w:val="00924EF0"/>
    <w:rsid w:val="00924FA4"/>
    <w:rsid w:val="0092521F"/>
    <w:rsid w:val="0092559B"/>
    <w:rsid w:val="009259C5"/>
    <w:rsid w:val="00925B73"/>
    <w:rsid w:val="00925C17"/>
    <w:rsid w:val="00925C5E"/>
    <w:rsid w:val="00926E47"/>
    <w:rsid w:val="0092718A"/>
    <w:rsid w:val="00927365"/>
    <w:rsid w:val="009277CE"/>
    <w:rsid w:val="00930447"/>
    <w:rsid w:val="00930537"/>
    <w:rsid w:val="0093063A"/>
    <w:rsid w:val="00930B1C"/>
    <w:rsid w:val="009318A3"/>
    <w:rsid w:val="0093197F"/>
    <w:rsid w:val="00931A73"/>
    <w:rsid w:val="00932F04"/>
    <w:rsid w:val="00932F07"/>
    <w:rsid w:val="009339E6"/>
    <w:rsid w:val="00934879"/>
    <w:rsid w:val="009348C4"/>
    <w:rsid w:val="00934D0B"/>
    <w:rsid w:val="0093568D"/>
    <w:rsid w:val="00935BDB"/>
    <w:rsid w:val="00935CED"/>
    <w:rsid w:val="00935EC4"/>
    <w:rsid w:val="0093608E"/>
    <w:rsid w:val="009369F7"/>
    <w:rsid w:val="00936D0D"/>
    <w:rsid w:val="00937A7B"/>
    <w:rsid w:val="00937C41"/>
    <w:rsid w:val="00940B35"/>
    <w:rsid w:val="00940BDD"/>
    <w:rsid w:val="00940DD2"/>
    <w:rsid w:val="0094100A"/>
    <w:rsid w:val="00941571"/>
    <w:rsid w:val="00941F9B"/>
    <w:rsid w:val="009423C5"/>
    <w:rsid w:val="0094252B"/>
    <w:rsid w:val="00942869"/>
    <w:rsid w:val="00943294"/>
    <w:rsid w:val="0094336A"/>
    <w:rsid w:val="009433D0"/>
    <w:rsid w:val="00943512"/>
    <w:rsid w:val="0094450A"/>
    <w:rsid w:val="009456DC"/>
    <w:rsid w:val="00945BF5"/>
    <w:rsid w:val="009462F3"/>
    <w:rsid w:val="0094693C"/>
    <w:rsid w:val="0094695D"/>
    <w:rsid w:val="009469DF"/>
    <w:rsid w:val="0094703B"/>
    <w:rsid w:val="00947162"/>
    <w:rsid w:val="00947512"/>
    <w:rsid w:val="0095024E"/>
    <w:rsid w:val="0095080E"/>
    <w:rsid w:val="009508E4"/>
    <w:rsid w:val="00950BF6"/>
    <w:rsid w:val="00950C47"/>
    <w:rsid w:val="00952B57"/>
    <w:rsid w:val="00953884"/>
    <w:rsid w:val="0095431A"/>
    <w:rsid w:val="00954472"/>
    <w:rsid w:val="00954D07"/>
    <w:rsid w:val="00954D30"/>
    <w:rsid w:val="009558B0"/>
    <w:rsid w:val="00956981"/>
    <w:rsid w:val="00956F6C"/>
    <w:rsid w:val="0095701F"/>
    <w:rsid w:val="00957092"/>
    <w:rsid w:val="009575E3"/>
    <w:rsid w:val="0095773E"/>
    <w:rsid w:val="0095788C"/>
    <w:rsid w:val="009578B7"/>
    <w:rsid w:val="009602CC"/>
    <w:rsid w:val="0096065C"/>
    <w:rsid w:val="009607E9"/>
    <w:rsid w:val="00960BEF"/>
    <w:rsid w:val="00960F92"/>
    <w:rsid w:val="009610D0"/>
    <w:rsid w:val="0096134F"/>
    <w:rsid w:val="0096271A"/>
    <w:rsid w:val="00962A34"/>
    <w:rsid w:val="00962A61"/>
    <w:rsid w:val="009631C0"/>
    <w:rsid w:val="00963506"/>
    <w:rsid w:val="0096375C"/>
    <w:rsid w:val="00963AA3"/>
    <w:rsid w:val="00964070"/>
    <w:rsid w:val="009645AD"/>
    <w:rsid w:val="00964D08"/>
    <w:rsid w:val="00965730"/>
    <w:rsid w:val="00965E6C"/>
    <w:rsid w:val="009662E6"/>
    <w:rsid w:val="009667BB"/>
    <w:rsid w:val="00966BAA"/>
    <w:rsid w:val="009670D8"/>
    <w:rsid w:val="009675D2"/>
    <w:rsid w:val="0096772D"/>
    <w:rsid w:val="00967768"/>
    <w:rsid w:val="00967E57"/>
    <w:rsid w:val="00967F6A"/>
    <w:rsid w:val="0097000C"/>
    <w:rsid w:val="00970640"/>
    <w:rsid w:val="0097067C"/>
    <w:rsid w:val="0097095E"/>
    <w:rsid w:val="009709C4"/>
    <w:rsid w:val="00970D24"/>
    <w:rsid w:val="00971570"/>
    <w:rsid w:val="009719B9"/>
    <w:rsid w:val="00971BCF"/>
    <w:rsid w:val="009726AD"/>
    <w:rsid w:val="00973F3D"/>
    <w:rsid w:val="00974822"/>
    <w:rsid w:val="00974FD4"/>
    <w:rsid w:val="009751AA"/>
    <w:rsid w:val="009753A3"/>
    <w:rsid w:val="00975CD3"/>
    <w:rsid w:val="00975E76"/>
    <w:rsid w:val="00976176"/>
    <w:rsid w:val="0097639B"/>
    <w:rsid w:val="009765A4"/>
    <w:rsid w:val="00976B90"/>
    <w:rsid w:val="00976E39"/>
    <w:rsid w:val="00976F6A"/>
    <w:rsid w:val="00977C64"/>
    <w:rsid w:val="0098004E"/>
    <w:rsid w:val="00980316"/>
    <w:rsid w:val="00980EC9"/>
    <w:rsid w:val="009814E0"/>
    <w:rsid w:val="00981C01"/>
    <w:rsid w:val="009826E0"/>
    <w:rsid w:val="00982BB4"/>
    <w:rsid w:val="00982CA7"/>
    <w:rsid w:val="009835FC"/>
    <w:rsid w:val="00983AC7"/>
    <w:rsid w:val="00983DC0"/>
    <w:rsid w:val="00983E6D"/>
    <w:rsid w:val="00983F82"/>
    <w:rsid w:val="009844C8"/>
    <w:rsid w:val="00984889"/>
    <w:rsid w:val="0098592B"/>
    <w:rsid w:val="009859E8"/>
    <w:rsid w:val="00985FC4"/>
    <w:rsid w:val="009860D6"/>
    <w:rsid w:val="00986443"/>
    <w:rsid w:val="009865B5"/>
    <w:rsid w:val="0098703A"/>
    <w:rsid w:val="0098713B"/>
    <w:rsid w:val="00987310"/>
    <w:rsid w:val="0098753C"/>
    <w:rsid w:val="00987924"/>
    <w:rsid w:val="00990610"/>
    <w:rsid w:val="00990766"/>
    <w:rsid w:val="00990883"/>
    <w:rsid w:val="0099106F"/>
    <w:rsid w:val="009910BF"/>
    <w:rsid w:val="00991261"/>
    <w:rsid w:val="0099154E"/>
    <w:rsid w:val="00991B2B"/>
    <w:rsid w:val="00992FFA"/>
    <w:rsid w:val="00993177"/>
    <w:rsid w:val="00993308"/>
    <w:rsid w:val="00994960"/>
    <w:rsid w:val="00995382"/>
    <w:rsid w:val="00996279"/>
    <w:rsid w:val="009964C4"/>
    <w:rsid w:val="009964FC"/>
    <w:rsid w:val="009969E3"/>
    <w:rsid w:val="009970E5"/>
    <w:rsid w:val="00997264"/>
    <w:rsid w:val="009972A9"/>
    <w:rsid w:val="0099768C"/>
    <w:rsid w:val="0099796A"/>
    <w:rsid w:val="009A0275"/>
    <w:rsid w:val="009A0B91"/>
    <w:rsid w:val="009A1282"/>
    <w:rsid w:val="009A1A31"/>
    <w:rsid w:val="009A1E22"/>
    <w:rsid w:val="009A2088"/>
    <w:rsid w:val="009A2101"/>
    <w:rsid w:val="009A2B9E"/>
    <w:rsid w:val="009A2C02"/>
    <w:rsid w:val="009A357A"/>
    <w:rsid w:val="009A359F"/>
    <w:rsid w:val="009A36A5"/>
    <w:rsid w:val="009A36B3"/>
    <w:rsid w:val="009A3A0D"/>
    <w:rsid w:val="009A3A11"/>
    <w:rsid w:val="009A3F55"/>
    <w:rsid w:val="009A56AE"/>
    <w:rsid w:val="009A66D3"/>
    <w:rsid w:val="009A6EC4"/>
    <w:rsid w:val="009A7520"/>
    <w:rsid w:val="009A7889"/>
    <w:rsid w:val="009A7B81"/>
    <w:rsid w:val="009B00E3"/>
    <w:rsid w:val="009B051A"/>
    <w:rsid w:val="009B0F42"/>
    <w:rsid w:val="009B1144"/>
    <w:rsid w:val="009B115C"/>
    <w:rsid w:val="009B18F7"/>
    <w:rsid w:val="009B1909"/>
    <w:rsid w:val="009B1CF1"/>
    <w:rsid w:val="009B2031"/>
    <w:rsid w:val="009B2095"/>
    <w:rsid w:val="009B224C"/>
    <w:rsid w:val="009B2FBF"/>
    <w:rsid w:val="009B36F7"/>
    <w:rsid w:val="009B3A63"/>
    <w:rsid w:val="009B3C4B"/>
    <w:rsid w:val="009B43DF"/>
    <w:rsid w:val="009B459E"/>
    <w:rsid w:val="009B45BE"/>
    <w:rsid w:val="009B48B9"/>
    <w:rsid w:val="009B5341"/>
    <w:rsid w:val="009B556C"/>
    <w:rsid w:val="009B5A6F"/>
    <w:rsid w:val="009B5AC7"/>
    <w:rsid w:val="009B5BF2"/>
    <w:rsid w:val="009B659F"/>
    <w:rsid w:val="009B6781"/>
    <w:rsid w:val="009B68CB"/>
    <w:rsid w:val="009B76A1"/>
    <w:rsid w:val="009B775E"/>
    <w:rsid w:val="009C0433"/>
    <w:rsid w:val="009C05A7"/>
    <w:rsid w:val="009C0DB9"/>
    <w:rsid w:val="009C179B"/>
    <w:rsid w:val="009C2490"/>
    <w:rsid w:val="009C2D34"/>
    <w:rsid w:val="009C30AC"/>
    <w:rsid w:val="009C3B28"/>
    <w:rsid w:val="009C3EC4"/>
    <w:rsid w:val="009C43D7"/>
    <w:rsid w:val="009C4447"/>
    <w:rsid w:val="009C44BC"/>
    <w:rsid w:val="009C46DD"/>
    <w:rsid w:val="009C5694"/>
    <w:rsid w:val="009C5D54"/>
    <w:rsid w:val="009C5DCD"/>
    <w:rsid w:val="009C6245"/>
    <w:rsid w:val="009C6AB0"/>
    <w:rsid w:val="009C6B0E"/>
    <w:rsid w:val="009C70B9"/>
    <w:rsid w:val="009C76EC"/>
    <w:rsid w:val="009C798A"/>
    <w:rsid w:val="009D00D1"/>
    <w:rsid w:val="009D01C0"/>
    <w:rsid w:val="009D032D"/>
    <w:rsid w:val="009D1519"/>
    <w:rsid w:val="009D204C"/>
    <w:rsid w:val="009D2405"/>
    <w:rsid w:val="009D318A"/>
    <w:rsid w:val="009D3E82"/>
    <w:rsid w:val="009D4A8E"/>
    <w:rsid w:val="009D4BE7"/>
    <w:rsid w:val="009D4F76"/>
    <w:rsid w:val="009D5580"/>
    <w:rsid w:val="009D6022"/>
    <w:rsid w:val="009D6321"/>
    <w:rsid w:val="009D6A08"/>
    <w:rsid w:val="009D6D12"/>
    <w:rsid w:val="009D73CA"/>
    <w:rsid w:val="009D7869"/>
    <w:rsid w:val="009D7B5F"/>
    <w:rsid w:val="009D7D01"/>
    <w:rsid w:val="009D7F04"/>
    <w:rsid w:val="009E0470"/>
    <w:rsid w:val="009E04A7"/>
    <w:rsid w:val="009E05D9"/>
    <w:rsid w:val="009E0A16"/>
    <w:rsid w:val="009E0FBC"/>
    <w:rsid w:val="009E2314"/>
    <w:rsid w:val="009E267A"/>
    <w:rsid w:val="009E26FD"/>
    <w:rsid w:val="009E29EA"/>
    <w:rsid w:val="009E2F95"/>
    <w:rsid w:val="009E32B1"/>
    <w:rsid w:val="009E3533"/>
    <w:rsid w:val="009E443F"/>
    <w:rsid w:val="009E4694"/>
    <w:rsid w:val="009E4A33"/>
    <w:rsid w:val="009E54FB"/>
    <w:rsid w:val="009E5EF7"/>
    <w:rsid w:val="009E608D"/>
    <w:rsid w:val="009E653B"/>
    <w:rsid w:val="009E6C19"/>
    <w:rsid w:val="009E6C32"/>
    <w:rsid w:val="009E6CB7"/>
    <w:rsid w:val="009E6F8F"/>
    <w:rsid w:val="009E7004"/>
    <w:rsid w:val="009E7312"/>
    <w:rsid w:val="009E74A4"/>
    <w:rsid w:val="009E78AA"/>
    <w:rsid w:val="009E7970"/>
    <w:rsid w:val="009F11B4"/>
    <w:rsid w:val="009F1CCE"/>
    <w:rsid w:val="009F1D5A"/>
    <w:rsid w:val="009F1E2A"/>
    <w:rsid w:val="009F239E"/>
    <w:rsid w:val="009F2691"/>
    <w:rsid w:val="009F2780"/>
    <w:rsid w:val="009F2CCA"/>
    <w:rsid w:val="009F2EAC"/>
    <w:rsid w:val="009F3ACA"/>
    <w:rsid w:val="009F3CE9"/>
    <w:rsid w:val="009F4089"/>
    <w:rsid w:val="009F48A5"/>
    <w:rsid w:val="009F4BD0"/>
    <w:rsid w:val="009F4DDB"/>
    <w:rsid w:val="009F54C0"/>
    <w:rsid w:val="009F57E3"/>
    <w:rsid w:val="009F586F"/>
    <w:rsid w:val="009F5A81"/>
    <w:rsid w:val="009F5BB6"/>
    <w:rsid w:val="009F5E9D"/>
    <w:rsid w:val="009F656E"/>
    <w:rsid w:val="009F65D6"/>
    <w:rsid w:val="009F73AB"/>
    <w:rsid w:val="009F74BF"/>
    <w:rsid w:val="00A000F7"/>
    <w:rsid w:val="00A00190"/>
    <w:rsid w:val="00A00A67"/>
    <w:rsid w:val="00A01436"/>
    <w:rsid w:val="00A019A2"/>
    <w:rsid w:val="00A01EAE"/>
    <w:rsid w:val="00A01EDF"/>
    <w:rsid w:val="00A01FA7"/>
    <w:rsid w:val="00A0219B"/>
    <w:rsid w:val="00A02670"/>
    <w:rsid w:val="00A02836"/>
    <w:rsid w:val="00A029A5"/>
    <w:rsid w:val="00A02F0D"/>
    <w:rsid w:val="00A0310D"/>
    <w:rsid w:val="00A032A9"/>
    <w:rsid w:val="00A03BBC"/>
    <w:rsid w:val="00A045DD"/>
    <w:rsid w:val="00A04C1C"/>
    <w:rsid w:val="00A04FCB"/>
    <w:rsid w:val="00A04FE7"/>
    <w:rsid w:val="00A05049"/>
    <w:rsid w:val="00A053E8"/>
    <w:rsid w:val="00A05C13"/>
    <w:rsid w:val="00A05D35"/>
    <w:rsid w:val="00A05DF9"/>
    <w:rsid w:val="00A0658C"/>
    <w:rsid w:val="00A07074"/>
    <w:rsid w:val="00A0722A"/>
    <w:rsid w:val="00A076F5"/>
    <w:rsid w:val="00A07D23"/>
    <w:rsid w:val="00A100CF"/>
    <w:rsid w:val="00A101AE"/>
    <w:rsid w:val="00A10F4F"/>
    <w:rsid w:val="00A11067"/>
    <w:rsid w:val="00A115E9"/>
    <w:rsid w:val="00A1189E"/>
    <w:rsid w:val="00A1223B"/>
    <w:rsid w:val="00A1257E"/>
    <w:rsid w:val="00A12AAC"/>
    <w:rsid w:val="00A135C6"/>
    <w:rsid w:val="00A13D8F"/>
    <w:rsid w:val="00A14000"/>
    <w:rsid w:val="00A145B5"/>
    <w:rsid w:val="00A14676"/>
    <w:rsid w:val="00A1493A"/>
    <w:rsid w:val="00A15525"/>
    <w:rsid w:val="00A156E3"/>
    <w:rsid w:val="00A15E29"/>
    <w:rsid w:val="00A16C15"/>
    <w:rsid w:val="00A1704A"/>
    <w:rsid w:val="00A17A59"/>
    <w:rsid w:val="00A21193"/>
    <w:rsid w:val="00A213EE"/>
    <w:rsid w:val="00A216D0"/>
    <w:rsid w:val="00A22657"/>
    <w:rsid w:val="00A22D78"/>
    <w:rsid w:val="00A22DBC"/>
    <w:rsid w:val="00A230E5"/>
    <w:rsid w:val="00A24255"/>
    <w:rsid w:val="00A245FF"/>
    <w:rsid w:val="00A2462D"/>
    <w:rsid w:val="00A250BB"/>
    <w:rsid w:val="00A25C7F"/>
    <w:rsid w:val="00A2651D"/>
    <w:rsid w:val="00A2767C"/>
    <w:rsid w:val="00A278C3"/>
    <w:rsid w:val="00A30313"/>
    <w:rsid w:val="00A304AD"/>
    <w:rsid w:val="00A304F6"/>
    <w:rsid w:val="00A309C2"/>
    <w:rsid w:val="00A30B2D"/>
    <w:rsid w:val="00A3137B"/>
    <w:rsid w:val="00A32392"/>
    <w:rsid w:val="00A32585"/>
    <w:rsid w:val="00A327F9"/>
    <w:rsid w:val="00A32ED3"/>
    <w:rsid w:val="00A339C1"/>
    <w:rsid w:val="00A33A83"/>
    <w:rsid w:val="00A33B7C"/>
    <w:rsid w:val="00A33DFE"/>
    <w:rsid w:val="00A3502F"/>
    <w:rsid w:val="00A35452"/>
    <w:rsid w:val="00A356F3"/>
    <w:rsid w:val="00A35AFF"/>
    <w:rsid w:val="00A360A7"/>
    <w:rsid w:val="00A3655E"/>
    <w:rsid w:val="00A36593"/>
    <w:rsid w:val="00A365C7"/>
    <w:rsid w:val="00A36A7A"/>
    <w:rsid w:val="00A36B66"/>
    <w:rsid w:val="00A36C96"/>
    <w:rsid w:val="00A37137"/>
    <w:rsid w:val="00A37715"/>
    <w:rsid w:val="00A40084"/>
    <w:rsid w:val="00A40525"/>
    <w:rsid w:val="00A40B56"/>
    <w:rsid w:val="00A41062"/>
    <w:rsid w:val="00A41092"/>
    <w:rsid w:val="00A4166B"/>
    <w:rsid w:val="00A42150"/>
    <w:rsid w:val="00A425EB"/>
    <w:rsid w:val="00A42968"/>
    <w:rsid w:val="00A42A40"/>
    <w:rsid w:val="00A42C77"/>
    <w:rsid w:val="00A42E2A"/>
    <w:rsid w:val="00A435F3"/>
    <w:rsid w:val="00A43FFC"/>
    <w:rsid w:val="00A44851"/>
    <w:rsid w:val="00A44B93"/>
    <w:rsid w:val="00A4546D"/>
    <w:rsid w:val="00A455E6"/>
    <w:rsid w:val="00A45E76"/>
    <w:rsid w:val="00A46813"/>
    <w:rsid w:val="00A46BE6"/>
    <w:rsid w:val="00A47218"/>
    <w:rsid w:val="00A50909"/>
    <w:rsid w:val="00A50A8C"/>
    <w:rsid w:val="00A50AAE"/>
    <w:rsid w:val="00A50D7B"/>
    <w:rsid w:val="00A50EE8"/>
    <w:rsid w:val="00A513A9"/>
    <w:rsid w:val="00A514F6"/>
    <w:rsid w:val="00A51947"/>
    <w:rsid w:val="00A51B00"/>
    <w:rsid w:val="00A521CC"/>
    <w:rsid w:val="00A52EBA"/>
    <w:rsid w:val="00A53312"/>
    <w:rsid w:val="00A546DB"/>
    <w:rsid w:val="00A5594F"/>
    <w:rsid w:val="00A55A04"/>
    <w:rsid w:val="00A55FEB"/>
    <w:rsid w:val="00A5601C"/>
    <w:rsid w:val="00A56542"/>
    <w:rsid w:val="00A56A14"/>
    <w:rsid w:val="00A57078"/>
    <w:rsid w:val="00A575DD"/>
    <w:rsid w:val="00A57604"/>
    <w:rsid w:val="00A57C3A"/>
    <w:rsid w:val="00A60344"/>
    <w:rsid w:val="00A60497"/>
    <w:rsid w:val="00A60598"/>
    <w:rsid w:val="00A60635"/>
    <w:rsid w:val="00A607F2"/>
    <w:rsid w:val="00A61A7A"/>
    <w:rsid w:val="00A61EAA"/>
    <w:rsid w:val="00A6204C"/>
    <w:rsid w:val="00A62156"/>
    <w:rsid w:val="00A621AC"/>
    <w:rsid w:val="00A62D2C"/>
    <w:rsid w:val="00A63445"/>
    <w:rsid w:val="00A63637"/>
    <w:rsid w:val="00A63829"/>
    <w:rsid w:val="00A63D63"/>
    <w:rsid w:val="00A64445"/>
    <w:rsid w:val="00A6455D"/>
    <w:rsid w:val="00A64902"/>
    <w:rsid w:val="00A64A5B"/>
    <w:rsid w:val="00A64E45"/>
    <w:rsid w:val="00A6583D"/>
    <w:rsid w:val="00A658CF"/>
    <w:rsid w:val="00A661A8"/>
    <w:rsid w:val="00A66594"/>
    <w:rsid w:val="00A66688"/>
    <w:rsid w:val="00A66921"/>
    <w:rsid w:val="00A66AD0"/>
    <w:rsid w:val="00A66D9F"/>
    <w:rsid w:val="00A6700D"/>
    <w:rsid w:val="00A678AD"/>
    <w:rsid w:val="00A70150"/>
    <w:rsid w:val="00A70E87"/>
    <w:rsid w:val="00A72BA9"/>
    <w:rsid w:val="00A72F22"/>
    <w:rsid w:val="00A72F26"/>
    <w:rsid w:val="00A733BA"/>
    <w:rsid w:val="00A733BC"/>
    <w:rsid w:val="00A739EC"/>
    <w:rsid w:val="00A73D0A"/>
    <w:rsid w:val="00A74313"/>
    <w:rsid w:val="00A7473C"/>
    <w:rsid w:val="00A748A6"/>
    <w:rsid w:val="00A75234"/>
    <w:rsid w:val="00A755B9"/>
    <w:rsid w:val="00A7567B"/>
    <w:rsid w:val="00A756A3"/>
    <w:rsid w:val="00A7572C"/>
    <w:rsid w:val="00A757F3"/>
    <w:rsid w:val="00A75AA0"/>
    <w:rsid w:val="00A75CA6"/>
    <w:rsid w:val="00A760E9"/>
    <w:rsid w:val="00A76484"/>
    <w:rsid w:val="00A764FD"/>
    <w:rsid w:val="00A76A69"/>
    <w:rsid w:val="00A76E1F"/>
    <w:rsid w:val="00A76ECB"/>
    <w:rsid w:val="00A77025"/>
    <w:rsid w:val="00A77A42"/>
    <w:rsid w:val="00A800D1"/>
    <w:rsid w:val="00A81A01"/>
    <w:rsid w:val="00A81A59"/>
    <w:rsid w:val="00A81EA5"/>
    <w:rsid w:val="00A8294F"/>
    <w:rsid w:val="00A82A8A"/>
    <w:rsid w:val="00A83310"/>
    <w:rsid w:val="00A83C80"/>
    <w:rsid w:val="00A8423F"/>
    <w:rsid w:val="00A84381"/>
    <w:rsid w:val="00A84AA4"/>
    <w:rsid w:val="00A852CD"/>
    <w:rsid w:val="00A85B03"/>
    <w:rsid w:val="00A85D3A"/>
    <w:rsid w:val="00A865E5"/>
    <w:rsid w:val="00A8708F"/>
    <w:rsid w:val="00A8749D"/>
    <w:rsid w:val="00A879A4"/>
    <w:rsid w:val="00A90A63"/>
    <w:rsid w:val="00A90ABA"/>
    <w:rsid w:val="00A912CA"/>
    <w:rsid w:val="00A916B0"/>
    <w:rsid w:val="00A92102"/>
    <w:rsid w:val="00A92211"/>
    <w:rsid w:val="00A926E7"/>
    <w:rsid w:val="00A927FD"/>
    <w:rsid w:val="00A929D9"/>
    <w:rsid w:val="00A92C62"/>
    <w:rsid w:val="00A92F16"/>
    <w:rsid w:val="00A92F98"/>
    <w:rsid w:val="00A930EB"/>
    <w:rsid w:val="00A937D4"/>
    <w:rsid w:val="00A93D3D"/>
    <w:rsid w:val="00A94964"/>
    <w:rsid w:val="00A94A5E"/>
    <w:rsid w:val="00A950E1"/>
    <w:rsid w:val="00A957CB"/>
    <w:rsid w:val="00A96040"/>
    <w:rsid w:val="00A9647F"/>
    <w:rsid w:val="00A9664E"/>
    <w:rsid w:val="00A96D24"/>
    <w:rsid w:val="00A977B0"/>
    <w:rsid w:val="00A979A9"/>
    <w:rsid w:val="00A97EE4"/>
    <w:rsid w:val="00AA0105"/>
    <w:rsid w:val="00AA027C"/>
    <w:rsid w:val="00AA0554"/>
    <w:rsid w:val="00AA0629"/>
    <w:rsid w:val="00AA073E"/>
    <w:rsid w:val="00AA08AE"/>
    <w:rsid w:val="00AA0FF8"/>
    <w:rsid w:val="00AA13BE"/>
    <w:rsid w:val="00AA1C5D"/>
    <w:rsid w:val="00AA38A2"/>
    <w:rsid w:val="00AA38F6"/>
    <w:rsid w:val="00AA3A2B"/>
    <w:rsid w:val="00AA3AAB"/>
    <w:rsid w:val="00AA402F"/>
    <w:rsid w:val="00AA4A27"/>
    <w:rsid w:val="00AA4DA0"/>
    <w:rsid w:val="00AA53AA"/>
    <w:rsid w:val="00AA53E3"/>
    <w:rsid w:val="00AA5AED"/>
    <w:rsid w:val="00AA5DB5"/>
    <w:rsid w:val="00AA5F5C"/>
    <w:rsid w:val="00AA66CB"/>
    <w:rsid w:val="00AA674E"/>
    <w:rsid w:val="00AA69B4"/>
    <w:rsid w:val="00AA6EFE"/>
    <w:rsid w:val="00AA7017"/>
    <w:rsid w:val="00AA7256"/>
    <w:rsid w:val="00AB0B28"/>
    <w:rsid w:val="00AB0C30"/>
    <w:rsid w:val="00AB1765"/>
    <w:rsid w:val="00AB186C"/>
    <w:rsid w:val="00AB1BF6"/>
    <w:rsid w:val="00AB1F7E"/>
    <w:rsid w:val="00AB278C"/>
    <w:rsid w:val="00AB2D40"/>
    <w:rsid w:val="00AB3419"/>
    <w:rsid w:val="00AB3658"/>
    <w:rsid w:val="00AB3F88"/>
    <w:rsid w:val="00AB490A"/>
    <w:rsid w:val="00AB4DE8"/>
    <w:rsid w:val="00AB50DC"/>
    <w:rsid w:val="00AB57A8"/>
    <w:rsid w:val="00AB5C9D"/>
    <w:rsid w:val="00AB6992"/>
    <w:rsid w:val="00AB6AF9"/>
    <w:rsid w:val="00AB7427"/>
    <w:rsid w:val="00AB7486"/>
    <w:rsid w:val="00AB7EA9"/>
    <w:rsid w:val="00AC0475"/>
    <w:rsid w:val="00AC0544"/>
    <w:rsid w:val="00AC0571"/>
    <w:rsid w:val="00AC0F2C"/>
    <w:rsid w:val="00AC0FA6"/>
    <w:rsid w:val="00AC19C6"/>
    <w:rsid w:val="00AC1E5E"/>
    <w:rsid w:val="00AC2AE5"/>
    <w:rsid w:val="00AC2B8E"/>
    <w:rsid w:val="00AC2E37"/>
    <w:rsid w:val="00AC32A4"/>
    <w:rsid w:val="00AC3485"/>
    <w:rsid w:val="00AC3BD9"/>
    <w:rsid w:val="00AC4577"/>
    <w:rsid w:val="00AC502A"/>
    <w:rsid w:val="00AC5241"/>
    <w:rsid w:val="00AC5BB9"/>
    <w:rsid w:val="00AC5C2F"/>
    <w:rsid w:val="00AC6A29"/>
    <w:rsid w:val="00AC6E41"/>
    <w:rsid w:val="00AC72D0"/>
    <w:rsid w:val="00AD0013"/>
    <w:rsid w:val="00AD00D8"/>
    <w:rsid w:val="00AD01B2"/>
    <w:rsid w:val="00AD1260"/>
    <w:rsid w:val="00AD1466"/>
    <w:rsid w:val="00AD165F"/>
    <w:rsid w:val="00AD181B"/>
    <w:rsid w:val="00AD2625"/>
    <w:rsid w:val="00AD275F"/>
    <w:rsid w:val="00AD2975"/>
    <w:rsid w:val="00AD2EFD"/>
    <w:rsid w:val="00AD2FB0"/>
    <w:rsid w:val="00AD3077"/>
    <w:rsid w:val="00AD37D1"/>
    <w:rsid w:val="00AD3C39"/>
    <w:rsid w:val="00AD3CE0"/>
    <w:rsid w:val="00AD3E01"/>
    <w:rsid w:val="00AD3FA7"/>
    <w:rsid w:val="00AD4020"/>
    <w:rsid w:val="00AD4353"/>
    <w:rsid w:val="00AD43C8"/>
    <w:rsid w:val="00AD457A"/>
    <w:rsid w:val="00AD4C5E"/>
    <w:rsid w:val="00AD506E"/>
    <w:rsid w:val="00AD51CC"/>
    <w:rsid w:val="00AD5255"/>
    <w:rsid w:val="00AD5762"/>
    <w:rsid w:val="00AD59AE"/>
    <w:rsid w:val="00AD5FCA"/>
    <w:rsid w:val="00AD6D77"/>
    <w:rsid w:val="00AD7637"/>
    <w:rsid w:val="00AD7A03"/>
    <w:rsid w:val="00AE003F"/>
    <w:rsid w:val="00AE0075"/>
    <w:rsid w:val="00AE027F"/>
    <w:rsid w:val="00AE1A90"/>
    <w:rsid w:val="00AE2513"/>
    <w:rsid w:val="00AE2AF5"/>
    <w:rsid w:val="00AE2E5B"/>
    <w:rsid w:val="00AE32B5"/>
    <w:rsid w:val="00AE3450"/>
    <w:rsid w:val="00AE36C5"/>
    <w:rsid w:val="00AE36FB"/>
    <w:rsid w:val="00AE3B2D"/>
    <w:rsid w:val="00AE3EED"/>
    <w:rsid w:val="00AE4443"/>
    <w:rsid w:val="00AE4EB5"/>
    <w:rsid w:val="00AE548A"/>
    <w:rsid w:val="00AE5A6E"/>
    <w:rsid w:val="00AE5AB8"/>
    <w:rsid w:val="00AE5D52"/>
    <w:rsid w:val="00AE5EF0"/>
    <w:rsid w:val="00AE6279"/>
    <w:rsid w:val="00AE653A"/>
    <w:rsid w:val="00AE65E0"/>
    <w:rsid w:val="00AE6CD2"/>
    <w:rsid w:val="00AE6E30"/>
    <w:rsid w:val="00AE700A"/>
    <w:rsid w:val="00AE7629"/>
    <w:rsid w:val="00AE7DDF"/>
    <w:rsid w:val="00AE7FD6"/>
    <w:rsid w:val="00AF01DD"/>
    <w:rsid w:val="00AF0383"/>
    <w:rsid w:val="00AF0B70"/>
    <w:rsid w:val="00AF0DBB"/>
    <w:rsid w:val="00AF11A9"/>
    <w:rsid w:val="00AF145E"/>
    <w:rsid w:val="00AF25D0"/>
    <w:rsid w:val="00AF2C7D"/>
    <w:rsid w:val="00AF3174"/>
    <w:rsid w:val="00AF33D9"/>
    <w:rsid w:val="00AF3FA4"/>
    <w:rsid w:val="00AF4591"/>
    <w:rsid w:val="00AF4801"/>
    <w:rsid w:val="00AF58C1"/>
    <w:rsid w:val="00AF6873"/>
    <w:rsid w:val="00AF6992"/>
    <w:rsid w:val="00AF7524"/>
    <w:rsid w:val="00AF7613"/>
    <w:rsid w:val="00AF78C8"/>
    <w:rsid w:val="00AF7B86"/>
    <w:rsid w:val="00B0028F"/>
    <w:rsid w:val="00B0063E"/>
    <w:rsid w:val="00B00B24"/>
    <w:rsid w:val="00B0140D"/>
    <w:rsid w:val="00B01516"/>
    <w:rsid w:val="00B01758"/>
    <w:rsid w:val="00B02DED"/>
    <w:rsid w:val="00B04609"/>
    <w:rsid w:val="00B048FF"/>
    <w:rsid w:val="00B04A3F"/>
    <w:rsid w:val="00B04C6D"/>
    <w:rsid w:val="00B04DE6"/>
    <w:rsid w:val="00B04E59"/>
    <w:rsid w:val="00B05014"/>
    <w:rsid w:val="00B05CC7"/>
    <w:rsid w:val="00B060D8"/>
    <w:rsid w:val="00B06300"/>
    <w:rsid w:val="00B06643"/>
    <w:rsid w:val="00B07F88"/>
    <w:rsid w:val="00B07FFD"/>
    <w:rsid w:val="00B10148"/>
    <w:rsid w:val="00B10243"/>
    <w:rsid w:val="00B10D46"/>
    <w:rsid w:val="00B11302"/>
    <w:rsid w:val="00B1297B"/>
    <w:rsid w:val="00B12C14"/>
    <w:rsid w:val="00B12E73"/>
    <w:rsid w:val="00B12EED"/>
    <w:rsid w:val="00B133D0"/>
    <w:rsid w:val="00B13863"/>
    <w:rsid w:val="00B1397E"/>
    <w:rsid w:val="00B13AC9"/>
    <w:rsid w:val="00B13FD9"/>
    <w:rsid w:val="00B149EB"/>
    <w:rsid w:val="00B15055"/>
    <w:rsid w:val="00B1513A"/>
    <w:rsid w:val="00B15FF4"/>
    <w:rsid w:val="00B16675"/>
    <w:rsid w:val="00B16696"/>
    <w:rsid w:val="00B168D2"/>
    <w:rsid w:val="00B16C4A"/>
    <w:rsid w:val="00B171CB"/>
    <w:rsid w:val="00B172D5"/>
    <w:rsid w:val="00B17340"/>
    <w:rsid w:val="00B1759E"/>
    <w:rsid w:val="00B1777B"/>
    <w:rsid w:val="00B177EB"/>
    <w:rsid w:val="00B17960"/>
    <w:rsid w:val="00B20526"/>
    <w:rsid w:val="00B20636"/>
    <w:rsid w:val="00B20F41"/>
    <w:rsid w:val="00B21886"/>
    <w:rsid w:val="00B22759"/>
    <w:rsid w:val="00B22BB9"/>
    <w:rsid w:val="00B22D70"/>
    <w:rsid w:val="00B22E2E"/>
    <w:rsid w:val="00B2398E"/>
    <w:rsid w:val="00B239B3"/>
    <w:rsid w:val="00B23A03"/>
    <w:rsid w:val="00B23B33"/>
    <w:rsid w:val="00B23DBA"/>
    <w:rsid w:val="00B23FD2"/>
    <w:rsid w:val="00B24EF2"/>
    <w:rsid w:val="00B2544F"/>
    <w:rsid w:val="00B254A8"/>
    <w:rsid w:val="00B269F6"/>
    <w:rsid w:val="00B274DF"/>
    <w:rsid w:val="00B279D8"/>
    <w:rsid w:val="00B30179"/>
    <w:rsid w:val="00B308A6"/>
    <w:rsid w:val="00B3098C"/>
    <w:rsid w:val="00B31444"/>
    <w:rsid w:val="00B3206F"/>
    <w:rsid w:val="00B3268F"/>
    <w:rsid w:val="00B327ED"/>
    <w:rsid w:val="00B32C37"/>
    <w:rsid w:val="00B33153"/>
    <w:rsid w:val="00B33EDB"/>
    <w:rsid w:val="00B343C3"/>
    <w:rsid w:val="00B34977"/>
    <w:rsid w:val="00B34B87"/>
    <w:rsid w:val="00B351F9"/>
    <w:rsid w:val="00B359A1"/>
    <w:rsid w:val="00B35D8B"/>
    <w:rsid w:val="00B35EAA"/>
    <w:rsid w:val="00B360DE"/>
    <w:rsid w:val="00B36958"/>
    <w:rsid w:val="00B37037"/>
    <w:rsid w:val="00B378CD"/>
    <w:rsid w:val="00B37B15"/>
    <w:rsid w:val="00B40153"/>
    <w:rsid w:val="00B40432"/>
    <w:rsid w:val="00B40744"/>
    <w:rsid w:val="00B40771"/>
    <w:rsid w:val="00B4158F"/>
    <w:rsid w:val="00B418B3"/>
    <w:rsid w:val="00B41A7E"/>
    <w:rsid w:val="00B4248B"/>
    <w:rsid w:val="00B429CF"/>
    <w:rsid w:val="00B42D0E"/>
    <w:rsid w:val="00B42D99"/>
    <w:rsid w:val="00B43A7A"/>
    <w:rsid w:val="00B44FC4"/>
    <w:rsid w:val="00B450DD"/>
    <w:rsid w:val="00B455B6"/>
    <w:rsid w:val="00B4583C"/>
    <w:rsid w:val="00B45C02"/>
    <w:rsid w:val="00B46127"/>
    <w:rsid w:val="00B47B87"/>
    <w:rsid w:val="00B47FB4"/>
    <w:rsid w:val="00B5137A"/>
    <w:rsid w:val="00B51386"/>
    <w:rsid w:val="00B5140D"/>
    <w:rsid w:val="00B51726"/>
    <w:rsid w:val="00B51922"/>
    <w:rsid w:val="00B519BC"/>
    <w:rsid w:val="00B52231"/>
    <w:rsid w:val="00B5254C"/>
    <w:rsid w:val="00B525F2"/>
    <w:rsid w:val="00B52918"/>
    <w:rsid w:val="00B52C46"/>
    <w:rsid w:val="00B52FED"/>
    <w:rsid w:val="00B5378A"/>
    <w:rsid w:val="00B543B0"/>
    <w:rsid w:val="00B5446C"/>
    <w:rsid w:val="00B54671"/>
    <w:rsid w:val="00B5483B"/>
    <w:rsid w:val="00B54A64"/>
    <w:rsid w:val="00B55009"/>
    <w:rsid w:val="00B5561F"/>
    <w:rsid w:val="00B55D5B"/>
    <w:rsid w:val="00B56321"/>
    <w:rsid w:val="00B56AA6"/>
    <w:rsid w:val="00B56B6E"/>
    <w:rsid w:val="00B574D3"/>
    <w:rsid w:val="00B57AAC"/>
    <w:rsid w:val="00B60710"/>
    <w:rsid w:val="00B615E5"/>
    <w:rsid w:val="00B6186E"/>
    <w:rsid w:val="00B620D9"/>
    <w:rsid w:val="00B645B4"/>
    <w:rsid w:val="00B64FCB"/>
    <w:rsid w:val="00B65081"/>
    <w:rsid w:val="00B653C5"/>
    <w:rsid w:val="00B65B99"/>
    <w:rsid w:val="00B65E57"/>
    <w:rsid w:val="00B66920"/>
    <w:rsid w:val="00B66DF8"/>
    <w:rsid w:val="00B66E16"/>
    <w:rsid w:val="00B679F7"/>
    <w:rsid w:val="00B67B1D"/>
    <w:rsid w:val="00B67C8D"/>
    <w:rsid w:val="00B67DD8"/>
    <w:rsid w:val="00B702F4"/>
    <w:rsid w:val="00B707BA"/>
    <w:rsid w:val="00B720B8"/>
    <w:rsid w:val="00B7298D"/>
    <w:rsid w:val="00B72990"/>
    <w:rsid w:val="00B72A1E"/>
    <w:rsid w:val="00B72A88"/>
    <w:rsid w:val="00B73007"/>
    <w:rsid w:val="00B734B0"/>
    <w:rsid w:val="00B7386D"/>
    <w:rsid w:val="00B739E9"/>
    <w:rsid w:val="00B73B4E"/>
    <w:rsid w:val="00B73CC2"/>
    <w:rsid w:val="00B740F7"/>
    <w:rsid w:val="00B74AE8"/>
    <w:rsid w:val="00B74D1A"/>
    <w:rsid w:val="00B74DC8"/>
    <w:rsid w:val="00B74F59"/>
    <w:rsid w:val="00B74FCD"/>
    <w:rsid w:val="00B75885"/>
    <w:rsid w:val="00B7599D"/>
    <w:rsid w:val="00B75FD5"/>
    <w:rsid w:val="00B76E87"/>
    <w:rsid w:val="00B76EFB"/>
    <w:rsid w:val="00B771D3"/>
    <w:rsid w:val="00B777B6"/>
    <w:rsid w:val="00B7793E"/>
    <w:rsid w:val="00B80147"/>
    <w:rsid w:val="00B810B0"/>
    <w:rsid w:val="00B8117E"/>
    <w:rsid w:val="00B8130A"/>
    <w:rsid w:val="00B8173C"/>
    <w:rsid w:val="00B81E12"/>
    <w:rsid w:val="00B821CB"/>
    <w:rsid w:val="00B826B8"/>
    <w:rsid w:val="00B84932"/>
    <w:rsid w:val="00B853B5"/>
    <w:rsid w:val="00B85D91"/>
    <w:rsid w:val="00B860AB"/>
    <w:rsid w:val="00B860C5"/>
    <w:rsid w:val="00B86A02"/>
    <w:rsid w:val="00B86C94"/>
    <w:rsid w:val="00B8700B"/>
    <w:rsid w:val="00B87065"/>
    <w:rsid w:val="00B87A26"/>
    <w:rsid w:val="00B87AB8"/>
    <w:rsid w:val="00B900FD"/>
    <w:rsid w:val="00B90D60"/>
    <w:rsid w:val="00B91697"/>
    <w:rsid w:val="00B91C5A"/>
    <w:rsid w:val="00B91D20"/>
    <w:rsid w:val="00B929F1"/>
    <w:rsid w:val="00B93100"/>
    <w:rsid w:val="00B932EC"/>
    <w:rsid w:val="00B94D9F"/>
    <w:rsid w:val="00B94E5B"/>
    <w:rsid w:val="00B960E6"/>
    <w:rsid w:val="00B962D8"/>
    <w:rsid w:val="00B964E2"/>
    <w:rsid w:val="00B9689C"/>
    <w:rsid w:val="00B96C47"/>
    <w:rsid w:val="00B96DF7"/>
    <w:rsid w:val="00B97329"/>
    <w:rsid w:val="00BA0242"/>
    <w:rsid w:val="00BA030A"/>
    <w:rsid w:val="00BA075F"/>
    <w:rsid w:val="00BA092C"/>
    <w:rsid w:val="00BA1211"/>
    <w:rsid w:val="00BA1C31"/>
    <w:rsid w:val="00BA26E9"/>
    <w:rsid w:val="00BA2774"/>
    <w:rsid w:val="00BA339B"/>
    <w:rsid w:val="00BA4226"/>
    <w:rsid w:val="00BA4E97"/>
    <w:rsid w:val="00BA5ABD"/>
    <w:rsid w:val="00BA5E12"/>
    <w:rsid w:val="00BA5FC2"/>
    <w:rsid w:val="00BA6DC0"/>
    <w:rsid w:val="00BA74F0"/>
    <w:rsid w:val="00BA776D"/>
    <w:rsid w:val="00BA7C32"/>
    <w:rsid w:val="00BA7DBA"/>
    <w:rsid w:val="00BB04B5"/>
    <w:rsid w:val="00BB1128"/>
    <w:rsid w:val="00BB1FC9"/>
    <w:rsid w:val="00BB2047"/>
    <w:rsid w:val="00BB2AA3"/>
    <w:rsid w:val="00BB2BAA"/>
    <w:rsid w:val="00BB3219"/>
    <w:rsid w:val="00BB34E5"/>
    <w:rsid w:val="00BB35A9"/>
    <w:rsid w:val="00BB3C79"/>
    <w:rsid w:val="00BB45C4"/>
    <w:rsid w:val="00BB4F7E"/>
    <w:rsid w:val="00BB588A"/>
    <w:rsid w:val="00BB6210"/>
    <w:rsid w:val="00BB69E0"/>
    <w:rsid w:val="00BB7461"/>
    <w:rsid w:val="00BB7E73"/>
    <w:rsid w:val="00BB7EE5"/>
    <w:rsid w:val="00BC1283"/>
    <w:rsid w:val="00BC1568"/>
    <w:rsid w:val="00BC1E7E"/>
    <w:rsid w:val="00BC235E"/>
    <w:rsid w:val="00BC27F1"/>
    <w:rsid w:val="00BC2AB9"/>
    <w:rsid w:val="00BC2EBE"/>
    <w:rsid w:val="00BC3136"/>
    <w:rsid w:val="00BC3CB0"/>
    <w:rsid w:val="00BC4D5C"/>
    <w:rsid w:val="00BC4DC6"/>
    <w:rsid w:val="00BC514F"/>
    <w:rsid w:val="00BC5443"/>
    <w:rsid w:val="00BC68E7"/>
    <w:rsid w:val="00BC6C2F"/>
    <w:rsid w:val="00BC730A"/>
    <w:rsid w:val="00BC74E9"/>
    <w:rsid w:val="00BC76CA"/>
    <w:rsid w:val="00BC78C1"/>
    <w:rsid w:val="00BD03C3"/>
    <w:rsid w:val="00BD053A"/>
    <w:rsid w:val="00BD0724"/>
    <w:rsid w:val="00BD08F6"/>
    <w:rsid w:val="00BD17B4"/>
    <w:rsid w:val="00BD1E1D"/>
    <w:rsid w:val="00BD30EB"/>
    <w:rsid w:val="00BD358B"/>
    <w:rsid w:val="00BD3E97"/>
    <w:rsid w:val="00BD3F4A"/>
    <w:rsid w:val="00BD3F8F"/>
    <w:rsid w:val="00BD4C72"/>
    <w:rsid w:val="00BD4C89"/>
    <w:rsid w:val="00BD533D"/>
    <w:rsid w:val="00BD58C7"/>
    <w:rsid w:val="00BD5ACD"/>
    <w:rsid w:val="00BD5E2F"/>
    <w:rsid w:val="00BD5EB2"/>
    <w:rsid w:val="00BD622C"/>
    <w:rsid w:val="00BD64BB"/>
    <w:rsid w:val="00BD64D0"/>
    <w:rsid w:val="00BD69DE"/>
    <w:rsid w:val="00BD6C57"/>
    <w:rsid w:val="00BD7346"/>
    <w:rsid w:val="00BD7E9A"/>
    <w:rsid w:val="00BE030F"/>
    <w:rsid w:val="00BE0935"/>
    <w:rsid w:val="00BE1861"/>
    <w:rsid w:val="00BE1885"/>
    <w:rsid w:val="00BE18B1"/>
    <w:rsid w:val="00BE19DD"/>
    <w:rsid w:val="00BE2170"/>
    <w:rsid w:val="00BE21A2"/>
    <w:rsid w:val="00BE2791"/>
    <w:rsid w:val="00BE2841"/>
    <w:rsid w:val="00BE2990"/>
    <w:rsid w:val="00BE2CC7"/>
    <w:rsid w:val="00BE323C"/>
    <w:rsid w:val="00BE3248"/>
    <w:rsid w:val="00BE33FE"/>
    <w:rsid w:val="00BE36A9"/>
    <w:rsid w:val="00BE3DDE"/>
    <w:rsid w:val="00BE461A"/>
    <w:rsid w:val="00BE4BF2"/>
    <w:rsid w:val="00BE4F31"/>
    <w:rsid w:val="00BE56CD"/>
    <w:rsid w:val="00BE618E"/>
    <w:rsid w:val="00BE6236"/>
    <w:rsid w:val="00BE6C61"/>
    <w:rsid w:val="00BE6C94"/>
    <w:rsid w:val="00BE6D16"/>
    <w:rsid w:val="00BE721A"/>
    <w:rsid w:val="00BE74CE"/>
    <w:rsid w:val="00BE7BEC"/>
    <w:rsid w:val="00BE7D42"/>
    <w:rsid w:val="00BF05AB"/>
    <w:rsid w:val="00BF061C"/>
    <w:rsid w:val="00BF08B0"/>
    <w:rsid w:val="00BF0A5A"/>
    <w:rsid w:val="00BF0A76"/>
    <w:rsid w:val="00BF0E63"/>
    <w:rsid w:val="00BF12A3"/>
    <w:rsid w:val="00BF147C"/>
    <w:rsid w:val="00BF16D7"/>
    <w:rsid w:val="00BF1820"/>
    <w:rsid w:val="00BF19A6"/>
    <w:rsid w:val="00BF2373"/>
    <w:rsid w:val="00BF29ED"/>
    <w:rsid w:val="00BF2AD9"/>
    <w:rsid w:val="00BF3145"/>
    <w:rsid w:val="00BF3E71"/>
    <w:rsid w:val="00BF416C"/>
    <w:rsid w:val="00BF433C"/>
    <w:rsid w:val="00BF4650"/>
    <w:rsid w:val="00BF46B6"/>
    <w:rsid w:val="00BF4C53"/>
    <w:rsid w:val="00BF55BB"/>
    <w:rsid w:val="00BF580A"/>
    <w:rsid w:val="00BF5AA7"/>
    <w:rsid w:val="00BF5E6B"/>
    <w:rsid w:val="00BF639D"/>
    <w:rsid w:val="00BF67A5"/>
    <w:rsid w:val="00BF6975"/>
    <w:rsid w:val="00BF6A8A"/>
    <w:rsid w:val="00BF71F8"/>
    <w:rsid w:val="00BF765C"/>
    <w:rsid w:val="00BF792C"/>
    <w:rsid w:val="00BF7EB9"/>
    <w:rsid w:val="00C00DE7"/>
    <w:rsid w:val="00C01873"/>
    <w:rsid w:val="00C01BD3"/>
    <w:rsid w:val="00C027CB"/>
    <w:rsid w:val="00C031C0"/>
    <w:rsid w:val="00C03276"/>
    <w:rsid w:val="00C040B4"/>
    <w:rsid w:val="00C044E2"/>
    <w:rsid w:val="00C048CB"/>
    <w:rsid w:val="00C0508D"/>
    <w:rsid w:val="00C05699"/>
    <w:rsid w:val="00C05FEE"/>
    <w:rsid w:val="00C0648A"/>
    <w:rsid w:val="00C066F3"/>
    <w:rsid w:val="00C079D9"/>
    <w:rsid w:val="00C07DD4"/>
    <w:rsid w:val="00C10D6B"/>
    <w:rsid w:val="00C10E2E"/>
    <w:rsid w:val="00C113F1"/>
    <w:rsid w:val="00C114AA"/>
    <w:rsid w:val="00C117D6"/>
    <w:rsid w:val="00C11CA3"/>
    <w:rsid w:val="00C12287"/>
    <w:rsid w:val="00C12683"/>
    <w:rsid w:val="00C13311"/>
    <w:rsid w:val="00C13BE6"/>
    <w:rsid w:val="00C13CD9"/>
    <w:rsid w:val="00C1422E"/>
    <w:rsid w:val="00C148EA"/>
    <w:rsid w:val="00C14A0D"/>
    <w:rsid w:val="00C14B31"/>
    <w:rsid w:val="00C15546"/>
    <w:rsid w:val="00C1590D"/>
    <w:rsid w:val="00C15D63"/>
    <w:rsid w:val="00C15F61"/>
    <w:rsid w:val="00C16112"/>
    <w:rsid w:val="00C169D0"/>
    <w:rsid w:val="00C16A0E"/>
    <w:rsid w:val="00C1702F"/>
    <w:rsid w:val="00C17F0E"/>
    <w:rsid w:val="00C20971"/>
    <w:rsid w:val="00C20A51"/>
    <w:rsid w:val="00C20D5B"/>
    <w:rsid w:val="00C21266"/>
    <w:rsid w:val="00C216C2"/>
    <w:rsid w:val="00C220B4"/>
    <w:rsid w:val="00C22AC5"/>
    <w:rsid w:val="00C22C0A"/>
    <w:rsid w:val="00C230F2"/>
    <w:rsid w:val="00C243E7"/>
    <w:rsid w:val="00C24747"/>
    <w:rsid w:val="00C24A59"/>
    <w:rsid w:val="00C24B86"/>
    <w:rsid w:val="00C24E8D"/>
    <w:rsid w:val="00C2557C"/>
    <w:rsid w:val="00C25588"/>
    <w:rsid w:val="00C260BA"/>
    <w:rsid w:val="00C26271"/>
    <w:rsid w:val="00C26A64"/>
    <w:rsid w:val="00C26C57"/>
    <w:rsid w:val="00C26D63"/>
    <w:rsid w:val="00C26F62"/>
    <w:rsid w:val="00C272CF"/>
    <w:rsid w:val="00C27A38"/>
    <w:rsid w:val="00C27B5A"/>
    <w:rsid w:val="00C27F6B"/>
    <w:rsid w:val="00C300C2"/>
    <w:rsid w:val="00C30B7B"/>
    <w:rsid w:val="00C31115"/>
    <w:rsid w:val="00C313EB"/>
    <w:rsid w:val="00C31963"/>
    <w:rsid w:val="00C32128"/>
    <w:rsid w:val="00C325E0"/>
    <w:rsid w:val="00C3277B"/>
    <w:rsid w:val="00C33448"/>
    <w:rsid w:val="00C337A8"/>
    <w:rsid w:val="00C3380C"/>
    <w:rsid w:val="00C33D7E"/>
    <w:rsid w:val="00C34824"/>
    <w:rsid w:val="00C34B79"/>
    <w:rsid w:val="00C34E06"/>
    <w:rsid w:val="00C35B83"/>
    <w:rsid w:val="00C3602A"/>
    <w:rsid w:val="00C3691B"/>
    <w:rsid w:val="00C36E1F"/>
    <w:rsid w:val="00C37D08"/>
    <w:rsid w:val="00C37E53"/>
    <w:rsid w:val="00C4059B"/>
    <w:rsid w:val="00C40D57"/>
    <w:rsid w:val="00C419C3"/>
    <w:rsid w:val="00C41FC2"/>
    <w:rsid w:val="00C42090"/>
    <w:rsid w:val="00C42E5A"/>
    <w:rsid w:val="00C43298"/>
    <w:rsid w:val="00C432A6"/>
    <w:rsid w:val="00C4366C"/>
    <w:rsid w:val="00C43AA8"/>
    <w:rsid w:val="00C43D24"/>
    <w:rsid w:val="00C440C7"/>
    <w:rsid w:val="00C448B1"/>
    <w:rsid w:val="00C44E82"/>
    <w:rsid w:val="00C4503F"/>
    <w:rsid w:val="00C451FA"/>
    <w:rsid w:val="00C458E4"/>
    <w:rsid w:val="00C4621D"/>
    <w:rsid w:val="00C463DD"/>
    <w:rsid w:val="00C46C7B"/>
    <w:rsid w:val="00C47377"/>
    <w:rsid w:val="00C47D15"/>
    <w:rsid w:val="00C47EDC"/>
    <w:rsid w:val="00C47F18"/>
    <w:rsid w:val="00C50A31"/>
    <w:rsid w:val="00C51702"/>
    <w:rsid w:val="00C51FED"/>
    <w:rsid w:val="00C52190"/>
    <w:rsid w:val="00C52C82"/>
    <w:rsid w:val="00C52C9D"/>
    <w:rsid w:val="00C53A1A"/>
    <w:rsid w:val="00C5403F"/>
    <w:rsid w:val="00C54EEA"/>
    <w:rsid w:val="00C5585E"/>
    <w:rsid w:val="00C55A68"/>
    <w:rsid w:val="00C55B7E"/>
    <w:rsid w:val="00C55BF7"/>
    <w:rsid w:val="00C55DF5"/>
    <w:rsid w:val="00C568FB"/>
    <w:rsid w:val="00C56ACD"/>
    <w:rsid w:val="00C56B35"/>
    <w:rsid w:val="00C56DA0"/>
    <w:rsid w:val="00C5703D"/>
    <w:rsid w:val="00C60A29"/>
    <w:rsid w:val="00C60DA4"/>
    <w:rsid w:val="00C618B1"/>
    <w:rsid w:val="00C61B2D"/>
    <w:rsid w:val="00C61E78"/>
    <w:rsid w:val="00C62184"/>
    <w:rsid w:val="00C62285"/>
    <w:rsid w:val="00C6236A"/>
    <w:rsid w:val="00C6244B"/>
    <w:rsid w:val="00C625CC"/>
    <w:rsid w:val="00C62759"/>
    <w:rsid w:val="00C62F51"/>
    <w:rsid w:val="00C630BA"/>
    <w:rsid w:val="00C635D8"/>
    <w:rsid w:val="00C6436C"/>
    <w:rsid w:val="00C64DCF"/>
    <w:rsid w:val="00C65176"/>
    <w:rsid w:val="00C65B2E"/>
    <w:rsid w:val="00C6624B"/>
    <w:rsid w:val="00C6633B"/>
    <w:rsid w:val="00C6635D"/>
    <w:rsid w:val="00C667A6"/>
    <w:rsid w:val="00C667C9"/>
    <w:rsid w:val="00C66929"/>
    <w:rsid w:val="00C66C44"/>
    <w:rsid w:val="00C672A9"/>
    <w:rsid w:val="00C6797B"/>
    <w:rsid w:val="00C67A00"/>
    <w:rsid w:val="00C70D29"/>
    <w:rsid w:val="00C710EA"/>
    <w:rsid w:val="00C7132C"/>
    <w:rsid w:val="00C71702"/>
    <w:rsid w:val="00C71729"/>
    <w:rsid w:val="00C7217B"/>
    <w:rsid w:val="00C72310"/>
    <w:rsid w:val="00C72C5B"/>
    <w:rsid w:val="00C73152"/>
    <w:rsid w:val="00C732B9"/>
    <w:rsid w:val="00C73D52"/>
    <w:rsid w:val="00C743C1"/>
    <w:rsid w:val="00C745C3"/>
    <w:rsid w:val="00C74887"/>
    <w:rsid w:val="00C7549D"/>
    <w:rsid w:val="00C75776"/>
    <w:rsid w:val="00C75CD3"/>
    <w:rsid w:val="00C76834"/>
    <w:rsid w:val="00C768A1"/>
    <w:rsid w:val="00C77EF6"/>
    <w:rsid w:val="00C80080"/>
    <w:rsid w:val="00C80B82"/>
    <w:rsid w:val="00C80D8D"/>
    <w:rsid w:val="00C81107"/>
    <w:rsid w:val="00C814F3"/>
    <w:rsid w:val="00C819E7"/>
    <w:rsid w:val="00C81E2B"/>
    <w:rsid w:val="00C81E75"/>
    <w:rsid w:val="00C81F81"/>
    <w:rsid w:val="00C82670"/>
    <w:rsid w:val="00C82BE3"/>
    <w:rsid w:val="00C82E17"/>
    <w:rsid w:val="00C82FEC"/>
    <w:rsid w:val="00C83004"/>
    <w:rsid w:val="00C835F7"/>
    <w:rsid w:val="00C838D4"/>
    <w:rsid w:val="00C83E1C"/>
    <w:rsid w:val="00C83F05"/>
    <w:rsid w:val="00C8431E"/>
    <w:rsid w:val="00C84503"/>
    <w:rsid w:val="00C8494D"/>
    <w:rsid w:val="00C84CBC"/>
    <w:rsid w:val="00C84F8C"/>
    <w:rsid w:val="00C8739E"/>
    <w:rsid w:val="00C87426"/>
    <w:rsid w:val="00C87772"/>
    <w:rsid w:val="00C87791"/>
    <w:rsid w:val="00C87811"/>
    <w:rsid w:val="00C90596"/>
    <w:rsid w:val="00C908E0"/>
    <w:rsid w:val="00C90AB4"/>
    <w:rsid w:val="00C916A5"/>
    <w:rsid w:val="00C9195A"/>
    <w:rsid w:val="00C91AA8"/>
    <w:rsid w:val="00C9244C"/>
    <w:rsid w:val="00C9369A"/>
    <w:rsid w:val="00C9375E"/>
    <w:rsid w:val="00C94035"/>
    <w:rsid w:val="00C94402"/>
    <w:rsid w:val="00C94AB5"/>
    <w:rsid w:val="00C95204"/>
    <w:rsid w:val="00C952FA"/>
    <w:rsid w:val="00C95550"/>
    <w:rsid w:val="00C9561B"/>
    <w:rsid w:val="00C9582D"/>
    <w:rsid w:val="00C95C60"/>
    <w:rsid w:val="00C962DC"/>
    <w:rsid w:val="00C964C5"/>
    <w:rsid w:val="00C96932"/>
    <w:rsid w:val="00C96B2D"/>
    <w:rsid w:val="00C96E7D"/>
    <w:rsid w:val="00C97952"/>
    <w:rsid w:val="00CA026B"/>
    <w:rsid w:val="00CA0828"/>
    <w:rsid w:val="00CA1468"/>
    <w:rsid w:val="00CA170D"/>
    <w:rsid w:val="00CA1872"/>
    <w:rsid w:val="00CA1D45"/>
    <w:rsid w:val="00CA24A4"/>
    <w:rsid w:val="00CA295A"/>
    <w:rsid w:val="00CA2D61"/>
    <w:rsid w:val="00CA2ED8"/>
    <w:rsid w:val="00CA30BB"/>
    <w:rsid w:val="00CA35BE"/>
    <w:rsid w:val="00CA35E3"/>
    <w:rsid w:val="00CA3A3B"/>
    <w:rsid w:val="00CA4599"/>
    <w:rsid w:val="00CA4A53"/>
    <w:rsid w:val="00CA5FBC"/>
    <w:rsid w:val="00CA64DC"/>
    <w:rsid w:val="00CA6526"/>
    <w:rsid w:val="00CA6645"/>
    <w:rsid w:val="00CA6E9F"/>
    <w:rsid w:val="00CA6FF8"/>
    <w:rsid w:val="00CB0CD0"/>
    <w:rsid w:val="00CB0F93"/>
    <w:rsid w:val="00CB1479"/>
    <w:rsid w:val="00CB161F"/>
    <w:rsid w:val="00CB1A72"/>
    <w:rsid w:val="00CB1BDD"/>
    <w:rsid w:val="00CB1DC4"/>
    <w:rsid w:val="00CB1E6F"/>
    <w:rsid w:val="00CB20C0"/>
    <w:rsid w:val="00CB296D"/>
    <w:rsid w:val="00CB299F"/>
    <w:rsid w:val="00CB2BCD"/>
    <w:rsid w:val="00CB2CD3"/>
    <w:rsid w:val="00CB2D4B"/>
    <w:rsid w:val="00CB2E21"/>
    <w:rsid w:val="00CB2E47"/>
    <w:rsid w:val="00CB348D"/>
    <w:rsid w:val="00CB3997"/>
    <w:rsid w:val="00CB4325"/>
    <w:rsid w:val="00CB433C"/>
    <w:rsid w:val="00CB4A92"/>
    <w:rsid w:val="00CB4AEE"/>
    <w:rsid w:val="00CB4BA2"/>
    <w:rsid w:val="00CB4CE5"/>
    <w:rsid w:val="00CB5613"/>
    <w:rsid w:val="00CB5660"/>
    <w:rsid w:val="00CB57DE"/>
    <w:rsid w:val="00CB592D"/>
    <w:rsid w:val="00CB5A44"/>
    <w:rsid w:val="00CB5A9E"/>
    <w:rsid w:val="00CB5F79"/>
    <w:rsid w:val="00CB6430"/>
    <w:rsid w:val="00CB6C15"/>
    <w:rsid w:val="00CB7162"/>
    <w:rsid w:val="00CB7357"/>
    <w:rsid w:val="00CB78DC"/>
    <w:rsid w:val="00CB7A4C"/>
    <w:rsid w:val="00CB7D3F"/>
    <w:rsid w:val="00CB7FD4"/>
    <w:rsid w:val="00CC0101"/>
    <w:rsid w:val="00CC0581"/>
    <w:rsid w:val="00CC059E"/>
    <w:rsid w:val="00CC14FA"/>
    <w:rsid w:val="00CC17E1"/>
    <w:rsid w:val="00CC1840"/>
    <w:rsid w:val="00CC2444"/>
    <w:rsid w:val="00CC2484"/>
    <w:rsid w:val="00CC328A"/>
    <w:rsid w:val="00CC3A77"/>
    <w:rsid w:val="00CC4AFA"/>
    <w:rsid w:val="00CC4B00"/>
    <w:rsid w:val="00CC4CF4"/>
    <w:rsid w:val="00CC50F5"/>
    <w:rsid w:val="00CC520B"/>
    <w:rsid w:val="00CC5364"/>
    <w:rsid w:val="00CC550B"/>
    <w:rsid w:val="00CC5750"/>
    <w:rsid w:val="00CC5B6A"/>
    <w:rsid w:val="00CC5C7B"/>
    <w:rsid w:val="00CC629D"/>
    <w:rsid w:val="00CC6818"/>
    <w:rsid w:val="00CC6DA4"/>
    <w:rsid w:val="00CC7031"/>
    <w:rsid w:val="00CD031A"/>
    <w:rsid w:val="00CD0376"/>
    <w:rsid w:val="00CD1723"/>
    <w:rsid w:val="00CD207C"/>
    <w:rsid w:val="00CD2769"/>
    <w:rsid w:val="00CD32FF"/>
    <w:rsid w:val="00CD37EC"/>
    <w:rsid w:val="00CD3815"/>
    <w:rsid w:val="00CD399E"/>
    <w:rsid w:val="00CD3A89"/>
    <w:rsid w:val="00CD4328"/>
    <w:rsid w:val="00CD4427"/>
    <w:rsid w:val="00CD45F7"/>
    <w:rsid w:val="00CD46F5"/>
    <w:rsid w:val="00CD4714"/>
    <w:rsid w:val="00CD483D"/>
    <w:rsid w:val="00CD4CE7"/>
    <w:rsid w:val="00CD5114"/>
    <w:rsid w:val="00CD5B22"/>
    <w:rsid w:val="00CD630B"/>
    <w:rsid w:val="00CD6373"/>
    <w:rsid w:val="00CD6B7F"/>
    <w:rsid w:val="00CD76B1"/>
    <w:rsid w:val="00CD7849"/>
    <w:rsid w:val="00CD7900"/>
    <w:rsid w:val="00CD791D"/>
    <w:rsid w:val="00CE1150"/>
    <w:rsid w:val="00CE11C7"/>
    <w:rsid w:val="00CE12A3"/>
    <w:rsid w:val="00CE15CF"/>
    <w:rsid w:val="00CE165B"/>
    <w:rsid w:val="00CE1F22"/>
    <w:rsid w:val="00CE2209"/>
    <w:rsid w:val="00CE23AE"/>
    <w:rsid w:val="00CE24A6"/>
    <w:rsid w:val="00CE258F"/>
    <w:rsid w:val="00CE29F2"/>
    <w:rsid w:val="00CE2A2D"/>
    <w:rsid w:val="00CE342F"/>
    <w:rsid w:val="00CE3465"/>
    <w:rsid w:val="00CE34E7"/>
    <w:rsid w:val="00CE3878"/>
    <w:rsid w:val="00CE4092"/>
    <w:rsid w:val="00CE42F2"/>
    <w:rsid w:val="00CE4A68"/>
    <w:rsid w:val="00CE4A8F"/>
    <w:rsid w:val="00CE5215"/>
    <w:rsid w:val="00CE53BC"/>
    <w:rsid w:val="00CE5521"/>
    <w:rsid w:val="00CE5785"/>
    <w:rsid w:val="00CE5D20"/>
    <w:rsid w:val="00CE6053"/>
    <w:rsid w:val="00CE635B"/>
    <w:rsid w:val="00CE69A7"/>
    <w:rsid w:val="00CE69C1"/>
    <w:rsid w:val="00CE6C7F"/>
    <w:rsid w:val="00CE6F37"/>
    <w:rsid w:val="00CE71AB"/>
    <w:rsid w:val="00CE729B"/>
    <w:rsid w:val="00CE7462"/>
    <w:rsid w:val="00CF071D"/>
    <w:rsid w:val="00CF0721"/>
    <w:rsid w:val="00CF0D6B"/>
    <w:rsid w:val="00CF0EA6"/>
    <w:rsid w:val="00CF1B9A"/>
    <w:rsid w:val="00CF1FC1"/>
    <w:rsid w:val="00CF21C5"/>
    <w:rsid w:val="00CF2B57"/>
    <w:rsid w:val="00CF2DE5"/>
    <w:rsid w:val="00CF30B6"/>
    <w:rsid w:val="00CF345B"/>
    <w:rsid w:val="00CF3BE8"/>
    <w:rsid w:val="00CF4967"/>
    <w:rsid w:val="00CF5381"/>
    <w:rsid w:val="00CF6FA1"/>
    <w:rsid w:val="00CF7AA0"/>
    <w:rsid w:val="00D013F6"/>
    <w:rsid w:val="00D0171C"/>
    <w:rsid w:val="00D01C87"/>
    <w:rsid w:val="00D021B3"/>
    <w:rsid w:val="00D022CA"/>
    <w:rsid w:val="00D02521"/>
    <w:rsid w:val="00D0255F"/>
    <w:rsid w:val="00D027BA"/>
    <w:rsid w:val="00D02944"/>
    <w:rsid w:val="00D02B5D"/>
    <w:rsid w:val="00D02BA8"/>
    <w:rsid w:val="00D02CB7"/>
    <w:rsid w:val="00D02E00"/>
    <w:rsid w:val="00D03178"/>
    <w:rsid w:val="00D03522"/>
    <w:rsid w:val="00D036ED"/>
    <w:rsid w:val="00D03A8C"/>
    <w:rsid w:val="00D03D24"/>
    <w:rsid w:val="00D040D1"/>
    <w:rsid w:val="00D04CAD"/>
    <w:rsid w:val="00D05611"/>
    <w:rsid w:val="00D05B08"/>
    <w:rsid w:val="00D05CB1"/>
    <w:rsid w:val="00D0696A"/>
    <w:rsid w:val="00D06AB7"/>
    <w:rsid w:val="00D07AC1"/>
    <w:rsid w:val="00D07FA4"/>
    <w:rsid w:val="00D1000B"/>
    <w:rsid w:val="00D106A0"/>
    <w:rsid w:val="00D11500"/>
    <w:rsid w:val="00D11870"/>
    <w:rsid w:val="00D11A84"/>
    <w:rsid w:val="00D12AC3"/>
    <w:rsid w:val="00D12D5C"/>
    <w:rsid w:val="00D13124"/>
    <w:rsid w:val="00D13226"/>
    <w:rsid w:val="00D13426"/>
    <w:rsid w:val="00D13CBA"/>
    <w:rsid w:val="00D13EBC"/>
    <w:rsid w:val="00D146F4"/>
    <w:rsid w:val="00D14827"/>
    <w:rsid w:val="00D14A91"/>
    <w:rsid w:val="00D14EEE"/>
    <w:rsid w:val="00D15761"/>
    <w:rsid w:val="00D15820"/>
    <w:rsid w:val="00D15B04"/>
    <w:rsid w:val="00D15CE1"/>
    <w:rsid w:val="00D16416"/>
    <w:rsid w:val="00D16A4A"/>
    <w:rsid w:val="00D16A73"/>
    <w:rsid w:val="00D16F70"/>
    <w:rsid w:val="00D1708C"/>
    <w:rsid w:val="00D17B6C"/>
    <w:rsid w:val="00D2031B"/>
    <w:rsid w:val="00D20BA8"/>
    <w:rsid w:val="00D2105A"/>
    <w:rsid w:val="00D215A3"/>
    <w:rsid w:val="00D2182D"/>
    <w:rsid w:val="00D21AB6"/>
    <w:rsid w:val="00D21D0A"/>
    <w:rsid w:val="00D22665"/>
    <w:rsid w:val="00D22A4C"/>
    <w:rsid w:val="00D234E6"/>
    <w:rsid w:val="00D24B00"/>
    <w:rsid w:val="00D25389"/>
    <w:rsid w:val="00D254F6"/>
    <w:rsid w:val="00D25586"/>
    <w:rsid w:val="00D25FE2"/>
    <w:rsid w:val="00D2660D"/>
    <w:rsid w:val="00D26B67"/>
    <w:rsid w:val="00D27C78"/>
    <w:rsid w:val="00D30038"/>
    <w:rsid w:val="00D302E0"/>
    <w:rsid w:val="00D3052B"/>
    <w:rsid w:val="00D30730"/>
    <w:rsid w:val="00D3098A"/>
    <w:rsid w:val="00D314FB"/>
    <w:rsid w:val="00D3151E"/>
    <w:rsid w:val="00D316C4"/>
    <w:rsid w:val="00D31DA9"/>
    <w:rsid w:val="00D324C8"/>
    <w:rsid w:val="00D32A9D"/>
    <w:rsid w:val="00D32D05"/>
    <w:rsid w:val="00D334EB"/>
    <w:rsid w:val="00D33A26"/>
    <w:rsid w:val="00D3435B"/>
    <w:rsid w:val="00D3443B"/>
    <w:rsid w:val="00D3517E"/>
    <w:rsid w:val="00D35540"/>
    <w:rsid w:val="00D356EA"/>
    <w:rsid w:val="00D35FCB"/>
    <w:rsid w:val="00D36056"/>
    <w:rsid w:val="00D36BB2"/>
    <w:rsid w:val="00D36FB2"/>
    <w:rsid w:val="00D3709D"/>
    <w:rsid w:val="00D3743D"/>
    <w:rsid w:val="00D37B9A"/>
    <w:rsid w:val="00D37DA9"/>
    <w:rsid w:val="00D406A7"/>
    <w:rsid w:val="00D41E22"/>
    <w:rsid w:val="00D4269A"/>
    <w:rsid w:val="00D43252"/>
    <w:rsid w:val="00D432EB"/>
    <w:rsid w:val="00D43610"/>
    <w:rsid w:val="00D4487E"/>
    <w:rsid w:val="00D44D86"/>
    <w:rsid w:val="00D4503B"/>
    <w:rsid w:val="00D45E09"/>
    <w:rsid w:val="00D45F1A"/>
    <w:rsid w:val="00D46159"/>
    <w:rsid w:val="00D461EE"/>
    <w:rsid w:val="00D46306"/>
    <w:rsid w:val="00D46694"/>
    <w:rsid w:val="00D46B4F"/>
    <w:rsid w:val="00D46BA1"/>
    <w:rsid w:val="00D46E71"/>
    <w:rsid w:val="00D473BD"/>
    <w:rsid w:val="00D47581"/>
    <w:rsid w:val="00D5020B"/>
    <w:rsid w:val="00D50248"/>
    <w:rsid w:val="00D50530"/>
    <w:rsid w:val="00D50B7D"/>
    <w:rsid w:val="00D50E83"/>
    <w:rsid w:val="00D51299"/>
    <w:rsid w:val="00D515F7"/>
    <w:rsid w:val="00D51B42"/>
    <w:rsid w:val="00D51D3D"/>
    <w:rsid w:val="00D52012"/>
    <w:rsid w:val="00D521D1"/>
    <w:rsid w:val="00D5224F"/>
    <w:rsid w:val="00D52372"/>
    <w:rsid w:val="00D523F9"/>
    <w:rsid w:val="00D5314D"/>
    <w:rsid w:val="00D53564"/>
    <w:rsid w:val="00D53929"/>
    <w:rsid w:val="00D539A7"/>
    <w:rsid w:val="00D539B3"/>
    <w:rsid w:val="00D53C4A"/>
    <w:rsid w:val="00D53D6A"/>
    <w:rsid w:val="00D53DB6"/>
    <w:rsid w:val="00D53F4E"/>
    <w:rsid w:val="00D543E2"/>
    <w:rsid w:val="00D54F60"/>
    <w:rsid w:val="00D5725A"/>
    <w:rsid w:val="00D57EDD"/>
    <w:rsid w:val="00D57FBA"/>
    <w:rsid w:val="00D60991"/>
    <w:rsid w:val="00D61396"/>
    <w:rsid w:val="00D618F6"/>
    <w:rsid w:val="00D61ACC"/>
    <w:rsid w:val="00D61C25"/>
    <w:rsid w:val="00D61D35"/>
    <w:rsid w:val="00D622EC"/>
    <w:rsid w:val="00D623A0"/>
    <w:rsid w:val="00D628A8"/>
    <w:rsid w:val="00D629B7"/>
    <w:rsid w:val="00D62A0E"/>
    <w:rsid w:val="00D62D20"/>
    <w:rsid w:val="00D6387D"/>
    <w:rsid w:val="00D63CAC"/>
    <w:rsid w:val="00D63ED9"/>
    <w:rsid w:val="00D64177"/>
    <w:rsid w:val="00D642AB"/>
    <w:rsid w:val="00D64BE8"/>
    <w:rsid w:val="00D64F82"/>
    <w:rsid w:val="00D65C0A"/>
    <w:rsid w:val="00D668A0"/>
    <w:rsid w:val="00D66F12"/>
    <w:rsid w:val="00D6740A"/>
    <w:rsid w:val="00D6741A"/>
    <w:rsid w:val="00D675F9"/>
    <w:rsid w:val="00D67642"/>
    <w:rsid w:val="00D702FE"/>
    <w:rsid w:val="00D704E5"/>
    <w:rsid w:val="00D70800"/>
    <w:rsid w:val="00D70FE9"/>
    <w:rsid w:val="00D711ED"/>
    <w:rsid w:val="00D713EE"/>
    <w:rsid w:val="00D71E5A"/>
    <w:rsid w:val="00D72727"/>
    <w:rsid w:val="00D73162"/>
    <w:rsid w:val="00D7398A"/>
    <w:rsid w:val="00D73BCB"/>
    <w:rsid w:val="00D73BE1"/>
    <w:rsid w:val="00D74B99"/>
    <w:rsid w:val="00D74D94"/>
    <w:rsid w:val="00D75471"/>
    <w:rsid w:val="00D764EB"/>
    <w:rsid w:val="00D776A0"/>
    <w:rsid w:val="00D77E9E"/>
    <w:rsid w:val="00D8074C"/>
    <w:rsid w:val="00D808F4"/>
    <w:rsid w:val="00D809A6"/>
    <w:rsid w:val="00D81791"/>
    <w:rsid w:val="00D82E8C"/>
    <w:rsid w:val="00D83772"/>
    <w:rsid w:val="00D83B0F"/>
    <w:rsid w:val="00D83C2C"/>
    <w:rsid w:val="00D83E40"/>
    <w:rsid w:val="00D84166"/>
    <w:rsid w:val="00D84178"/>
    <w:rsid w:val="00D84350"/>
    <w:rsid w:val="00D845B9"/>
    <w:rsid w:val="00D8530A"/>
    <w:rsid w:val="00D8552B"/>
    <w:rsid w:val="00D8574E"/>
    <w:rsid w:val="00D85B55"/>
    <w:rsid w:val="00D863D3"/>
    <w:rsid w:val="00D86B09"/>
    <w:rsid w:val="00D86B40"/>
    <w:rsid w:val="00D86F1E"/>
    <w:rsid w:val="00D870BF"/>
    <w:rsid w:val="00D87254"/>
    <w:rsid w:val="00D872E1"/>
    <w:rsid w:val="00D87E0B"/>
    <w:rsid w:val="00D90CB4"/>
    <w:rsid w:val="00D91068"/>
    <w:rsid w:val="00D914AC"/>
    <w:rsid w:val="00D918E8"/>
    <w:rsid w:val="00D91D0A"/>
    <w:rsid w:val="00D92A1B"/>
    <w:rsid w:val="00D92C30"/>
    <w:rsid w:val="00D94195"/>
    <w:rsid w:val="00D94EBF"/>
    <w:rsid w:val="00D95339"/>
    <w:rsid w:val="00D954E2"/>
    <w:rsid w:val="00D95638"/>
    <w:rsid w:val="00D95C28"/>
    <w:rsid w:val="00D95E16"/>
    <w:rsid w:val="00D95ECD"/>
    <w:rsid w:val="00D96463"/>
    <w:rsid w:val="00D966C2"/>
    <w:rsid w:val="00D96838"/>
    <w:rsid w:val="00D96A29"/>
    <w:rsid w:val="00D96F7A"/>
    <w:rsid w:val="00D97333"/>
    <w:rsid w:val="00D9773F"/>
    <w:rsid w:val="00D978C6"/>
    <w:rsid w:val="00DA092E"/>
    <w:rsid w:val="00DA0956"/>
    <w:rsid w:val="00DA0E03"/>
    <w:rsid w:val="00DA1C11"/>
    <w:rsid w:val="00DA272B"/>
    <w:rsid w:val="00DA357F"/>
    <w:rsid w:val="00DA3632"/>
    <w:rsid w:val="00DA3E12"/>
    <w:rsid w:val="00DA3F29"/>
    <w:rsid w:val="00DA45DD"/>
    <w:rsid w:val="00DA4E35"/>
    <w:rsid w:val="00DA5559"/>
    <w:rsid w:val="00DA5A39"/>
    <w:rsid w:val="00DA5AA2"/>
    <w:rsid w:val="00DA70E3"/>
    <w:rsid w:val="00DB01D9"/>
    <w:rsid w:val="00DB046F"/>
    <w:rsid w:val="00DB066C"/>
    <w:rsid w:val="00DB112E"/>
    <w:rsid w:val="00DB1F79"/>
    <w:rsid w:val="00DB1FA1"/>
    <w:rsid w:val="00DB21D2"/>
    <w:rsid w:val="00DB284D"/>
    <w:rsid w:val="00DB2B64"/>
    <w:rsid w:val="00DB2BBB"/>
    <w:rsid w:val="00DB325D"/>
    <w:rsid w:val="00DB44FD"/>
    <w:rsid w:val="00DB465B"/>
    <w:rsid w:val="00DB47C8"/>
    <w:rsid w:val="00DB557D"/>
    <w:rsid w:val="00DB56EB"/>
    <w:rsid w:val="00DB5A89"/>
    <w:rsid w:val="00DB6891"/>
    <w:rsid w:val="00DB6CD2"/>
    <w:rsid w:val="00DB6D90"/>
    <w:rsid w:val="00DB70B3"/>
    <w:rsid w:val="00DB79C7"/>
    <w:rsid w:val="00DB7A09"/>
    <w:rsid w:val="00DC01C2"/>
    <w:rsid w:val="00DC03FE"/>
    <w:rsid w:val="00DC0A11"/>
    <w:rsid w:val="00DC1151"/>
    <w:rsid w:val="00DC16C0"/>
    <w:rsid w:val="00DC18AD"/>
    <w:rsid w:val="00DC21A0"/>
    <w:rsid w:val="00DC2632"/>
    <w:rsid w:val="00DC295A"/>
    <w:rsid w:val="00DC2FF6"/>
    <w:rsid w:val="00DC348D"/>
    <w:rsid w:val="00DC42ED"/>
    <w:rsid w:val="00DC458C"/>
    <w:rsid w:val="00DC490A"/>
    <w:rsid w:val="00DC5210"/>
    <w:rsid w:val="00DC6469"/>
    <w:rsid w:val="00DC64B0"/>
    <w:rsid w:val="00DC7414"/>
    <w:rsid w:val="00DC777E"/>
    <w:rsid w:val="00DC7A1B"/>
    <w:rsid w:val="00DC7ED1"/>
    <w:rsid w:val="00DD0355"/>
    <w:rsid w:val="00DD07F6"/>
    <w:rsid w:val="00DD131A"/>
    <w:rsid w:val="00DD1351"/>
    <w:rsid w:val="00DD1882"/>
    <w:rsid w:val="00DD1B19"/>
    <w:rsid w:val="00DD1D4C"/>
    <w:rsid w:val="00DD1DA5"/>
    <w:rsid w:val="00DD2073"/>
    <w:rsid w:val="00DD266C"/>
    <w:rsid w:val="00DD276A"/>
    <w:rsid w:val="00DD276C"/>
    <w:rsid w:val="00DD2952"/>
    <w:rsid w:val="00DD3679"/>
    <w:rsid w:val="00DD37B0"/>
    <w:rsid w:val="00DD3D63"/>
    <w:rsid w:val="00DD4C7E"/>
    <w:rsid w:val="00DD50C9"/>
    <w:rsid w:val="00DD5433"/>
    <w:rsid w:val="00DD5528"/>
    <w:rsid w:val="00DD557C"/>
    <w:rsid w:val="00DD57C2"/>
    <w:rsid w:val="00DD6CFB"/>
    <w:rsid w:val="00DD6F5B"/>
    <w:rsid w:val="00DD7044"/>
    <w:rsid w:val="00DD7377"/>
    <w:rsid w:val="00DD74A8"/>
    <w:rsid w:val="00DD7706"/>
    <w:rsid w:val="00DD7808"/>
    <w:rsid w:val="00DE00BC"/>
    <w:rsid w:val="00DE0C11"/>
    <w:rsid w:val="00DE1FB5"/>
    <w:rsid w:val="00DE237F"/>
    <w:rsid w:val="00DE23E3"/>
    <w:rsid w:val="00DE27AB"/>
    <w:rsid w:val="00DE2BAB"/>
    <w:rsid w:val="00DE31AA"/>
    <w:rsid w:val="00DE39E9"/>
    <w:rsid w:val="00DE3DE1"/>
    <w:rsid w:val="00DE4141"/>
    <w:rsid w:val="00DE4593"/>
    <w:rsid w:val="00DE46C6"/>
    <w:rsid w:val="00DE4D67"/>
    <w:rsid w:val="00DE4EBD"/>
    <w:rsid w:val="00DE585D"/>
    <w:rsid w:val="00DE5DAC"/>
    <w:rsid w:val="00DE5E4C"/>
    <w:rsid w:val="00DE5E7E"/>
    <w:rsid w:val="00DE65A1"/>
    <w:rsid w:val="00DE6C93"/>
    <w:rsid w:val="00DE76F0"/>
    <w:rsid w:val="00DE79AB"/>
    <w:rsid w:val="00DE7BC4"/>
    <w:rsid w:val="00DE7F15"/>
    <w:rsid w:val="00DF0F0B"/>
    <w:rsid w:val="00DF1F93"/>
    <w:rsid w:val="00DF2275"/>
    <w:rsid w:val="00DF24C8"/>
    <w:rsid w:val="00DF2846"/>
    <w:rsid w:val="00DF28A6"/>
    <w:rsid w:val="00DF29D1"/>
    <w:rsid w:val="00DF2A61"/>
    <w:rsid w:val="00DF2C3D"/>
    <w:rsid w:val="00DF320F"/>
    <w:rsid w:val="00DF3303"/>
    <w:rsid w:val="00DF3357"/>
    <w:rsid w:val="00DF3C24"/>
    <w:rsid w:val="00DF3F62"/>
    <w:rsid w:val="00DF40AE"/>
    <w:rsid w:val="00DF4172"/>
    <w:rsid w:val="00DF4E9E"/>
    <w:rsid w:val="00DF531C"/>
    <w:rsid w:val="00DF55D1"/>
    <w:rsid w:val="00DF5737"/>
    <w:rsid w:val="00DF57D8"/>
    <w:rsid w:val="00DF5ACE"/>
    <w:rsid w:val="00DF689C"/>
    <w:rsid w:val="00DF6DDF"/>
    <w:rsid w:val="00DF70A3"/>
    <w:rsid w:val="00DF747B"/>
    <w:rsid w:val="00DF77F3"/>
    <w:rsid w:val="00DF78D1"/>
    <w:rsid w:val="00DF7B38"/>
    <w:rsid w:val="00DF7CAE"/>
    <w:rsid w:val="00E009B8"/>
    <w:rsid w:val="00E01B2F"/>
    <w:rsid w:val="00E01C95"/>
    <w:rsid w:val="00E01FEB"/>
    <w:rsid w:val="00E023EF"/>
    <w:rsid w:val="00E024FE"/>
    <w:rsid w:val="00E025FE"/>
    <w:rsid w:val="00E027B8"/>
    <w:rsid w:val="00E02C8F"/>
    <w:rsid w:val="00E032A3"/>
    <w:rsid w:val="00E0334A"/>
    <w:rsid w:val="00E03E8B"/>
    <w:rsid w:val="00E0417A"/>
    <w:rsid w:val="00E0444D"/>
    <w:rsid w:val="00E04E88"/>
    <w:rsid w:val="00E05698"/>
    <w:rsid w:val="00E05D4F"/>
    <w:rsid w:val="00E063AA"/>
    <w:rsid w:val="00E07920"/>
    <w:rsid w:val="00E10150"/>
    <w:rsid w:val="00E10F3D"/>
    <w:rsid w:val="00E10F6A"/>
    <w:rsid w:val="00E11120"/>
    <w:rsid w:val="00E111EE"/>
    <w:rsid w:val="00E11505"/>
    <w:rsid w:val="00E1186D"/>
    <w:rsid w:val="00E12123"/>
    <w:rsid w:val="00E127EC"/>
    <w:rsid w:val="00E12BD7"/>
    <w:rsid w:val="00E12CE9"/>
    <w:rsid w:val="00E13050"/>
    <w:rsid w:val="00E13072"/>
    <w:rsid w:val="00E1335F"/>
    <w:rsid w:val="00E141F3"/>
    <w:rsid w:val="00E14FF2"/>
    <w:rsid w:val="00E15410"/>
    <w:rsid w:val="00E16555"/>
    <w:rsid w:val="00E16794"/>
    <w:rsid w:val="00E16B0D"/>
    <w:rsid w:val="00E16D12"/>
    <w:rsid w:val="00E1717C"/>
    <w:rsid w:val="00E17EFD"/>
    <w:rsid w:val="00E20342"/>
    <w:rsid w:val="00E20613"/>
    <w:rsid w:val="00E20856"/>
    <w:rsid w:val="00E21591"/>
    <w:rsid w:val="00E21CA2"/>
    <w:rsid w:val="00E223FC"/>
    <w:rsid w:val="00E22E27"/>
    <w:rsid w:val="00E23976"/>
    <w:rsid w:val="00E23E26"/>
    <w:rsid w:val="00E23FBC"/>
    <w:rsid w:val="00E2468D"/>
    <w:rsid w:val="00E24951"/>
    <w:rsid w:val="00E249B1"/>
    <w:rsid w:val="00E249F0"/>
    <w:rsid w:val="00E2540B"/>
    <w:rsid w:val="00E2555D"/>
    <w:rsid w:val="00E25B6A"/>
    <w:rsid w:val="00E25E1D"/>
    <w:rsid w:val="00E25F88"/>
    <w:rsid w:val="00E2635B"/>
    <w:rsid w:val="00E26521"/>
    <w:rsid w:val="00E26CA3"/>
    <w:rsid w:val="00E26CC5"/>
    <w:rsid w:val="00E26D3E"/>
    <w:rsid w:val="00E27894"/>
    <w:rsid w:val="00E300C9"/>
    <w:rsid w:val="00E30403"/>
    <w:rsid w:val="00E3066A"/>
    <w:rsid w:val="00E30A59"/>
    <w:rsid w:val="00E31634"/>
    <w:rsid w:val="00E316C6"/>
    <w:rsid w:val="00E318C7"/>
    <w:rsid w:val="00E33B25"/>
    <w:rsid w:val="00E343AE"/>
    <w:rsid w:val="00E34475"/>
    <w:rsid w:val="00E34546"/>
    <w:rsid w:val="00E34772"/>
    <w:rsid w:val="00E35122"/>
    <w:rsid w:val="00E353D2"/>
    <w:rsid w:val="00E35C16"/>
    <w:rsid w:val="00E35CEB"/>
    <w:rsid w:val="00E36230"/>
    <w:rsid w:val="00E3649A"/>
    <w:rsid w:val="00E364DF"/>
    <w:rsid w:val="00E367E5"/>
    <w:rsid w:val="00E368C1"/>
    <w:rsid w:val="00E36C5C"/>
    <w:rsid w:val="00E373B5"/>
    <w:rsid w:val="00E415FF"/>
    <w:rsid w:val="00E41822"/>
    <w:rsid w:val="00E41945"/>
    <w:rsid w:val="00E41ABA"/>
    <w:rsid w:val="00E41FE2"/>
    <w:rsid w:val="00E423C0"/>
    <w:rsid w:val="00E42928"/>
    <w:rsid w:val="00E42AF0"/>
    <w:rsid w:val="00E42E3D"/>
    <w:rsid w:val="00E42EE8"/>
    <w:rsid w:val="00E4311E"/>
    <w:rsid w:val="00E43262"/>
    <w:rsid w:val="00E4335B"/>
    <w:rsid w:val="00E43A2B"/>
    <w:rsid w:val="00E43B9C"/>
    <w:rsid w:val="00E44555"/>
    <w:rsid w:val="00E44865"/>
    <w:rsid w:val="00E44BAB"/>
    <w:rsid w:val="00E44DF5"/>
    <w:rsid w:val="00E4521B"/>
    <w:rsid w:val="00E453F3"/>
    <w:rsid w:val="00E4577F"/>
    <w:rsid w:val="00E4594C"/>
    <w:rsid w:val="00E45DA8"/>
    <w:rsid w:val="00E465E0"/>
    <w:rsid w:val="00E468CC"/>
    <w:rsid w:val="00E46CE1"/>
    <w:rsid w:val="00E473E9"/>
    <w:rsid w:val="00E47AC7"/>
    <w:rsid w:val="00E47DB0"/>
    <w:rsid w:val="00E47F41"/>
    <w:rsid w:val="00E51236"/>
    <w:rsid w:val="00E51373"/>
    <w:rsid w:val="00E51ABD"/>
    <w:rsid w:val="00E522B7"/>
    <w:rsid w:val="00E523C8"/>
    <w:rsid w:val="00E523F9"/>
    <w:rsid w:val="00E52484"/>
    <w:rsid w:val="00E532F8"/>
    <w:rsid w:val="00E54170"/>
    <w:rsid w:val="00E5468E"/>
    <w:rsid w:val="00E54883"/>
    <w:rsid w:val="00E553F6"/>
    <w:rsid w:val="00E55402"/>
    <w:rsid w:val="00E55D73"/>
    <w:rsid w:val="00E56318"/>
    <w:rsid w:val="00E56B31"/>
    <w:rsid w:val="00E57320"/>
    <w:rsid w:val="00E577E2"/>
    <w:rsid w:val="00E577FB"/>
    <w:rsid w:val="00E57DA3"/>
    <w:rsid w:val="00E601FF"/>
    <w:rsid w:val="00E60339"/>
    <w:rsid w:val="00E60452"/>
    <w:rsid w:val="00E60591"/>
    <w:rsid w:val="00E60C5B"/>
    <w:rsid w:val="00E6100C"/>
    <w:rsid w:val="00E61BBF"/>
    <w:rsid w:val="00E6276B"/>
    <w:rsid w:val="00E62782"/>
    <w:rsid w:val="00E62B46"/>
    <w:rsid w:val="00E62B5C"/>
    <w:rsid w:val="00E62EC2"/>
    <w:rsid w:val="00E631BC"/>
    <w:rsid w:val="00E63282"/>
    <w:rsid w:val="00E63960"/>
    <w:rsid w:val="00E63E70"/>
    <w:rsid w:val="00E6414C"/>
    <w:rsid w:val="00E64335"/>
    <w:rsid w:val="00E6445A"/>
    <w:rsid w:val="00E64671"/>
    <w:rsid w:val="00E6562C"/>
    <w:rsid w:val="00E65668"/>
    <w:rsid w:val="00E656E9"/>
    <w:rsid w:val="00E65794"/>
    <w:rsid w:val="00E65B65"/>
    <w:rsid w:val="00E65F6B"/>
    <w:rsid w:val="00E6614F"/>
    <w:rsid w:val="00E6635D"/>
    <w:rsid w:val="00E67AD6"/>
    <w:rsid w:val="00E67F57"/>
    <w:rsid w:val="00E70021"/>
    <w:rsid w:val="00E7036E"/>
    <w:rsid w:val="00E705BA"/>
    <w:rsid w:val="00E70E5A"/>
    <w:rsid w:val="00E7179A"/>
    <w:rsid w:val="00E71E44"/>
    <w:rsid w:val="00E7234D"/>
    <w:rsid w:val="00E7238A"/>
    <w:rsid w:val="00E7260F"/>
    <w:rsid w:val="00E72CA5"/>
    <w:rsid w:val="00E72D4F"/>
    <w:rsid w:val="00E7326B"/>
    <w:rsid w:val="00E7365A"/>
    <w:rsid w:val="00E73CF5"/>
    <w:rsid w:val="00E73EA4"/>
    <w:rsid w:val="00E741BB"/>
    <w:rsid w:val="00E743BD"/>
    <w:rsid w:val="00E74581"/>
    <w:rsid w:val="00E749FA"/>
    <w:rsid w:val="00E74B69"/>
    <w:rsid w:val="00E75035"/>
    <w:rsid w:val="00E75187"/>
    <w:rsid w:val="00E7535B"/>
    <w:rsid w:val="00E76239"/>
    <w:rsid w:val="00E77A08"/>
    <w:rsid w:val="00E8031A"/>
    <w:rsid w:val="00E803F8"/>
    <w:rsid w:val="00E8058F"/>
    <w:rsid w:val="00E81115"/>
    <w:rsid w:val="00E812DA"/>
    <w:rsid w:val="00E815EE"/>
    <w:rsid w:val="00E818A4"/>
    <w:rsid w:val="00E819DA"/>
    <w:rsid w:val="00E84062"/>
    <w:rsid w:val="00E8448F"/>
    <w:rsid w:val="00E84E4F"/>
    <w:rsid w:val="00E85064"/>
    <w:rsid w:val="00E85298"/>
    <w:rsid w:val="00E85694"/>
    <w:rsid w:val="00E86681"/>
    <w:rsid w:val="00E86888"/>
    <w:rsid w:val="00E86A98"/>
    <w:rsid w:val="00E86F63"/>
    <w:rsid w:val="00E8702D"/>
    <w:rsid w:val="00E8717A"/>
    <w:rsid w:val="00E87314"/>
    <w:rsid w:val="00E87FC0"/>
    <w:rsid w:val="00E90295"/>
    <w:rsid w:val="00E9077D"/>
    <w:rsid w:val="00E90881"/>
    <w:rsid w:val="00E908D6"/>
    <w:rsid w:val="00E90E50"/>
    <w:rsid w:val="00E916A9"/>
    <w:rsid w:val="00E916DE"/>
    <w:rsid w:val="00E91A75"/>
    <w:rsid w:val="00E91DBE"/>
    <w:rsid w:val="00E91F5A"/>
    <w:rsid w:val="00E922D6"/>
    <w:rsid w:val="00E925AD"/>
    <w:rsid w:val="00E92770"/>
    <w:rsid w:val="00E931EC"/>
    <w:rsid w:val="00E93949"/>
    <w:rsid w:val="00E93EA2"/>
    <w:rsid w:val="00E945E0"/>
    <w:rsid w:val="00E951BF"/>
    <w:rsid w:val="00E95951"/>
    <w:rsid w:val="00E96630"/>
    <w:rsid w:val="00E97427"/>
    <w:rsid w:val="00EA021A"/>
    <w:rsid w:val="00EA0DDA"/>
    <w:rsid w:val="00EA148A"/>
    <w:rsid w:val="00EA20FD"/>
    <w:rsid w:val="00EA22A4"/>
    <w:rsid w:val="00EA26F0"/>
    <w:rsid w:val="00EA31A8"/>
    <w:rsid w:val="00EA3411"/>
    <w:rsid w:val="00EA3A11"/>
    <w:rsid w:val="00EA4933"/>
    <w:rsid w:val="00EA4FA8"/>
    <w:rsid w:val="00EA5CFC"/>
    <w:rsid w:val="00EA61E8"/>
    <w:rsid w:val="00EA68C6"/>
    <w:rsid w:val="00EA6B13"/>
    <w:rsid w:val="00EA6C4A"/>
    <w:rsid w:val="00EA6F23"/>
    <w:rsid w:val="00EA7755"/>
    <w:rsid w:val="00EA7BC1"/>
    <w:rsid w:val="00EA7C29"/>
    <w:rsid w:val="00EB0DC2"/>
    <w:rsid w:val="00EB0F95"/>
    <w:rsid w:val="00EB25BD"/>
    <w:rsid w:val="00EB2993"/>
    <w:rsid w:val="00EB2C8B"/>
    <w:rsid w:val="00EB2D03"/>
    <w:rsid w:val="00EB2D19"/>
    <w:rsid w:val="00EB2E56"/>
    <w:rsid w:val="00EB32F3"/>
    <w:rsid w:val="00EB4D2C"/>
    <w:rsid w:val="00EB617B"/>
    <w:rsid w:val="00EB631F"/>
    <w:rsid w:val="00EB69A7"/>
    <w:rsid w:val="00EB721E"/>
    <w:rsid w:val="00EB74DD"/>
    <w:rsid w:val="00EB7C7A"/>
    <w:rsid w:val="00EB7C9D"/>
    <w:rsid w:val="00EC0729"/>
    <w:rsid w:val="00EC0854"/>
    <w:rsid w:val="00EC1289"/>
    <w:rsid w:val="00EC1FC6"/>
    <w:rsid w:val="00EC24D6"/>
    <w:rsid w:val="00EC25E3"/>
    <w:rsid w:val="00EC3512"/>
    <w:rsid w:val="00EC3A30"/>
    <w:rsid w:val="00EC3AAC"/>
    <w:rsid w:val="00EC3D61"/>
    <w:rsid w:val="00EC3F12"/>
    <w:rsid w:val="00EC4408"/>
    <w:rsid w:val="00EC441F"/>
    <w:rsid w:val="00EC465D"/>
    <w:rsid w:val="00EC51AC"/>
    <w:rsid w:val="00EC527B"/>
    <w:rsid w:val="00EC5A49"/>
    <w:rsid w:val="00EC5E63"/>
    <w:rsid w:val="00EC62A1"/>
    <w:rsid w:val="00EC65FB"/>
    <w:rsid w:val="00EC663F"/>
    <w:rsid w:val="00EC6862"/>
    <w:rsid w:val="00EC6911"/>
    <w:rsid w:val="00EC6CD8"/>
    <w:rsid w:val="00EC7617"/>
    <w:rsid w:val="00ED05BF"/>
    <w:rsid w:val="00ED0AE0"/>
    <w:rsid w:val="00ED10E1"/>
    <w:rsid w:val="00ED11D1"/>
    <w:rsid w:val="00ED14F4"/>
    <w:rsid w:val="00ED18DC"/>
    <w:rsid w:val="00ED2DCD"/>
    <w:rsid w:val="00ED2E4F"/>
    <w:rsid w:val="00ED3517"/>
    <w:rsid w:val="00ED3FEF"/>
    <w:rsid w:val="00ED402D"/>
    <w:rsid w:val="00ED469F"/>
    <w:rsid w:val="00ED4711"/>
    <w:rsid w:val="00ED4BE7"/>
    <w:rsid w:val="00ED558A"/>
    <w:rsid w:val="00ED61AD"/>
    <w:rsid w:val="00ED6201"/>
    <w:rsid w:val="00ED632C"/>
    <w:rsid w:val="00ED6484"/>
    <w:rsid w:val="00ED64EC"/>
    <w:rsid w:val="00ED6809"/>
    <w:rsid w:val="00ED697E"/>
    <w:rsid w:val="00ED69F3"/>
    <w:rsid w:val="00ED6FAD"/>
    <w:rsid w:val="00ED71CF"/>
    <w:rsid w:val="00ED75D1"/>
    <w:rsid w:val="00ED7A2A"/>
    <w:rsid w:val="00EE0377"/>
    <w:rsid w:val="00EE05E9"/>
    <w:rsid w:val="00EE0BD5"/>
    <w:rsid w:val="00EE0EFD"/>
    <w:rsid w:val="00EE0FA1"/>
    <w:rsid w:val="00EE138B"/>
    <w:rsid w:val="00EE1F52"/>
    <w:rsid w:val="00EE22C6"/>
    <w:rsid w:val="00EE2B1B"/>
    <w:rsid w:val="00EE388E"/>
    <w:rsid w:val="00EE402E"/>
    <w:rsid w:val="00EE4BAE"/>
    <w:rsid w:val="00EE5364"/>
    <w:rsid w:val="00EE5553"/>
    <w:rsid w:val="00EE5C1C"/>
    <w:rsid w:val="00EE6B73"/>
    <w:rsid w:val="00EE7129"/>
    <w:rsid w:val="00EE7948"/>
    <w:rsid w:val="00EF01E2"/>
    <w:rsid w:val="00EF0A44"/>
    <w:rsid w:val="00EF141E"/>
    <w:rsid w:val="00EF15D2"/>
    <w:rsid w:val="00EF170D"/>
    <w:rsid w:val="00EF1B2D"/>
    <w:rsid w:val="00EF1D7F"/>
    <w:rsid w:val="00EF1E47"/>
    <w:rsid w:val="00EF337D"/>
    <w:rsid w:val="00EF35D6"/>
    <w:rsid w:val="00EF3745"/>
    <w:rsid w:val="00EF4CDD"/>
    <w:rsid w:val="00EF5532"/>
    <w:rsid w:val="00EF566A"/>
    <w:rsid w:val="00EF599E"/>
    <w:rsid w:val="00EF7044"/>
    <w:rsid w:val="00EF7B23"/>
    <w:rsid w:val="00EF7D95"/>
    <w:rsid w:val="00EF7EA3"/>
    <w:rsid w:val="00EF7FE8"/>
    <w:rsid w:val="00F00C88"/>
    <w:rsid w:val="00F0137E"/>
    <w:rsid w:val="00F01B4A"/>
    <w:rsid w:val="00F0307E"/>
    <w:rsid w:val="00F03CCB"/>
    <w:rsid w:val="00F04108"/>
    <w:rsid w:val="00F0430D"/>
    <w:rsid w:val="00F045E8"/>
    <w:rsid w:val="00F0470A"/>
    <w:rsid w:val="00F05247"/>
    <w:rsid w:val="00F0536B"/>
    <w:rsid w:val="00F0560C"/>
    <w:rsid w:val="00F05801"/>
    <w:rsid w:val="00F059BD"/>
    <w:rsid w:val="00F05D5D"/>
    <w:rsid w:val="00F06344"/>
    <w:rsid w:val="00F07457"/>
    <w:rsid w:val="00F078AD"/>
    <w:rsid w:val="00F07960"/>
    <w:rsid w:val="00F07B76"/>
    <w:rsid w:val="00F10274"/>
    <w:rsid w:val="00F1077D"/>
    <w:rsid w:val="00F107A2"/>
    <w:rsid w:val="00F10A9F"/>
    <w:rsid w:val="00F10DB4"/>
    <w:rsid w:val="00F10DEB"/>
    <w:rsid w:val="00F10F58"/>
    <w:rsid w:val="00F11A69"/>
    <w:rsid w:val="00F11F96"/>
    <w:rsid w:val="00F11FCC"/>
    <w:rsid w:val="00F12A21"/>
    <w:rsid w:val="00F12BB3"/>
    <w:rsid w:val="00F12D28"/>
    <w:rsid w:val="00F1330F"/>
    <w:rsid w:val="00F13B13"/>
    <w:rsid w:val="00F14258"/>
    <w:rsid w:val="00F14468"/>
    <w:rsid w:val="00F14AC3"/>
    <w:rsid w:val="00F15C95"/>
    <w:rsid w:val="00F16246"/>
    <w:rsid w:val="00F16322"/>
    <w:rsid w:val="00F16AEC"/>
    <w:rsid w:val="00F16D7B"/>
    <w:rsid w:val="00F16E6D"/>
    <w:rsid w:val="00F16F7D"/>
    <w:rsid w:val="00F1758B"/>
    <w:rsid w:val="00F17D24"/>
    <w:rsid w:val="00F17FE9"/>
    <w:rsid w:val="00F2083B"/>
    <w:rsid w:val="00F2087B"/>
    <w:rsid w:val="00F20C26"/>
    <w:rsid w:val="00F21466"/>
    <w:rsid w:val="00F21524"/>
    <w:rsid w:val="00F21786"/>
    <w:rsid w:val="00F21E20"/>
    <w:rsid w:val="00F2291C"/>
    <w:rsid w:val="00F243C0"/>
    <w:rsid w:val="00F243F0"/>
    <w:rsid w:val="00F2451D"/>
    <w:rsid w:val="00F24A7E"/>
    <w:rsid w:val="00F24C51"/>
    <w:rsid w:val="00F25D7D"/>
    <w:rsid w:val="00F26CE2"/>
    <w:rsid w:val="00F27289"/>
    <w:rsid w:val="00F27866"/>
    <w:rsid w:val="00F301FB"/>
    <w:rsid w:val="00F307EB"/>
    <w:rsid w:val="00F30FD2"/>
    <w:rsid w:val="00F31357"/>
    <w:rsid w:val="00F31A3D"/>
    <w:rsid w:val="00F31E3C"/>
    <w:rsid w:val="00F32055"/>
    <w:rsid w:val="00F32AB9"/>
    <w:rsid w:val="00F33434"/>
    <w:rsid w:val="00F33F76"/>
    <w:rsid w:val="00F34ACC"/>
    <w:rsid w:val="00F355A9"/>
    <w:rsid w:val="00F35AA2"/>
    <w:rsid w:val="00F35E79"/>
    <w:rsid w:val="00F360AD"/>
    <w:rsid w:val="00F363AD"/>
    <w:rsid w:val="00F36BA5"/>
    <w:rsid w:val="00F36C63"/>
    <w:rsid w:val="00F372B3"/>
    <w:rsid w:val="00F3742B"/>
    <w:rsid w:val="00F40E2B"/>
    <w:rsid w:val="00F411CB"/>
    <w:rsid w:val="00F41B58"/>
    <w:rsid w:val="00F41FDB"/>
    <w:rsid w:val="00F42BDC"/>
    <w:rsid w:val="00F42F1E"/>
    <w:rsid w:val="00F43036"/>
    <w:rsid w:val="00F43037"/>
    <w:rsid w:val="00F4331F"/>
    <w:rsid w:val="00F438B4"/>
    <w:rsid w:val="00F43951"/>
    <w:rsid w:val="00F44099"/>
    <w:rsid w:val="00F4418F"/>
    <w:rsid w:val="00F44211"/>
    <w:rsid w:val="00F4439A"/>
    <w:rsid w:val="00F446BF"/>
    <w:rsid w:val="00F449A1"/>
    <w:rsid w:val="00F44A25"/>
    <w:rsid w:val="00F44BA2"/>
    <w:rsid w:val="00F4553D"/>
    <w:rsid w:val="00F45808"/>
    <w:rsid w:val="00F46A2B"/>
    <w:rsid w:val="00F46D0F"/>
    <w:rsid w:val="00F4780D"/>
    <w:rsid w:val="00F47DA8"/>
    <w:rsid w:val="00F47EDD"/>
    <w:rsid w:val="00F47F8B"/>
    <w:rsid w:val="00F507EC"/>
    <w:rsid w:val="00F51575"/>
    <w:rsid w:val="00F519C6"/>
    <w:rsid w:val="00F51F9E"/>
    <w:rsid w:val="00F52D6E"/>
    <w:rsid w:val="00F52E19"/>
    <w:rsid w:val="00F53F5E"/>
    <w:rsid w:val="00F54C37"/>
    <w:rsid w:val="00F5558C"/>
    <w:rsid w:val="00F55BD8"/>
    <w:rsid w:val="00F55C2C"/>
    <w:rsid w:val="00F55C6A"/>
    <w:rsid w:val="00F5609C"/>
    <w:rsid w:val="00F56D63"/>
    <w:rsid w:val="00F56E7A"/>
    <w:rsid w:val="00F57258"/>
    <w:rsid w:val="00F574B6"/>
    <w:rsid w:val="00F577CC"/>
    <w:rsid w:val="00F57AB7"/>
    <w:rsid w:val="00F602A1"/>
    <w:rsid w:val="00F60311"/>
    <w:rsid w:val="00F60451"/>
    <w:rsid w:val="00F609A9"/>
    <w:rsid w:val="00F60A82"/>
    <w:rsid w:val="00F611BA"/>
    <w:rsid w:val="00F613F2"/>
    <w:rsid w:val="00F616B8"/>
    <w:rsid w:val="00F618E8"/>
    <w:rsid w:val="00F61907"/>
    <w:rsid w:val="00F61932"/>
    <w:rsid w:val="00F6279B"/>
    <w:rsid w:val="00F62D97"/>
    <w:rsid w:val="00F63023"/>
    <w:rsid w:val="00F63163"/>
    <w:rsid w:val="00F63C5A"/>
    <w:rsid w:val="00F63E5E"/>
    <w:rsid w:val="00F64505"/>
    <w:rsid w:val="00F660D2"/>
    <w:rsid w:val="00F661C0"/>
    <w:rsid w:val="00F6637D"/>
    <w:rsid w:val="00F663CF"/>
    <w:rsid w:val="00F66EB0"/>
    <w:rsid w:val="00F670B1"/>
    <w:rsid w:val="00F675AF"/>
    <w:rsid w:val="00F679DC"/>
    <w:rsid w:val="00F67F0D"/>
    <w:rsid w:val="00F70501"/>
    <w:rsid w:val="00F721BB"/>
    <w:rsid w:val="00F7232F"/>
    <w:rsid w:val="00F7257C"/>
    <w:rsid w:val="00F7276C"/>
    <w:rsid w:val="00F727D2"/>
    <w:rsid w:val="00F72BEC"/>
    <w:rsid w:val="00F72E30"/>
    <w:rsid w:val="00F73060"/>
    <w:rsid w:val="00F7331D"/>
    <w:rsid w:val="00F73F27"/>
    <w:rsid w:val="00F74125"/>
    <w:rsid w:val="00F74349"/>
    <w:rsid w:val="00F74671"/>
    <w:rsid w:val="00F747BB"/>
    <w:rsid w:val="00F75583"/>
    <w:rsid w:val="00F755AA"/>
    <w:rsid w:val="00F75872"/>
    <w:rsid w:val="00F75CFF"/>
    <w:rsid w:val="00F76172"/>
    <w:rsid w:val="00F7635A"/>
    <w:rsid w:val="00F76774"/>
    <w:rsid w:val="00F76911"/>
    <w:rsid w:val="00F76BE3"/>
    <w:rsid w:val="00F76C72"/>
    <w:rsid w:val="00F76D66"/>
    <w:rsid w:val="00F770D6"/>
    <w:rsid w:val="00F809A4"/>
    <w:rsid w:val="00F80C99"/>
    <w:rsid w:val="00F81082"/>
    <w:rsid w:val="00F810E3"/>
    <w:rsid w:val="00F813F7"/>
    <w:rsid w:val="00F81610"/>
    <w:rsid w:val="00F81B43"/>
    <w:rsid w:val="00F81B53"/>
    <w:rsid w:val="00F81C19"/>
    <w:rsid w:val="00F820F3"/>
    <w:rsid w:val="00F82564"/>
    <w:rsid w:val="00F82867"/>
    <w:rsid w:val="00F829BC"/>
    <w:rsid w:val="00F82DB8"/>
    <w:rsid w:val="00F858A9"/>
    <w:rsid w:val="00F860D2"/>
    <w:rsid w:val="00F864BE"/>
    <w:rsid w:val="00F867EC"/>
    <w:rsid w:val="00F86BE9"/>
    <w:rsid w:val="00F86D01"/>
    <w:rsid w:val="00F872B3"/>
    <w:rsid w:val="00F87A8A"/>
    <w:rsid w:val="00F90437"/>
    <w:rsid w:val="00F9096F"/>
    <w:rsid w:val="00F90B17"/>
    <w:rsid w:val="00F90B7D"/>
    <w:rsid w:val="00F90C46"/>
    <w:rsid w:val="00F90DF7"/>
    <w:rsid w:val="00F9116C"/>
    <w:rsid w:val="00F911CF"/>
    <w:rsid w:val="00F918EF"/>
    <w:rsid w:val="00F91A11"/>
    <w:rsid w:val="00F91AC9"/>
    <w:rsid w:val="00F91B2B"/>
    <w:rsid w:val="00F91C48"/>
    <w:rsid w:val="00F92E89"/>
    <w:rsid w:val="00F93569"/>
    <w:rsid w:val="00F93DBC"/>
    <w:rsid w:val="00F947FB"/>
    <w:rsid w:val="00F94AB4"/>
    <w:rsid w:val="00F94F2B"/>
    <w:rsid w:val="00F95534"/>
    <w:rsid w:val="00F964EE"/>
    <w:rsid w:val="00F9665F"/>
    <w:rsid w:val="00F968D7"/>
    <w:rsid w:val="00F96B6C"/>
    <w:rsid w:val="00F975E2"/>
    <w:rsid w:val="00F979A6"/>
    <w:rsid w:val="00F97DCC"/>
    <w:rsid w:val="00FA1BC1"/>
    <w:rsid w:val="00FA1F5C"/>
    <w:rsid w:val="00FA24B3"/>
    <w:rsid w:val="00FA34C7"/>
    <w:rsid w:val="00FA3B2A"/>
    <w:rsid w:val="00FA423E"/>
    <w:rsid w:val="00FA4848"/>
    <w:rsid w:val="00FA49C3"/>
    <w:rsid w:val="00FA4BBF"/>
    <w:rsid w:val="00FA558F"/>
    <w:rsid w:val="00FA57D5"/>
    <w:rsid w:val="00FA5AAF"/>
    <w:rsid w:val="00FA6801"/>
    <w:rsid w:val="00FA6C52"/>
    <w:rsid w:val="00FA6FB2"/>
    <w:rsid w:val="00FA71EE"/>
    <w:rsid w:val="00FA73C4"/>
    <w:rsid w:val="00FA7434"/>
    <w:rsid w:val="00FA770E"/>
    <w:rsid w:val="00FB07F1"/>
    <w:rsid w:val="00FB0981"/>
    <w:rsid w:val="00FB0A5C"/>
    <w:rsid w:val="00FB1BC8"/>
    <w:rsid w:val="00FB1FF1"/>
    <w:rsid w:val="00FB235A"/>
    <w:rsid w:val="00FB25C7"/>
    <w:rsid w:val="00FB26EA"/>
    <w:rsid w:val="00FB339D"/>
    <w:rsid w:val="00FB35EE"/>
    <w:rsid w:val="00FB3D6F"/>
    <w:rsid w:val="00FB3E68"/>
    <w:rsid w:val="00FB5E3D"/>
    <w:rsid w:val="00FB61A8"/>
    <w:rsid w:val="00FB6533"/>
    <w:rsid w:val="00FB6C7D"/>
    <w:rsid w:val="00FB762B"/>
    <w:rsid w:val="00FB7BBE"/>
    <w:rsid w:val="00FB7D6C"/>
    <w:rsid w:val="00FC005D"/>
    <w:rsid w:val="00FC03CD"/>
    <w:rsid w:val="00FC0615"/>
    <w:rsid w:val="00FC0646"/>
    <w:rsid w:val="00FC0761"/>
    <w:rsid w:val="00FC0AAE"/>
    <w:rsid w:val="00FC0CD7"/>
    <w:rsid w:val="00FC0DFF"/>
    <w:rsid w:val="00FC0F35"/>
    <w:rsid w:val="00FC185E"/>
    <w:rsid w:val="00FC1CE2"/>
    <w:rsid w:val="00FC1E95"/>
    <w:rsid w:val="00FC2C3E"/>
    <w:rsid w:val="00FC34C5"/>
    <w:rsid w:val="00FC3720"/>
    <w:rsid w:val="00FC3D2F"/>
    <w:rsid w:val="00FC410F"/>
    <w:rsid w:val="00FC52FB"/>
    <w:rsid w:val="00FC62E8"/>
    <w:rsid w:val="00FC6457"/>
    <w:rsid w:val="00FC6882"/>
    <w:rsid w:val="00FC68B7"/>
    <w:rsid w:val="00FC6B1B"/>
    <w:rsid w:val="00FC6D95"/>
    <w:rsid w:val="00FC7334"/>
    <w:rsid w:val="00FC7DA6"/>
    <w:rsid w:val="00FD0055"/>
    <w:rsid w:val="00FD093C"/>
    <w:rsid w:val="00FD0A67"/>
    <w:rsid w:val="00FD0C50"/>
    <w:rsid w:val="00FD0C73"/>
    <w:rsid w:val="00FD2390"/>
    <w:rsid w:val="00FD2840"/>
    <w:rsid w:val="00FD3035"/>
    <w:rsid w:val="00FD376E"/>
    <w:rsid w:val="00FD3898"/>
    <w:rsid w:val="00FD3C91"/>
    <w:rsid w:val="00FD41B5"/>
    <w:rsid w:val="00FD4551"/>
    <w:rsid w:val="00FD4890"/>
    <w:rsid w:val="00FD4907"/>
    <w:rsid w:val="00FD52C3"/>
    <w:rsid w:val="00FD5C24"/>
    <w:rsid w:val="00FD64CB"/>
    <w:rsid w:val="00FD6A72"/>
    <w:rsid w:val="00FD71C1"/>
    <w:rsid w:val="00FD7D23"/>
    <w:rsid w:val="00FE09AC"/>
    <w:rsid w:val="00FE0D50"/>
    <w:rsid w:val="00FE0E17"/>
    <w:rsid w:val="00FE0FC6"/>
    <w:rsid w:val="00FE1478"/>
    <w:rsid w:val="00FE1881"/>
    <w:rsid w:val="00FE1F3A"/>
    <w:rsid w:val="00FE2076"/>
    <w:rsid w:val="00FE20B5"/>
    <w:rsid w:val="00FE2375"/>
    <w:rsid w:val="00FE29BD"/>
    <w:rsid w:val="00FE2C70"/>
    <w:rsid w:val="00FE3308"/>
    <w:rsid w:val="00FE343C"/>
    <w:rsid w:val="00FE3696"/>
    <w:rsid w:val="00FE3E7A"/>
    <w:rsid w:val="00FE3FCF"/>
    <w:rsid w:val="00FE423D"/>
    <w:rsid w:val="00FE482D"/>
    <w:rsid w:val="00FE4CDF"/>
    <w:rsid w:val="00FE4F25"/>
    <w:rsid w:val="00FE51BD"/>
    <w:rsid w:val="00FE5B0D"/>
    <w:rsid w:val="00FE5CA6"/>
    <w:rsid w:val="00FE64D1"/>
    <w:rsid w:val="00FE650E"/>
    <w:rsid w:val="00FE670F"/>
    <w:rsid w:val="00FE6985"/>
    <w:rsid w:val="00FE6D5B"/>
    <w:rsid w:val="00FE7550"/>
    <w:rsid w:val="00FE7786"/>
    <w:rsid w:val="00FE7DC5"/>
    <w:rsid w:val="00FE7F2F"/>
    <w:rsid w:val="00FF0347"/>
    <w:rsid w:val="00FF0443"/>
    <w:rsid w:val="00FF04E5"/>
    <w:rsid w:val="00FF1C61"/>
    <w:rsid w:val="00FF246E"/>
    <w:rsid w:val="00FF283D"/>
    <w:rsid w:val="00FF28F1"/>
    <w:rsid w:val="00FF2A30"/>
    <w:rsid w:val="00FF347D"/>
    <w:rsid w:val="00FF39D2"/>
    <w:rsid w:val="00FF3C20"/>
    <w:rsid w:val="00FF3E42"/>
    <w:rsid w:val="00FF48AB"/>
    <w:rsid w:val="00FF4F6E"/>
    <w:rsid w:val="00FF5188"/>
    <w:rsid w:val="00FF6568"/>
    <w:rsid w:val="00FF77F3"/>
    <w:rsid w:val="00FF7A44"/>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DD5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0" w:uiPriority="35" w:unhideWhenUsed="0"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649"/>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uiPriority w:val="99"/>
    <w:rsid w:val="00E925AD"/>
    <w:rPr>
      <w:rFonts w:ascii="Times New Roman" w:hAnsi="Times New Roman"/>
      <w:sz w:val="18"/>
      <w:vertAlign w:val="superscript"/>
    </w:rPr>
  </w:style>
  <w:style w:type="paragraph" w:styleId="FootnoteText">
    <w:name w:val="footnote text"/>
    <w:aliases w:val="5_G,PP"/>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rsid w:val="00E925AD"/>
    <w:rPr>
      <w:color w:val="auto"/>
      <w:u w:val="none"/>
    </w:rPr>
  </w:style>
  <w:style w:type="character" w:customStyle="1" w:styleId="FootnoteTextChar">
    <w:name w:val="Footnote Text Char"/>
    <w:aliases w:val="5_G Char,PP Char"/>
    <w:link w:val="FootnoteText"/>
    <w:uiPriority w:val="99"/>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link w:val="CommentText"/>
    <w:uiPriority w:val="99"/>
    <w:rsid w:val="00A40525"/>
    <w:rPr>
      <w:lang w:eastAsia="en-US"/>
    </w:rPr>
  </w:style>
  <w:style w:type="paragraph" w:styleId="CommentSubject">
    <w:name w:val="annotation subject"/>
    <w:basedOn w:val="CommentText"/>
    <w:next w:val="CommentText"/>
    <w:link w:val="CommentSubjectChar"/>
    <w:unhideWhenUsed/>
    <w:rsid w:val="00A40525"/>
    <w:rPr>
      <w:b/>
      <w:bCs/>
    </w:rPr>
  </w:style>
  <w:style w:type="character" w:customStyle="1" w:styleId="CommentSubjectChar">
    <w:name w:val="Comment Subject Char"/>
    <w:link w:val="CommentSubject"/>
    <w:rsid w:val="00A40525"/>
    <w:rPr>
      <w:b/>
      <w:bCs/>
      <w:lang w:eastAsia="en-US"/>
    </w:rPr>
  </w:style>
  <w:style w:type="paragraph" w:styleId="BalloonText">
    <w:name w:val="Balloon Text"/>
    <w:basedOn w:val="Normal"/>
    <w:link w:val="BalloonTextChar"/>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link w:val="BalloonText"/>
    <w:rsid w:val="00A40525"/>
    <w:rPr>
      <w:rFonts w:ascii="Tahoma" w:hAnsi="Tahoma" w:cs="Tahoma"/>
      <w:sz w:val="16"/>
      <w:szCs w:val="16"/>
      <w:lang w:eastAsia="en-US"/>
    </w:rPr>
  </w:style>
  <w:style w:type="paragraph" w:styleId="Caption">
    <w:name w:val="caption"/>
    <w:basedOn w:val="Normal"/>
    <w:next w:val="Normal"/>
    <w:uiPriority w:val="35"/>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uiPriority w:val="99"/>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TOC1">
    <w:name w:val="toc 1"/>
    <w:basedOn w:val="Normal"/>
    <w:next w:val="Normal"/>
    <w:autoRedefine/>
    <w:uiPriority w:val="39"/>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TOC3">
    <w:name w:val="toc 3"/>
    <w:basedOn w:val="Normal"/>
    <w:next w:val="Normal"/>
    <w:autoRedefine/>
    <w:uiPriority w:val="39"/>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iPriority w:val="39"/>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uiPriority w:val="99"/>
    <w:rsid w:val="00A40525"/>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val="en-GB"/>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rsid w:val="00A40525"/>
    <w:rPr>
      <w:sz w:val="18"/>
      <w:lang w:eastAsia="en-US"/>
    </w:rPr>
  </w:style>
  <w:style w:type="paragraph" w:styleId="TOC4">
    <w:name w:val="toc 4"/>
    <w:basedOn w:val="Normal"/>
    <w:next w:val="Normal"/>
    <w:autoRedefine/>
    <w:uiPriority w:val="39"/>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val="en-GB"/>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4"/>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TableSimple1">
    <w:name w:val="Table Simple 1"/>
    <w:basedOn w:val="TableNormal"/>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74513E"/>
    <w:pPr>
      <w:tabs>
        <w:tab w:val="left" w:pos="1134"/>
      </w:tabs>
      <w:suppressAutoHyphens w:val="0"/>
      <w:spacing w:before="40" w:after="20" w:line="240" w:lineRule="auto"/>
      <w:ind w:left="1134"/>
    </w:pPr>
    <w:rPr>
      <w:rFonts w:cs="Arial"/>
      <w:b/>
      <w:bCs/>
      <w:szCs w:val="32"/>
    </w:rPr>
  </w:style>
  <w:style w:type="table" w:customStyle="1" w:styleId="Tabellenraster2">
    <w:name w:val="Tabellenraster2"/>
    <w:basedOn w:val="TableNormal"/>
    <w:next w:val="TableGrid"/>
    <w:uiPriority w:val="59"/>
    <w:rsid w:val="00EF7FE8"/>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
    <w:name w:val="List"/>
    <w:basedOn w:val="Normal"/>
    <w:rsid w:val="00F35E79"/>
    <w:pPr>
      <w:widowControl w:val="0"/>
      <w:suppressAutoHyphens w:val="0"/>
      <w:spacing w:line="240" w:lineRule="auto"/>
      <w:ind w:left="200" w:hangingChars="200" w:hanging="200"/>
      <w:jc w:val="both"/>
    </w:pPr>
    <w:rPr>
      <w:rFonts w:eastAsia="MS Mincho"/>
      <w:kern w:val="2"/>
      <w:sz w:val="21"/>
      <w:szCs w:val="22"/>
      <w:lang w:val="en-US" w:eastAsia="ja-JP"/>
    </w:rPr>
  </w:style>
  <w:style w:type="paragraph" w:styleId="TableofFigures">
    <w:name w:val="table of figures"/>
    <w:basedOn w:val="Normal"/>
    <w:next w:val="Normal"/>
    <w:uiPriority w:val="99"/>
    <w:rsid w:val="00F35E79"/>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F35E79"/>
    <w:pPr>
      <w:suppressAutoHyphens w:val="0"/>
      <w:spacing w:before="100" w:beforeAutospacing="1" w:after="100" w:afterAutospacing="1" w:line="240" w:lineRule="auto"/>
    </w:pPr>
    <w:rPr>
      <w:sz w:val="24"/>
      <w:szCs w:val="22"/>
      <w:lang w:val="nl-NL" w:eastAsia="nl-NL"/>
    </w:rPr>
  </w:style>
  <w:style w:type="character" w:customStyle="1" w:styleId="text">
    <w:name w:val="text"/>
    <w:rsid w:val="00F35E79"/>
  </w:style>
  <w:style w:type="table" w:customStyle="1" w:styleId="Rastertabel41">
    <w:name w:val="Rastertabel 41"/>
    <w:basedOn w:val="TableNormal"/>
    <w:uiPriority w:val="49"/>
    <w:rsid w:val="00F35E79"/>
    <w:rPr>
      <w:rFonts w:ascii="Arial" w:hAnsi="Arial"/>
      <w:sz w:val="22"/>
      <w:szCs w:val="22"/>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link w:val="SubtitleChar"/>
    <w:uiPriority w:val="99"/>
    <w:qFormat/>
    <w:rsid w:val="00F35E79"/>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SubtitleChar">
    <w:name w:val="Subtitle Char"/>
    <w:basedOn w:val="DefaultParagraphFont"/>
    <w:link w:val="Subtitle"/>
    <w:uiPriority w:val="99"/>
    <w:rsid w:val="00F35E79"/>
    <w:rPr>
      <w:rFonts w:ascii="Arial" w:hAnsi="Arial" w:cs="Arial"/>
      <w:sz w:val="22"/>
      <w:szCs w:val="22"/>
      <w:lang w:val="de-DE" w:eastAsia="de-DE"/>
    </w:rPr>
  </w:style>
  <w:style w:type="character" w:customStyle="1" w:styleId="OndertitelChar">
    <w:name w:val="Ondertitel Char"/>
    <w:basedOn w:val="DefaultParagraphFont"/>
    <w:rsid w:val="00F35E79"/>
    <w:rPr>
      <w:rFonts w:asciiTheme="majorHAnsi" w:eastAsiaTheme="majorEastAsia" w:hAnsiTheme="majorHAnsi" w:cstheme="majorBidi"/>
      <w:i/>
      <w:iCs/>
      <w:color w:val="5B9BD5" w:themeColor="accent1"/>
      <w:spacing w:val="15"/>
      <w:sz w:val="24"/>
      <w:szCs w:val="24"/>
    </w:rPr>
  </w:style>
  <w:style w:type="character" w:customStyle="1" w:styleId="VoetnoottekstChar1">
    <w:name w:val="Voetnoottekst Char1"/>
    <w:basedOn w:val="DefaultParagraphFont"/>
    <w:uiPriority w:val="99"/>
    <w:semiHidden/>
    <w:locked/>
    <w:rsid w:val="00F35E79"/>
    <w:rPr>
      <w:rFonts w:asciiTheme="minorHAnsi" w:eastAsiaTheme="minorEastAsia" w:hAnsiTheme="minorHAnsi" w:cstheme="minorBidi"/>
    </w:rPr>
  </w:style>
  <w:style w:type="table" w:customStyle="1" w:styleId="TableGrid1">
    <w:name w:val="Table Grid1"/>
    <w:basedOn w:val="TableNormal"/>
    <w:next w:val="TableGrid"/>
    <w:rsid w:val="00C35B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semiHidden="0" w:uiPriority="35" w:unhideWhenUsed="0"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649"/>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uiPriority w:val="99"/>
    <w:rsid w:val="00E925AD"/>
    <w:rPr>
      <w:rFonts w:ascii="Times New Roman" w:hAnsi="Times New Roman"/>
      <w:sz w:val="18"/>
      <w:vertAlign w:val="superscript"/>
    </w:rPr>
  </w:style>
  <w:style w:type="paragraph" w:styleId="FootnoteText">
    <w:name w:val="footnote text"/>
    <w:aliases w:val="5_G,PP"/>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rsid w:val="00E925AD"/>
    <w:rPr>
      <w:color w:val="auto"/>
      <w:u w:val="none"/>
    </w:rPr>
  </w:style>
  <w:style w:type="character" w:customStyle="1" w:styleId="FootnoteTextChar">
    <w:name w:val="Footnote Text Char"/>
    <w:aliases w:val="5_G Char,PP Char"/>
    <w:link w:val="FootnoteText"/>
    <w:uiPriority w:val="99"/>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link w:val="CommentText"/>
    <w:uiPriority w:val="99"/>
    <w:rsid w:val="00A40525"/>
    <w:rPr>
      <w:lang w:eastAsia="en-US"/>
    </w:rPr>
  </w:style>
  <w:style w:type="paragraph" w:styleId="CommentSubject">
    <w:name w:val="annotation subject"/>
    <w:basedOn w:val="CommentText"/>
    <w:next w:val="CommentText"/>
    <w:link w:val="CommentSubjectChar"/>
    <w:unhideWhenUsed/>
    <w:rsid w:val="00A40525"/>
    <w:rPr>
      <w:b/>
      <w:bCs/>
    </w:rPr>
  </w:style>
  <w:style w:type="character" w:customStyle="1" w:styleId="CommentSubjectChar">
    <w:name w:val="Comment Subject Char"/>
    <w:link w:val="CommentSubject"/>
    <w:rsid w:val="00A40525"/>
    <w:rPr>
      <w:b/>
      <w:bCs/>
      <w:lang w:eastAsia="en-US"/>
    </w:rPr>
  </w:style>
  <w:style w:type="paragraph" w:styleId="BalloonText">
    <w:name w:val="Balloon Text"/>
    <w:basedOn w:val="Normal"/>
    <w:link w:val="BalloonTextChar"/>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link w:val="BalloonText"/>
    <w:rsid w:val="00A40525"/>
    <w:rPr>
      <w:rFonts w:ascii="Tahoma" w:hAnsi="Tahoma" w:cs="Tahoma"/>
      <w:sz w:val="16"/>
      <w:szCs w:val="16"/>
      <w:lang w:eastAsia="en-US"/>
    </w:rPr>
  </w:style>
  <w:style w:type="paragraph" w:styleId="Caption">
    <w:name w:val="caption"/>
    <w:basedOn w:val="Normal"/>
    <w:next w:val="Normal"/>
    <w:uiPriority w:val="35"/>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uiPriority w:val="99"/>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TOC1">
    <w:name w:val="toc 1"/>
    <w:basedOn w:val="Normal"/>
    <w:next w:val="Normal"/>
    <w:autoRedefine/>
    <w:uiPriority w:val="39"/>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TOC3">
    <w:name w:val="toc 3"/>
    <w:basedOn w:val="Normal"/>
    <w:next w:val="Normal"/>
    <w:autoRedefine/>
    <w:uiPriority w:val="39"/>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iPriority w:val="39"/>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uiPriority w:val="99"/>
    <w:rsid w:val="00A40525"/>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val="en-GB"/>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rsid w:val="00A40525"/>
    <w:rPr>
      <w:sz w:val="18"/>
      <w:lang w:eastAsia="en-US"/>
    </w:rPr>
  </w:style>
  <w:style w:type="paragraph" w:styleId="TOC4">
    <w:name w:val="toc 4"/>
    <w:basedOn w:val="Normal"/>
    <w:next w:val="Normal"/>
    <w:autoRedefine/>
    <w:uiPriority w:val="39"/>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val="en-GB"/>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4"/>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TableSimple1">
    <w:name w:val="Table Simple 1"/>
    <w:basedOn w:val="TableNormal"/>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Heading">
    <w:name w:val="Table Heading"/>
    <w:basedOn w:val="Normal"/>
    <w:rsid w:val="0074513E"/>
    <w:pPr>
      <w:tabs>
        <w:tab w:val="left" w:pos="1134"/>
      </w:tabs>
      <w:suppressAutoHyphens w:val="0"/>
      <w:spacing w:before="40" w:after="20" w:line="240" w:lineRule="auto"/>
      <w:ind w:left="1134"/>
    </w:pPr>
    <w:rPr>
      <w:rFonts w:cs="Arial"/>
      <w:b/>
      <w:bCs/>
      <w:szCs w:val="32"/>
    </w:rPr>
  </w:style>
  <w:style w:type="table" w:customStyle="1" w:styleId="Tabellenraster2">
    <w:name w:val="Tabellenraster2"/>
    <w:basedOn w:val="TableNormal"/>
    <w:next w:val="TableGrid"/>
    <w:uiPriority w:val="59"/>
    <w:rsid w:val="00EF7FE8"/>
    <w:pPr>
      <w:suppressAutoHyphens/>
      <w:spacing w:line="240" w:lineRule="atLeas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
    <w:name w:val="List"/>
    <w:basedOn w:val="Normal"/>
    <w:rsid w:val="00F35E79"/>
    <w:pPr>
      <w:widowControl w:val="0"/>
      <w:suppressAutoHyphens w:val="0"/>
      <w:spacing w:line="240" w:lineRule="auto"/>
      <w:ind w:left="200" w:hangingChars="200" w:hanging="200"/>
      <w:jc w:val="both"/>
    </w:pPr>
    <w:rPr>
      <w:rFonts w:eastAsia="MS Mincho"/>
      <w:kern w:val="2"/>
      <w:sz w:val="21"/>
      <w:szCs w:val="22"/>
      <w:lang w:val="en-US" w:eastAsia="ja-JP"/>
    </w:rPr>
  </w:style>
  <w:style w:type="paragraph" w:styleId="TableofFigures">
    <w:name w:val="table of figures"/>
    <w:basedOn w:val="Normal"/>
    <w:next w:val="Normal"/>
    <w:uiPriority w:val="99"/>
    <w:rsid w:val="00F35E79"/>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F35E79"/>
    <w:pPr>
      <w:suppressAutoHyphens w:val="0"/>
      <w:spacing w:before="100" w:beforeAutospacing="1" w:after="100" w:afterAutospacing="1" w:line="240" w:lineRule="auto"/>
    </w:pPr>
    <w:rPr>
      <w:sz w:val="24"/>
      <w:szCs w:val="22"/>
      <w:lang w:val="nl-NL" w:eastAsia="nl-NL"/>
    </w:rPr>
  </w:style>
  <w:style w:type="character" w:customStyle="1" w:styleId="text">
    <w:name w:val="text"/>
    <w:rsid w:val="00F35E79"/>
  </w:style>
  <w:style w:type="table" w:customStyle="1" w:styleId="Rastertabel41">
    <w:name w:val="Rastertabel 41"/>
    <w:basedOn w:val="TableNormal"/>
    <w:uiPriority w:val="49"/>
    <w:rsid w:val="00F35E79"/>
    <w:rPr>
      <w:rFonts w:ascii="Arial" w:hAnsi="Arial"/>
      <w:sz w:val="22"/>
      <w:szCs w:val="22"/>
      <w:lang w:val="de-DE" w:eastAsia="de-D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link w:val="SubtitleChar"/>
    <w:uiPriority w:val="99"/>
    <w:qFormat/>
    <w:rsid w:val="00F35E79"/>
    <w:pPr>
      <w:tabs>
        <w:tab w:val="left" w:pos="4706"/>
      </w:tabs>
      <w:suppressAutoHyphens w:val="0"/>
      <w:spacing w:line="250" w:lineRule="atLeast"/>
      <w:outlineLvl w:val="1"/>
    </w:pPr>
    <w:rPr>
      <w:rFonts w:ascii="Arial" w:hAnsi="Arial" w:cs="Arial"/>
      <w:sz w:val="22"/>
      <w:szCs w:val="22"/>
      <w:lang w:val="de-DE" w:eastAsia="de-DE"/>
    </w:rPr>
  </w:style>
  <w:style w:type="character" w:customStyle="1" w:styleId="SubtitleChar">
    <w:name w:val="Subtitle Char"/>
    <w:basedOn w:val="DefaultParagraphFont"/>
    <w:link w:val="Subtitle"/>
    <w:uiPriority w:val="99"/>
    <w:rsid w:val="00F35E79"/>
    <w:rPr>
      <w:rFonts w:ascii="Arial" w:hAnsi="Arial" w:cs="Arial"/>
      <w:sz w:val="22"/>
      <w:szCs w:val="22"/>
      <w:lang w:val="de-DE" w:eastAsia="de-DE"/>
    </w:rPr>
  </w:style>
  <w:style w:type="character" w:customStyle="1" w:styleId="OndertitelChar">
    <w:name w:val="Ondertitel Char"/>
    <w:basedOn w:val="DefaultParagraphFont"/>
    <w:rsid w:val="00F35E79"/>
    <w:rPr>
      <w:rFonts w:asciiTheme="majorHAnsi" w:eastAsiaTheme="majorEastAsia" w:hAnsiTheme="majorHAnsi" w:cstheme="majorBidi"/>
      <w:i/>
      <w:iCs/>
      <w:color w:val="5B9BD5" w:themeColor="accent1"/>
      <w:spacing w:val="15"/>
      <w:sz w:val="24"/>
      <w:szCs w:val="24"/>
    </w:rPr>
  </w:style>
  <w:style w:type="character" w:customStyle="1" w:styleId="VoetnoottekstChar1">
    <w:name w:val="Voetnoottekst Char1"/>
    <w:basedOn w:val="DefaultParagraphFont"/>
    <w:uiPriority w:val="99"/>
    <w:semiHidden/>
    <w:locked/>
    <w:rsid w:val="00F35E79"/>
    <w:rPr>
      <w:rFonts w:asciiTheme="minorHAnsi" w:eastAsiaTheme="minorEastAsia" w:hAnsiTheme="minorHAnsi" w:cstheme="minorBidi"/>
    </w:rPr>
  </w:style>
  <w:style w:type="table" w:customStyle="1" w:styleId="TableGrid1">
    <w:name w:val="Table Grid1"/>
    <w:basedOn w:val="TableNormal"/>
    <w:next w:val="TableGrid"/>
    <w:rsid w:val="00C35B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87775256">
      <w:bodyDiv w:val="1"/>
      <w:marLeft w:val="0"/>
      <w:marRight w:val="0"/>
      <w:marTop w:val="0"/>
      <w:marBottom w:val="0"/>
      <w:divBdr>
        <w:top w:val="none" w:sz="0" w:space="0" w:color="auto"/>
        <w:left w:val="none" w:sz="0" w:space="0" w:color="auto"/>
        <w:bottom w:val="none" w:sz="0" w:space="0" w:color="auto"/>
        <w:right w:val="none" w:sz="0" w:space="0" w:color="auto"/>
      </w:divBdr>
    </w:div>
    <w:div w:id="12604826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130708686">
      <w:bodyDiv w:val="1"/>
      <w:marLeft w:val="0"/>
      <w:marRight w:val="0"/>
      <w:marTop w:val="0"/>
      <w:marBottom w:val="0"/>
      <w:divBdr>
        <w:top w:val="none" w:sz="0" w:space="0" w:color="auto"/>
        <w:left w:val="none" w:sz="0" w:space="0" w:color="auto"/>
        <w:bottom w:val="none" w:sz="0" w:space="0" w:color="auto"/>
        <w:right w:val="none" w:sz="0" w:space="0" w:color="auto"/>
      </w:divBdr>
    </w:div>
    <w:div w:id="288125214">
      <w:bodyDiv w:val="1"/>
      <w:marLeft w:val="0"/>
      <w:marRight w:val="0"/>
      <w:marTop w:val="0"/>
      <w:marBottom w:val="0"/>
      <w:divBdr>
        <w:top w:val="none" w:sz="0" w:space="0" w:color="auto"/>
        <w:left w:val="none" w:sz="0" w:space="0" w:color="auto"/>
        <w:bottom w:val="none" w:sz="0" w:space="0" w:color="auto"/>
        <w:right w:val="none" w:sz="0" w:space="0" w:color="auto"/>
      </w:divBdr>
    </w:div>
    <w:div w:id="334965296">
      <w:bodyDiv w:val="1"/>
      <w:marLeft w:val="0"/>
      <w:marRight w:val="0"/>
      <w:marTop w:val="0"/>
      <w:marBottom w:val="0"/>
      <w:divBdr>
        <w:top w:val="none" w:sz="0" w:space="0" w:color="auto"/>
        <w:left w:val="none" w:sz="0" w:space="0" w:color="auto"/>
        <w:bottom w:val="none" w:sz="0" w:space="0" w:color="auto"/>
        <w:right w:val="none" w:sz="0" w:space="0" w:color="auto"/>
      </w:divBdr>
    </w:div>
    <w:div w:id="343561056">
      <w:bodyDiv w:val="1"/>
      <w:marLeft w:val="0"/>
      <w:marRight w:val="0"/>
      <w:marTop w:val="0"/>
      <w:marBottom w:val="0"/>
      <w:divBdr>
        <w:top w:val="none" w:sz="0" w:space="0" w:color="auto"/>
        <w:left w:val="none" w:sz="0" w:space="0" w:color="auto"/>
        <w:bottom w:val="none" w:sz="0" w:space="0" w:color="auto"/>
        <w:right w:val="none" w:sz="0" w:space="0" w:color="auto"/>
      </w:divBdr>
    </w:div>
    <w:div w:id="382560767">
      <w:bodyDiv w:val="1"/>
      <w:marLeft w:val="0"/>
      <w:marRight w:val="0"/>
      <w:marTop w:val="0"/>
      <w:marBottom w:val="0"/>
      <w:divBdr>
        <w:top w:val="none" w:sz="0" w:space="0" w:color="auto"/>
        <w:left w:val="none" w:sz="0" w:space="0" w:color="auto"/>
        <w:bottom w:val="none" w:sz="0" w:space="0" w:color="auto"/>
        <w:right w:val="none" w:sz="0" w:space="0" w:color="auto"/>
      </w:divBdr>
    </w:div>
    <w:div w:id="400100730">
      <w:bodyDiv w:val="1"/>
      <w:marLeft w:val="0"/>
      <w:marRight w:val="0"/>
      <w:marTop w:val="0"/>
      <w:marBottom w:val="0"/>
      <w:divBdr>
        <w:top w:val="none" w:sz="0" w:space="0" w:color="auto"/>
        <w:left w:val="none" w:sz="0" w:space="0" w:color="auto"/>
        <w:bottom w:val="none" w:sz="0" w:space="0" w:color="auto"/>
        <w:right w:val="none" w:sz="0" w:space="0" w:color="auto"/>
      </w:divBdr>
    </w:div>
    <w:div w:id="434178290">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527566458">
      <w:bodyDiv w:val="1"/>
      <w:marLeft w:val="0"/>
      <w:marRight w:val="0"/>
      <w:marTop w:val="0"/>
      <w:marBottom w:val="0"/>
      <w:divBdr>
        <w:top w:val="none" w:sz="0" w:space="0" w:color="auto"/>
        <w:left w:val="none" w:sz="0" w:space="0" w:color="auto"/>
        <w:bottom w:val="none" w:sz="0" w:space="0" w:color="auto"/>
        <w:right w:val="none" w:sz="0" w:space="0" w:color="auto"/>
      </w:divBdr>
    </w:div>
    <w:div w:id="527568451">
      <w:bodyDiv w:val="1"/>
      <w:marLeft w:val="0"/>
      <w:marRight w:val="0"/>
      <w:marTop w:val="0"/>
      <w:marBottom w:val="0"/>
      <w:divBdr>
        <w:top w:val="none" w:sz="0" w:space="0" w:color="auto"/>
        <w:left w:val="none" w:sz="0" w:space="0" w:color="auto"/>
        <w:bottom w:val="none" w:sz="0" w:space="0" w:color="auto"/>
        <w:right w:val="none" w:sz="0" w:space="0" w:color="auto"/>
      </w:divBdr>
    </w:div>
    <w:div w:id="617224694">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78391418">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10615888">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34199931">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16653223">
      <w:bodyDiv w:val="1"/>
      <w:marLeft w:val="0"/>
      <w:marRight w:val="0"/>
      <w:marTop w:val="0"/>
      <w:marBottom w:val="0"/>
      <w:divBdr>
        <w:top w:val="none" w:sz="0" w:space="0" w:color="auto"/>
        <w:left w:val="none" w:sz="0" w:space="0" w:color="auto"/>
        <w:bottom w:val="none" w:sz="0" w:space="0" w:color="auto"/>
        <w:right w:val="none" w:sz="0" w:space="0" w:color="auto"/>
      </w:divBdr>
    </w:div>
    <w:div w:id="822550892">
      <w:bodyDiv w:val="1"/>
      <w:marLeft w:val="0"/>
      <w:marRight w:val="0"/>
      <w:marTop w:val="0"/>
      <w:marBottom w:val="0"/>
      <w:divBdr>
        <w:top w:val="none" w:sz="0" w:space="0" w:color="auto"/>
        <w:left w:val="none" w:sz="0" w:space="0" w:color="auto"/>
        <w:bottom w:val="none" w:sz="0" w:space="0" w:color="auto"/>
        <w:right w:val="none" w:sz="0" w:space="0" w:color="auto"/>
      </w:divBdr>
    </w:div>
    <w:div w:id="827021730">
      <w:bodyDiv w:val="1"/>
      <w:marLeft w:val="0"/>
      <w:marRight w:val="0"/>
      <w:marTop w:val="0"/>
      <w:marBottom w:val="0"/>
      <w:divBdr>
        <w:top w:val="none" w:sz="0" w:space="0" w:color="auto"/>
        <w:left w:val="none" w:sz="0" w:space="0" w:color="auto"/>
        <w:bottom w:val="none" w:sz="0" w:space="0" w:color="auto"/>
        <w:right w:val="none" w:sz="0" w:space="0" w:color="auto"/>
      </w:divBdr>
    </w:div>
    <w:div w:id="830758567">
      <w:bodyDiv w:val="1"/>
      <w:marLeft w:val="0"/>
      <w:marRight w:val="0"/>
      <w:marTop w:val="0"/>
      <w:marBottom w:val="0"/>
      <w:divBdr>
        <w:top w:val="none" w:sz="0" w:space="0" w:color="auto"/>
        <w:left w:val="none" w:sz="0" w:space="0" w:color="auto"/>
        <w:bottom w:val="none" w:sz="0" w:space="0" w:color="auto"/>
        <w:right w:val="none" w:sz="0" w:space="0" w:color="auto"/>
      </w:divBdr>
    </w:div>
    <w:div w:id="839008324">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13930917">
      <w:bodyDiv w:val="1"/>
      <w:marLeft w:val="0"/>
      <w:marRight w:val="0"/>
      <w:marTop w:val="0"/>
      <w:marBottom w:val="0"/>
      <w:divBdr>
        <w:top w:val="none" w:sz="0" w:space="0" w:color="auto"/>
        <w:left w:val="none" w:sz="0" w:space="0" w:color="auto"/>
        <w:bottom w:val="none" w:sz="0" w:space="0" w:color="auto"/>
        <w:right w:val="none" w:sz="0" w:space="0" w:color="auto"/>
      </w:divBdr>
      <w:divsChild>
        <w:div w:id="203519696">
          <w:marLeft w:val="418"/>
          <w:marRight w:val="0"/>
          <w:marTop w:val="130"/>
          <w:marBottom w:val="0"/>
          <w:divBdr>
            <w:top w:val="none" w:sz="0" w:space="0" w:color="auto"/>
            <w:left w:val="none" w:sz="0" w:space="0" w:color="auto"/>
            <w:bottom w:val="none" w:sz="0" w:space="0" w:color="auto"/>
            <w:right w:val="none" w:sz="0" w:space="0" w:color="auto"/>
          </w:divBdr>
        </w:div>
        <w:div w:id="304504512">
          <w:marLeft w:val="418"/>
          <w:marRight w:val="0"/>
          <w:marTop w:val="130"/>
          <w:marBottom w:val="0"/>
          <w:divBdr>
            <w:top w:val="none" w:sz="0" w:space="0" w:color="auto"/>
            <w:left w:val="none" w:sz="0" w:space="0" w:color="auto"/>
            <w:bottom w:val="none" w:sz="0" w:space="0" w:color="auto"/>
            <w:right w:val="none" w:sz="0" w:space="0" w:color="auto"/>
          </w:divBdr>
        </w:div>
        <w:div w:id="929855262">
          <w:marLeft w:val="418"/>
          <w:marRight w:val="0"/>
          <w:marTop w:val="130"/>
          <w:marBottom w:val="0"/>
          <w:divBdr>
            <w:top w:val="none" w:sz="0" w:space="0" w:color="auto"/>
            <w:left w:val="none" w:sz="0" w:space="0" w:color="auto"/>
            <w:bottom w:val="none" w:sz="0" w:space="0" w:color="auto"/>
            <w:right w:val="none" w:sz="0" w:space="0" w:color="auto"/>
          </w:divBdr>
        </w:div>
      </w:divsChild>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008337535">
      <w:bodyDiv w:val="1"/>
      <w:marLeft w:val="0"/>
      <w:marRight w:val="0"/>
      <w:marTop w:val="0"/>
      <w:marBottom w:val="0"/>
      <w:divBdr>
        <w:top w:val="none" w:sz="0" w:space="0" w:color="auto"/>
        <w:left w:val="none" w:sz="0" w:space="0" w:color="auto"/>
        <w:bottom w:val="none" w:sz="0" w:space="0" w:color="auto"/>
        <w:right w:val="none" w:sz="0" w:space="0" w:color="auto"/>
      </w:divBdr>
    </w:div>
    <w:div w:id="1017079878">
      <w:bodyDiv w:val="1"/>
      <w:marLeft w:val="0"/>
      <w:marRight w:val="0"/>
      <w:marTop w:val="0"/>
      <w:marBottom w:val="0"/>
      <w:divBdr>
        <w:top w:val="none" w:sz="0" w:space="0" w:color="auto"/>
        <w:left w:val="none" w:sz="0" w:space="0" w:color="auto"/>
        <w:bottom w:val="none" w:sz="0" w:space="0" w:color="auto"/>
        <w:right w:val="none" w:sz="0" w:space="0" w:color="auto"/>
      </w:divBdr>
      <w:divsChild>
        <w:div w:id="569387980">
          <w:marLeft w:val="0"/>
          <w:marRight w:val="0"/>
          <w:marTop w:val="0"/>
          <w:marBottom w:val="0"/>
          <w:divBdr>
            <w:top w:val="none" w:sz="0" w:space="0" w:color="auto"/>
            <w:left w:val="none" w:sz="0" w:space="0" w:color="auto"/>
            <w:bottom w:val="none" w:sz="0" w:space="0" w:color="auto"/>
            <w:right w:val="none" w:sz="0" w:space="0" w:color="auto"/>
          </w:divBdr>
          <w:divsChild>
            <w:div w:id="45482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6036">
      <w:bodyDiv w:val="1"/>
      <w:marLeft w:val="0"/>
      <w:marRight w:val="0"/>
      <w:marTop w:val="0"/>
      <w:marBottom w:val="0"/>
      <w:divBdr>
        <w:top w:val="none" w:sz="0" w:space="0" w:color="auto"/>
        <w:left w:val="none" w:sz="0" w:space="0" w:color="auto"/>
        <w:bottom w:val="none" w:sz="0" w:space="0" w:color="auto"/>
        <w:right w:val="none" w:sz="0" w:space="0" w:color="auto"/>
      </w:divBdr>
    </w:div>
    <w:div w:id="1081296271">
      <w:bodyDiv w:val="1"/>
      <w:marLeft w:val="0"/>
      <w:marRight w:val="0"/>
      <w:marTop w:val="0"/>
      <w:marBottom w:val="0"/>
      <w:divBdr>
        <w:top w:val="none" w:sz="0" w:space="0" w:color="auto"/>
        <w:left w:val="none" w:sz="0" w:space="0" w:color="auto"/>
        <w:bottom w:val="none" w:sz="0" w:space="0" w:color="auto"/>
        <w:right w:val="none" w:sz="0" w:space="0" w:color="auto"/>
      </w:divBdr>
    </w:div>
    <w:div w:id="1132749772">
      <w:bodyDiv w:val="1"/>
      <w:marLeft w:val="0"/>
      <w:marRight w:val="0"/>
      <w:marTop w:val="0"/>
      <w:marBottom w:val="0"/>
      <w:divBdr>
        <w:top w:val="none" w:sz="0" w:space="0" w:color="auto"/>
        <w:left w:val="none" w:sz="0" w:space="0" w:color="auto"/>
        <w:bottom w:val="none" w:sz="0" w:space="0" w:color="auto"/>
        <w:right w:val="none" w:sz="0" w:space="0" w:color="auto"/>
      </w:divBdr>
      <w:divsChild>
        <w:div w:id="1363549825">
          <w:marLeft w:val="0"/>
          <w:marRight w:val="0"/>
          <w:marTop w:val="0"/>
          <w:marBottom w:val="0"/>
          <w:divBdr>
            <w:top w:val="none" w:sz="0" w:space="0" w:color="auto"/>
            <w:left w:val="none" w:sz="0" w:space="0" w:color="auto"/>
            <w:bottom w:val="none" w:sz="0" w:space="0" w:color="auto"/>
            <w:right w:val="none" w:sz="0" w:space="0" w:color="auto"/>
          </w:divBdr>
        </w:div>
      </w:divsChild>
    </w:div>
    <w:div w:id="1211573481">
      <w:bodyDiv w:val="1"/>
      <w:marLeft w:val="0"/>
      <w:marRight w:val="0"/>
      <w:marTop w:val="0"/>
      <w:marBottom w:val="0"/>
      <w:divBdr>
        <w:top w:val="none" w:sz="0" w:space="0" w:color="auto"/>
        <w:left w:val="none" w:sz="0" w:space="0" w:color="auto"/>
        <w:bottom w:val="none" w:sz="0" w:space="0" w:color="auto"/>
        <w:right w:val="none" w:sz="0" w:space="0" w:color="auto"/>
      </w:divBdr>
    </w:div>
    <w:div w:id="1279489039">
      <w:bodyDiv w:val="1"/>
      <w:marLeft w:val="0"/>
      <w:marRight w:val="0"/>
      <w:marTop w:val="0"/>
      <w:marBottom w:val="0"/>
      <w:divBdr>
        <w:top w:val="none" w:sz="0" w:space="0" w:color="auto"/>
        <w:left w:val="none" w:sz="0" w:space="0" w:color="auto"/>
        <w:bottom w:val="none" w:sz="0" w:space="0" w:color="auto"/>
        <w:right w:val="none" w:sz="0" w:space="0" w:color="auto"/>
      </w:divBdr>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288853314">
      <w:bodyDiv w:val="1"/>
      <w:marLeft w:val="0"/>
      <w:marRight w:val="0"/>
      <w:marTop w:val="0"/>
      <w:marBottom w:val="0"/>
      <w:divBdr>
        <w:top w:val="none" w:sz="0" w:space="0" w:color="auto"/>
        <w:left w:val="none" w:sz="0" w:space="0" w:color="auto"/>
        <w:bottom w:val="none" w:sz="0" w:space="0" w:color="auto"/>
        <w:right w:val="none" w:sz="0" w:space="0" w:color="auto"/>
      </w:divBdr>
    </w:div>
    <w:div w:id="1332873863">
      <w:bodyDiv w:val="1"/>
      <w:marLeft w:val="0"/>
      <w:marRight w:val="0"/>
      <w:marTop w:val="0"/>
      <w:marBottom w:val="0"/>
      <w:divBdr>
        <w:top w:val="none" w:sz="0" w:space="0" w:color="auto"/>
        <w:left w:val="none" w:sz="0" w:space="0" w:color="auto"/>
        <w:bottom w:val="none" w:sz="0" w:space="0" w:color="auto"/>
        <w:right w:val="none" w:sz="0" w:space="0" w:color="auto"/>
      </w:divBdr>
    </w:div>
    <w:div w:id="1340428503">
      <w:bodyDiv w:val="1"/>
      <w:marLeft w:val="0"/>
      <w:marRight w:val="0"/>
      <w:marTop w:val="0"/>
      <w:marBottom w:val="0"/>
      <w:divBdr>
        <w:top w:val="none" w:sz="0" w:space="0" w:color="auto"/>
        <w:left w:val="none" w:sz="0" w:space="0" w:color="auto"/>
        <w:bottom w:val="none" w:sz="0" w:space="0" w:color="auto"/>
        <w:right w:val="none" w:sz="0" w:space="0" w:color="auto"/>
      </w:divBdr>
      <w:divsChild>
        <w:div w:id="511988480">
          <w:marLeft w:val="0"/>
          <w:marRight w:val="0"/>
          <w:marTop w:val="0"/>
          <w:marBottom w:val="0"/>
          <w:divBdr>
            <w:top w:val="none" w:sz="0" w:space="0" w:color="auto"/>
            <w:left w:val="none" w:sz="0" w:space="0" w:color="auto"/>
            <w:bottom w:val="none" w:sz="0" w:space="0" w:color="auto"/>
            <w:right w:val="none" w:sz="0" w:space="0" w:color="auto"/>
          </w:divBdr>
          <w:divsChild>
            <w:div w:id="210385970">
              <w:marLeft w:val="0"/>
              <w:marRight w:val="0"/>
              <w:marTop w:val="0"/>
              <w:marBottom w:val="0"/>
              <w:divBdr>
                <w:top w:val="none" w:sz="0" w:space="0" w:color="auto"/>
                <w:left w:val="none" w:sz="0" w:space="0" w:color="auto"/>
                <w:bottom w:val="none" w:sz="0" w:space="0" w:color="auto"/>
                <w:right w:val="none" w:sz="0" w:space="0" w:color="auto"/>
              </w:divBdr>
            </w:div>
            <w:div w:id="829295536">
              <w:marLeft w:val="0"/>
              <w:marRight w:val="0"/>
              <w:marTop w:val="0"/>
              <w:marBottom w:val="0"/>
              <w:divBdr>
                <w:top w:val="none" w:sz="0" w:space="0" w:color="auto"/>
                <w:left w:val="none" w:sz="0" w:space="0" w:color="auto"/>
                <w:bottom w:val="none" w:sz="0" w:space="0" w:color="auto"/>
                <w:right w:val="none" w:sz="0" w:space="0" w:color="auto"/>
              </w:divBdr>
            </w:div>
            <w:div w:id="1758674468">
              <w:marLeft w:val="0"/>
              <w:marRight w:val="0"/>
              <w:marTop w:val="0"/>
              <w:marBottom w:val="0"/>
              <w:divBdr>
                <w:top w:val="none" w:sz="0" w:space="0" w:color="auto"/>
                <w:left w:val="none" w:sz="0" w:space="0" w:color="auto"/>
                <w:bottom w:val="none" w:sz="0" w:space="0" w:color="auto"/>
                <w:right w:val="none" w:sz="0" w:space="0" w:color="auto"/>
              </w:divBdr>
            </w:div>
            <w:div w:id="1839148796">
              <w:marLeft w:val="0"/>
              <w:marRight w:val="0"/>
              <w:marTop w:val="0"/>
              <w:marBottom w:val="0"/>
              <w:divBdr>
                <w:top w:val="none" w:sz="0" w:space="0" w:color="auto"/>
                <w:left w:val="none" w:sz="0" w:space="0" w:color="auto"/>
                <w:bottom w:val="none" w:sz="0" w:space="0" w:color="auto"/>
                <w:right w:val="none" w:sz="0" w:space="0" w:color="auto"/>
              </w:divBdr>
            </w:div>
            <w:div w:id="18728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364945160">
      <w:bodyDiv w:val="1"/>
      <w:marLeft w:val="0"/>
      <w:marRight w:val="0"/>
      <w:marTop w:val="0"/>
      <w:marBottom w:val="0"/>
      <w:divBdr>
        <w:top w:val="none" w:sz="0" w:space="0" w:color="auto"/>
        <w:left w:val="none" w:sz="0" w:space="0" w:color="auto"/>
        <w:bottom w:val="none" w:sz="0" w:space="0" w:color="auto"/>
        <w:right w:val="none" w:sz="0" w:space="0" w:color="auto"/>
      </w:divBdr>
    </w:div>
    <w:div w:id="1397780398">
      <w:bodyDiv w:val="1"/>
      <w:marLeft w:val="0"/>
      <w:marRight w:val="0"/>
      <w:marTop w:val="0"/>
      <w:marBottom w:val="0"/>
      <w:divBdr>
        <w:top w:val="none" w:sz="0" w:space="0" w:color="auto"/>
        <w:left w:val="none" w:sz="0" w:space="0" w:color="auto"/>
        <w:bottom w:val="none" w:sz="0" w:space="0" w:color="auto"/>
        <w:right w:val="none" w:sz="0" w:space="0" w:color="auto"/>
      </w:divBdr>
    </w:div>
    <w:div w:id="1418013043">
      <w:bodyDiv w:val="1"/>
      <w:marLeft w:val="0"/>
      <w:marRight w:val="0"/>
      <w:marTop w:val="0"/>
      <w:marBottom w:val="0"/>
      <w:divBdr>
        <w:top w:val="none" w:sz="0" w:space="0" w:color="auto"/>
        <w:left w:val="none" w:sz="0" w:space="0" w:color="auto"/>
        <w:bottom w:val="none" w:sz="0" w:space="0" w:color="auto"/>
        <w:right w:val="none" w:sz="0" w:space="0" w:color="auto"/>
      </w:divBdr>
    </w:div>
    <w:div w:id="1474251777">
      <w:bodyDiv w:val="1"/>
      <w:marLeft w:val="0"/>
      <w:marRight w:val="0"/>
      <w:marTop w:val="0"/>
      <w:marBottom w:val="0"/>
      <w:divBdr>
        <w:top w:val="none" w:sz="0" w:space="0" w:color="auto"/>
        <w:left w:val="none" w:sz="0" w:space="0" w:color="auto"/>
        <w:bottom w:val="none" w:sz="0" w:space="0" w:color="auto"/>
        <w:right w:val="none" w:sz="0" w:space="0" w:color="auto"/>
      </w:divBdr>
    </w:div>
    <w:div w:id="1483622380">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35189641">
      <w:bodyDiv w:val="1"/>
      <w:marLeft w:val="0"/>
      <w:marRight w:val="0"/>
      <w:marTop w:val="0"/>
      <w:marBottom w:val="0"/>
      <w:divBdr>
        <w:top w:val="none" w:sz="0" w:space="0" w:color="auto"/>
        <w:left w:val="none" w:sz="0" w:space="0" w:color="auto"/>
        <w:bottom w:val="none" w:sz="0" w:space="0" w:color="auto"/>
        <w:right w:val="none" w:sz="0" w:space="0" w:color="auto"/>
      </w:divBdr>
      <w:divsChild>
        <w:div w:id="69356335">
          <w:marLeft w:val="0"/>
          <w:marRight w:val="0"/>
          <w:marTop w:val="0"/>
          <w:marBottom w:val="0"/>
          <w:divBdr>
            <w:top w:val="none" w:sz="0" w:space="0" w:color="auto"/>
            <w:left w:val="none" w:sz="0" w:space="0" w:color="auto"/>
            <w:bottom w:val="none" w:sz="0" w:space="0" w:color="auto"/>
            <w:right w:val="none" w:sz="0" w:space="0" w:color="auto"/>
          </w:divBdr>
        </w:div>
      </w:divsChild>
    </w:div>
    <w:div w:id="1552765412">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571765832">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755544375">
      <w:bodyDiv w:val="1"/>
      <w:marLeft w:val="0"/>
      <w:marRight w:val="0"/>
      <w:marTop w:val="0"/>
      <w:marBottom w:val="0"/>
      <w:divBdr>
        <w:top w:val="none" w:sz="0" w:space="0" w:color="auto"/>
        <w:left w:val="none" w:sz="0" w:space="0" w:color="auto"/>
        <w:bottom w:val="none" w:sz="0" w:space="0" w:color="auto"/>
        <w:right w:val="none" w:sz="0" w:space="0" w:color="auto"/>
      </w:divBdr>
    </w:div>
    <w:div w:id="1756395329">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870222090">
      <w:bodyDiv w:val="1"/>
      <w:marLeft w:val="0"/>
      <w:marRight w:val="0"/>
      <w:marTop w:val="0"/>
      <w:marBottom w:val="0"/>
      <w:divBdr>
        <w:top w:val="none" w:sz="0" w:space="0" w:color="auto"/>
        <w:left w:val="none" w:sz="0" w:space="0" w:color="auto"/>
        <w:bottom w:val="none" w:sz="0" w:space="0" w:color="auto"/>
        <w:right w:val="none" w:sz="0" w:space="0" w:color="auto"/>
      </w:divBdr>
    </w:div>
    <w:div w:id="1894197063">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1907916497">
      <w:bodyDiv w:val="1"/>
      <w:marLeft w:val="0"/>
      <w:marRight w:val="0"/>
      <w:marTop w:val="0"/>
      <w:marBottom w:val="0"/>
      <w:divBdr>
        <w:top w:val="none" w:sz="0" w:space="0" w:color="auto"/>
        <w:left w:val="none" w:sz="0" w:space="0" w:color="auto"/>
        <w:bottom w:val="none" w:sz="0" w:space="0" w:color="auto"/>
        <w:right w:val="none" w:sz="0" w:space="0" w:color="auto"/>
      </w:divBdr>
    </w:div>
    <w:div w:id="1975984813">
      <w:bodyDiv w:val="1"/>
      <w:marLeft w:val="0"/>
      <w:marRight w:val="0"/>
      <w:marTop w:val="0"/>
      <w:marBottom w:val="0"/>
      <w:divBdr>
        <w:top w:val="none" w:sz="0" w:space="0" w:color="auto"/>
        <w:left w:val="none" w:sz="0" w:space="0" w:color="auto"/>
        <w:bottom w:val="none" w:sz="0" w:space="0" w:color="auto"/>
        <w:right w:val="none" w:sz="0" w:space="0" w:color="auto"/>
      </w:divBdr>
    </w:div>
    <w:div w:id="1999922241">
      <w:bodyDiv w:val="1"/>
      <w:marLeft w:val="0"/>
      <w:marRight w:val="0"/>
      <w:marTop w:val="0"/>
      <w:marBottom w:val="0"/>
      <w:divBdr>
        <w:top w:val="none" w:sz="0" w:space="0" w:color="auto"/>
        <w:left w:val="none" w:sz="0" w:space="0" w:color="auto"/>
        <w:bottom w:val="none" w:sz="0" w:space="0" w:color="auto"/>
        <w:right w:val="none" w:sz="0" w:space="0" w:color="auto"/>
      </w:divBdr>
    </w:div>
    <w:div w:id="2014911777">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introduction.html" TargetMode="External"/><Relationship Id="rId1" Type="http://schemas.openxmlformats.org/officeDocument/2006/relationships/hyperlink" Target="http://www.unece.org/fileadmin/DAM/trans/doc/2009/wp29/ECE-TRANS-WP29-2009-131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385C7-C03C-4CD0-B1A5-43B75D251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0</TotalTime>
  <Pages>23</Pages>
  <Words>7241</Words>
  <Characters>41276</Characters>
  <Application>Microsoft Office Word</Application>
  <DocSecurity>0</DocSecurity>
  <Lines>343</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48421</CharactersWithSpaces>
  <SharedDoc>false</SharedDoc>
  <HLinks>
    <vt:vector size="18" baseType="variant">
      <vt:variant>
        <vt:i4>1048606</vt:i4>
      </vt:variant>
      <vt:variant>
        <vt:i4>36</vt:i4>
      </vt:variant>
      <vt:variant>
        <vt:i4>0</vt:i4>
      </vt:variant>
      <vt:variant>
        <vt:i4>5</vt:i4>
      </vt:variant>
      <vt:variant>
        <vt:lpwstr>http://www.unece.org/trans/main/wp29/wp29wgs/wp29grpe/pmpFCP.html</vt:lpwstr>
      </vt:variant>
      <vt:variant>
        <vt:lpwstr/>
      </vt:variant>
      <vt:variant>
        <vt:i4>6553712</vt:i4>
      </vt:variant>
      <vt:variant>
        <vt:i4>9</vt:i4>
      </vt:variant>
      <vt:variant>
        <vt:i4>0</vt:i4>
      </vt:variant>
      <vt:variant>
        <vt:i4>5</vt:i4>
      </vt:variant>
      <vt:variant>
        <vt:lpwstr>callto:016</vt:lpwstr>
      </vt:variant>
      <vt:variant>
        <vt:lpwstr/>
      </vt:variant>
      <vt:variant>
        <vt:i4>7471141</vt:i4>
      </vt:variant>
      <vt:variant>
        <vt:i4>0</vt:i4>
      </vt:variant>
      <vt:variant>
        <vt:i4>0</vt:i4>
      </vt:variant>
      <vt:variant>
        <vt:i4>5</vt:i4>
      </vt:variant>
      <vt:variant>
        <vt:lpwstr>http://en.wikipedia.org/wiki/Result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UNECE;Serge Dubuc</dc:creator>
  <cp:lastModifiedBy>Benedicte Boudol</cp:lastModifiedBy>
  <cp:revision>2</cp:revision>
  <cp:lastPrinted>2015-10-29T12:32:00Z</cp:lastPrinted>
  <dcterms:created xsi:type="dcterms:W3CDTF">2017-03-21T15:06:00Z</dcterms:created>
  <dcterms:modified xsi:type="dcterms:W3CDTF">2017-03-21T15:06:00Z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-1187130258</vt:i4>
  </property>
  <property fmtid="{D5CDD505-2E9C-101B-9397-08002B2CF9AE}" pid="3" name="_NewReviewCycle">
    <vt:lpwstr/>
  </property>
  <property fmtid="{D5CDD505-2E9C-101B-9397-08002B2CF9AE}" pid="4" name="_EmailSubject">
    <vt:lpwstr>FINAL Amending Informal Papers</vt:lpwstr>
  </property>
  <property fmtid="{D5CDD505-2E9C-101B-9397-08002B2CF9AE}" pid="5" name="_AuthorEmail">
    <vt:lpwstr>william.coleman@volkswagen.de</vt:lpwstr>
  </property>
  <property fmtid="{D5CDD505-2E9C-101B-9397-08002B2CF9AE}" pid="6" name="_AuthorEmailDisplayName">
    <vt:lpwstr>Coleman, William (EAMG/1)</vt:lpwstr>
  </property>
  <property fmtid="{D5CDD505-2E9C-101B-9397-08002B2CF9AE}" pid="7" name="_ReviewingToolsShownOnce">
    <vt:lpwstr/>
  </property>
</Properties>
</file>