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EF" w:rsidRPr="00EB0FB8" w:rsidRDefault="00C33EF7" w:rsidP="00EB0FB8">
      <w:pPr>
        <w:jc w:val="center"/>
        <w:rPr>
          <w:b/>
          <w:u w:val="single"/>
        </w:rPr>
      </w:pPr>
      <w:r>
        <w:rPr>
          <w:b/>
          <w:u w:val="single"/>
        </w:rPr>
        <w:t xml:space="preserve">GRE IWG VGL - </w:t>
      </w:r>
      <w:r w:rsidR="00F902EF" w:rsidRPr="00EB0FB8">
        <w:rPr>
          <w:b/>
          <w:u w:val="single"/>
        </w:rPr>
        <w:t>JUSTIFICATION FOR NON-REPLACEMENT OF THE 2000</w:t>
      </w:r>
      <w:r w:rsidR="00CD40A3">
        <w:rPr>
          <w:b/>
          <w:u w:val="single"/>
        </w:rPr>
        <w:t xml:space="preserve"> lm</w:t>
      </w:r>
      <w:r w:rsidR="00F902EF" w:rsidRPr="00EB0FB8">
        <w:rPr>
          <w:b/>
          <w:u w:val="single"/>
        </w:rPr>
        <w:t xml:space="preserve"> CRITERION:</w:t>
      </w:r>
    </w:p>
    <w:p w:rsidR="00F902EF" w:rsidRPr="004B5818" w:rsidRDefault="00F902EF" w:rsidP="004B5818">
      <w:pPr>
        <w:pStyle w:val="ListParagraph"/>
        <w:ind w:left="426"/>
        <w:jc w:val="both"/>
        <w:rPr>
          <w:b/>
        </w:rPr>
      </w:pPr>
      <w:r w:rsidRPr="006F3D50">
        <w:t xml:space="preserve">IWG-VGL </w:t>
      </w:r>
      <w:r w:rsidR="00530262" w:rsidRPr="006F3D50">
        <w:t xml:space="preserve">considered the </w:t>
      </w:r>
      <w:r w:rsidRPr="006F3D50">
        <w:t>2000 lm criterion for sepa</w:t>
      </w:r>
      <w:bookmarkStart w:id="0" w:name="_GoBack"/>
      <w:bookmarkEnd w:id="0"/>
      <w:r w:rsidRPr="006F3D50">
        <w:t>ration between allowance for use of manual leveling device and mandatory use of automatic leveling device</w:t>
      </w:r>
      <w:r w:rsidRPr="00220A68">
        <w:rPr>
          <w:b/>
        </w:rPr>
        <w:t>.</w:t>
      </w:r>
    </w:p>
    <w:p w:rsidR="00530262" w:rsidRPr="008D0C37" w:rsidRDefault="00530262" w:rsidP="004B5818">
      <w:pPr>
        <w:pStyle w:val="ListParagraph"/>
        <w:ind w:left="426"/>
        <w:jc w:val="both"/>
      </w:pPr>
      <w:r w:rsidRPr="008D0C37">
        <w:t>Technically there is justification to remove criterion but it will require better control of the headlamp aim of vehicles.</w:t>
      </w:r>
    </w:p>
    <w:p w:rsidR="00530262" w:rsidRDefault="00530262" w:rsidP="004B5818">
      <w:pPr>
        <w:pStyle w:val="ListParagraph"/>
        <w:ind w:left="426"/>
        <w:jc w:val="both"/>
        <w:rPr>
          <w:color w:val="0000FF"/>
        </w:rPr>
      </w:pPr>
    </w:p>
    <w:p w:rsidR="00F902EF" w:rsidRDefault="00F902EF" w:rsidP="004B5818">
      <w:pPr>
        <w:pStyle w:val="ListParagraph"/>
        <w:ind w:left="426"/>
        <w:jc w:val="both"/>
        <w:rPr>
          <w:b/>
        </w:rPr>
      </w:pPr>
      <w:r>
        <w:rPr>
          <w:b/>
        </w:rPr>
        <w:t>HISTORY</w:t>
      </w:r>
    </w:p>
    <w:p w:rsidR="00F902EF" w:rsidRPr="008D0C37" w:rsidRDefault="00F902EF" w:rsidP="00921C69">
      <w:pPr>
        <w:pStyle w:val="ListParagraph"/>
        <w:ind w:left="426"/>
        <w:rPr>
          <w:lang w:val="en-GB"/>
        </w:rPr>
      </w:pPr>
      <w:r w:rsidRPr="008D0C37">
        <w:t xml:space="preserve">From the beginning of </w:t>
      </w:r>
      <w:r w:rsidR="008D0C37" w:rsidRPr="008D0C37">
        <w:t xml:space="preserve">the application of the </w:t>
      </w:r>
      <w:r w:rsidRPr="008D0C37">
        <w:t xml:space="preserve">1958 agreement there were no direct prescriptions for cut-off inclination even if the </w:t>
      </w:r>
      <w:r w:rsidRPr="008D0C37">
        <w:rPr>
          <w:lang w:val="en-GB"/>
        </w:rPr>
        <w:t xml:space="preserve">nominal value of inclination of - 1.0% was included in component (headlamps) regulations. During first 24 years of application of </w:t>
      </w:r>
      <w:r w:rsidR="008D0C37">
        <w:rPr>
          <w:lang w:val="en-GB"/>
        </w:rPr>
        <w:t>UN</w:t>
      </w:r>
      <w:r w:rsidRPr="008D0C37">
        <w:rPr>
          <w:lang w:val="en-GB"/>
        </w:rPr>
        <w:t xml:space="preserve"> Regulations there was no levelling device requirements but the headlamps aiming was left to manufacturers or garage decision</w:t>
      </w:r>
      <w:r w:rsidR="008D0C37" w:rsidRPr="008D0C37">
        <w:rPr>
          <w:lang w:val="en-GB"/>
        </w:rPr>
        <w:t xml:space="preserve">. </w:t>
      </w:r>
      <w:r w:rsidR="007C6C3A" w:rsidRPr="008D0C37">
        <w:rPr>
          <w:lang w:val="en-GB"/>
        </w:rPr>
        <w:t>H</w:t>
      </w:r>
      <w:r w:rsidR="003D57F6" w:rsidRPr="008D0C37">
        <w:rPr>
          <w:lang w:val="en-GB"/>
        </w:rPr>
        <w:t>ow</w:t>
      </w:r>
      <w:r w:rsidR="007C6C3A" w:rsidRPr="008D0C37">
        <w:rPr>
          <w:lang w:val="en-GB"/>
        </w:rPr>
        <w:t xml:space="preserve">ever mechanical/optical headlamp </w:t>
      </w:r>
      <w:r w:rsidR="008D0C37" w:rsidRPr="008D0C37">
        <w:rPr>
          <w:lang w:val="en-GB"/>
        </w:rPr>
        <w:t>test apparatus</w:t>
      </w:r>
      <w:r w:rsidR="007C6C3A" w:rsidRPr="008D0C37">
        <w:rPr>
          <w:lang w:val="en-GB"/>
        </w:rPr>
        <w:t xml:space="preserve"> was invented and was used in garages</w:t>
      </w:r>
      <w:r w:rsidR="008D0C37" w:rsidRPr="008D0C37">
        <w:rPr>
          <w:lang w:val="en-GB"/>
        </w:rPr>
        <w:t xml:space="preserve"> and factories</w:t>
      </w:r>
      <w:r w:rsidR="007C6C3A" w:rsidRPr="008D0C37">
        <w:rPr>
          <w:lang w:val="en-GB"/>
        </w:rPr>
        <w:t xml:space="preserve"> to set initial aim. </w:t>
      </w:r>
    </w:p>
    <w:p w:rsidR="003D57F6" w:rsidRDefault="003D57F6" w:rsidP="00921C69">
      <w:pPr>
        <w:pStyle w:val="ListParagraph"/>
        <w:ind w:left="426"/>
        <w:rPr>
          <w:lang w:val="en-GB"/>
        </w:rPr>
      </w:pPr>
    </w:p>
    <w:p w:rsidR="008D0C37" w:rsidRPr="008D0C37" w:rsidRDefault="007C6C3A" w:rsidP="004B5818">
      <w:pPr>
        <w:pStyle w:val="ListParagraph"/>
        <w:ind w:left="426"/>
        <w:jc w:val="both"/>
        <w:rPr>
          <w:rStyle w:val="shorttext"/>
        </w:rPr>
      </w:pPr>
      <w:r w:rsidRPr="008D0C37">
        <w:rPr>
          <w:rStyle w:val="shorttext"/>
        </w:rPr>
        <w:t>T</w:t>
      </w:r>
      <w:r w:rsidR="00F902EF" w:rsidRPr="008D0C37">
        <w:rPr>
          <w:rStyle w:val="shorttext"/>
        </w:rPr>
        <w:t>he idea to require vehicle load related leveling correction was presented and discussed (1975) in the EEC Directives frame</w:t>
      </w:r>
      <w:r w:rsidR="008D0C37" w:rsidRPr="008D0C37">
        <w:rPr>
          <w:rStyle w:val="shorttext"/>
        </w:rPr>
        <w:t xml:space="preserve"> where</w:t>
      </w:r>
      <w:r w:rsidR="00F902EF" w:rsidRPr="008D0C37">
        <w:rPr>
          <w:rStyle w:val="shorttext"/>
        </w:rPr>
        <w:t xml:space="preserve"> automatic devices were considered more suitable and their mandatory use was proposed. </w:t>
      </w:r>
    </w:p>
    <w:p w:rsidR="00F902EF" w:rsidRPr="008D0C37" w:rsidRDefault="008D0C37" w:rsidP="004B5818">
      <w:pPr>
        <w:pStyle w:val="ListParagraph"/>
        <w:ind w:left="426"/>
        <w:jc w:val="both"/>
        <w:rPr>
          <w:rStyle w:val="shorttext"/>
        </w:rPr>
      </w:pPr>
      <w:r w:rsidRPr="008D0C37">
        <w:rPr>
          <w:rStyle w:val="shorttext"/>
        </w:rPr>
        <w:t>A</w:t>
      </w:r>
      <w:r w:rsidR="00F902EF" w:rsidRPr="008D0C37">
        <w:rPr>
          <w:rStyle w:val="shorttext"/>
        </w:rPr>
        <w:t>t that time such devices were not technically mature. Consequently, vehicles manufacturers request</w:t>
      </w:r>
      <w:r w:rsidR="00603A3E">
        <w:rPr>
          <w:rStyle w:val="shorttext"/>
        </w:rPr>
        <w:t xml:space="preserve">ed to </w:t>
      </w:r>
      <w:r w:rsidR="00F902EF" w:rsidRPr="008D0C37">
        <w:rPr>
          <w:rStyle w:val="shorttext"/>
        </w:rPr>
        <w:t>temporari</w:t>
      </w:r>
      <w:r w:rsidR="007C6C3A" w:rsidRPr="008D0C37">
        <w:rPr>
          <w:rStyle w:val="shorttext"/>
        </w:rPr>
        <w:t xml:space="preserve">ly use </w:t>
      </w:r>
      <w:r w:rsidR="00603A3E">
        <w:rPr>
          <w:rStyle w:val="shorttext"/>
        </w:rPr>
        <w:t xml:space="preserve">the </w:t>
      </w:r>
      <w:r w:rsidR="007C6C3A" w:rsidRPr="008D0C37">
        <w:rPr>
          <w:rStyle w:val="shorttext"/>
        </w:rPr>
        <w:t>manual device but transitional provisions were not defined.</w:t>
      </w:r>
      <w:r w:rsidR="00F902EF" w:rsidRPr="008D0C37">
        <w:rPr>
          <w:rStyle w:val="shorttext"/>
        </w:rPr>
        <w:t xml:space="preserve"> </w:t>
      </w:r>
    </w:p>
    <w:p w:rsidR="007C6C3A" w:rsidRDefault="00F902EF" w:rsidP="004B5818">
      <w:pPr>
        <w:pStyle w:val="ListParagraph"/>
        <w:ind w:left="426"/>
        <w:jc w:val="both"/>
        <w:rPr>
          <w:rStyle w:val="shorttext"/>
        </w:rPr>
      </w:pPr>
      <w:r>
        <w:rPr>
          <w:rStyle w:val="shorttext"/>
        </w:rPr>
        <w:t>In 1982 the requirements already existing in EEC Directive 76/756 (in the meantime amended by EEC Directive 80/233) were introduced in the new ECE Regulation 48.</w:t>
      </w:r>
    </w:p>
    <w:p w:rsidR="00F902EF" w:rsidRPr="00172C30" w:rsidRDefault="007C6C3A" w:rsidP="004B5818">
      <w:pPr>
        <w:pStyle w:val="ListParagraph"/>
        <w:ind w:left="426"/>
        <w:jc w:val="both"/>
        <w:rPr>
          <w:rStyle w:val="shorttext"/>
        </w:rPr>
      </w:pPr>
      <w:r w:rsidRPr="00172C30">
        <w:rPr>
          <w:rStyle w:val="shorttext"/>
        </w:rPr>
        <w:t xml:space="preserve">Firstly were introduced ranges for initial aim and leveling independently on headlamp height, than two ranges for height </w:t>
      </w:r>
      <w:r w:rsidR="00172C30" w:rsidRPr="00172C30">
        <w:rPr>
          <w:rStyle w:val="shorttext"/>
        </w:rPr>
        <w:t xml:space="preserve">with possibility of choice (0.8 </w:t>
      </w:r>
      <w:r w:rsidRPr="00172C30">
        <w:rPr>
          <w:rStyle w:val="shorttext"/>
        </w:rPr>
        <w:t>to 1.0m) for manufacturers and finally si</w:t>
      </w:r>
      <w:r w:rsidR="00172C30" w:rsidRPr="00172C30">
        <w:rPr>
          <w:rStyle w:val="shorttext"/>
        </w:rPr>
        <w:t>milarly prolonged to 1.5 m (off-</w:t>
      </w:r>
      <w:r w:rsidRPr="00172C30">
        <w:rPr>
          <w:rStyle w:val="shorttext"/>
        </w:rPr>
        <w:t>road</w:t>
      </w:r>
      <w:r w:rsidR="00172C30" w:rsidRPr="00172C30">
        <w:rPr>
          <w:rStyle w:val="shorttext"/>
        </w:rPr>
        <w:t xml:space="preserve"> vehicles N3G</w:t>
      </w:r>
      <w:r w:rsidRPr="00172C30">
        <w:rPr>
          <w:rStyle w:val="shorttext"/>
        </w:rPr>
        <w:t>).</w:t>
      </w:r>
      <w:r w:rsidR="00172C30">
        <w:rPr>
          <w:rStyle w:val="shorttext"/>
        </w:rPr>
        <w:t xml:space="preserve"> </w:t>
      </w:r>
      <w:r w:rsidRPr="00172C30">
        <w:rPr>
          <w:rStyle w:val="shorttext"/>
        </w:rPr>
        <w:t xml:space="preserve">There were </w:t>
      </w:r>
      <w:r w:rsidR="00731D55">
        <w:rPr>
          <w:rStyle w:val="shorttext"/>
        </w:rPr>
        <w:t>basic</w:t>
      </w:r>
      <w:r w:rsidRPr="00172C30">
        <w:rPr>
          <w:rStyle w:val="shorttext"/>
        </w:rPr>
        <w:t xml:space="preserve"> solution </w:t>
      </w:r>
      <w:r w:rsidR="00731D55">
        <w:rPr>
          <w:rStyle w:val="shorttext"/>
        </w:rPr>
        <w:t xml:space="preserve">based on the limited information available at that time </w:t>
      </w:r>
      <w:r w:rsidRPr="00172C30">
        <w:rPr>
          <w:rStyle w:val="shorttext"/>
        </w:rPr>
        <w:t>compar</w:t>
      </w:r>
      <w:r w:rsidR="00172C30" w:rsidRPr="00172C30">
        <w:rPr>
          <w:rStyle w:val="shorttext"/>
        </w:rPr>
        <w:t>ing studies an</w:t>
      </w:r>
      <w:r w:rsidR="00731D55">
        <w:rPr>
          <w:rStyle w:val="shorttext"/>
        </w:rPr>
        <w:t>d</w:t>
      </w:r>
      <w:r w:rsidR="00172C30" w:rsidRPr="00172C30">
        <w:rPr>
          <w:rStyle w:val="shorttext"/>
        </w:rPr>
        <w:t xml:space="preserve"> analysis,</w:t>
      </w:r>
      <w:r w:rsidRPr="00172C30">
        <w:rPr>
          <w:rStyle w:val="shorttext"/>
        </w:rPr>
        <w:t xml:space="preserve"> </w:t>
      </w:r>
      <w:r w:rsidR="00731D55">
        <w:rPr>
          <w:rStyle w:val="shorttext"/>
        </w:rPr>
        <w:t>this created large variations in ro</w:t>
      </w:r>
      <w:r w:rsidRPr="00172C30">
        <w:rPr>
          <w:rStyle w:val="shorttext"/>
        </w:rPr>
        <w:t>ad illumination and glare</w:t>
      </w:r>
      <w:r w:rsidR="00172C30" w:rsidRPr="00172C30">
        <w:rPr>
          <w:rStyle w:val="shorttext"/>
        </w:rPr>
        <w:t xml:space="preserve"> (see Appendix).</w:t>
      </w:r>
    </w:p>
    <w:p w:rsidR="007C6C3A" w:rsidRDefault="007C6C3A" w:rsidP="004B5818">
      <w:pPr>
        <w:pStyle w:val="ListParagraph"/>
        <w:ind w:left="426"/>
        <w:jc w:val="both"/>
        <w:rPr>
          <w:rStyle w:val="shorttext"/>
          <w:strike/>
          <w:highlight w:val="yellow"/>
        </w:rPr>
      </w:pPr>
    </w:p>
    <w:p w:rsidR="00BE6146" w:rsidRPr="00765C5A" w:rsidRDefault="00F902EF" w:rsidP="00765C5A">
      <w:pPr>
        <w:pStyle w:val="ListParagraph"/>
        <w:ind w:left="426"/>
        <w:jc w:val="both"/>
        <w:rPr>
          <w:rStyle w:val="shorttext"/>
          <w:strike/>
          <w:color w:val="0000FF"/>
        </w:rPr>
      </w:pPr>
      <w:r w:rsidRPr="00932353">
        <w:rPr>
          <w:rStyle w:val="shorttext"/>
        </w:rPr>
        <w:t>This “</w:t>
      </w:r>
      <w:r w:rsidR="00932353" w:rsidRPr="00932353">
        <w:rPr>
          <w:rStyle w:val="shorttext"/>
        </w:rPr>
        <w:t>interim</w:t>
      </w:r>
      <w:r w:rsidRPr="00932353">
        <w:rPr>
          <w:rStyle w:val="shorttext"/>
        </w:rPr>
        <w:t xml:space="preserve">” situation changed in 1995 when gas discharge light sources were introduced; their high luminous flux (above 2000 lm) was considered </w:t>
      </w:r>
      <w:r w:rsidR="00932353" w:rsidRPr="00932353">
        <w:rPr>
          <w:rStyle w:val="shorttext"/>
        </w:rPr>
        <w:t>to increase</w:t>
      </w:r>
      <w:r w:rsidRPr="00932353">
        <w:rPr>
          <w:rStyle w:val="shorttext"/>
        </w:rPr>
        <w:t xml:space="preserve"> the risk of glare and</w:t>
      </w:r>
      <w:r w:rsidR="00932353" w:rsidRPr="00932353">
        <w:rPr>
          <w:rStyle w:val="shorttext"/>
        </w:rPr>
        <w:t xml:space="preserve"> as a result </w:t>
      </w:r>
      <w:r w:rsidRPr="00932353">
        <w:rPr>
          <w:rStyle w:val="shorttext"/>
        </w:rPr>
        <w:t>the automatic leveling was mandate</w:t>
      </w:r>
      <w:r w:rsidR="00932353" w:rsidRPr="00932353">
        <w:rPr>
          <w:rStyle w:val="shorttext"/>
        </w:rPr>
        <w:t>d</w:t>
      </w:r>
      <w:r w:rsidRPr="00932353">
        <w:rPr>
          <w:rStyle w:val="shorttext"/>
        </w:rPr>
        <w:t xml:space="preserve"> for headlamps using these light sources. </w:t>
      </w:r>
    </w:p>
    <w:p w:rsidR="00F902EF" w:rsidRDefault="00F902EF" w:rsidP="004B5818">
      <w:pPr>
        <w:pStyle w:val="ListParagraph"/>
        <w:ind w:left="426"/>
        <w:jc w:val="both"/>
        <w:rPr>
          <w:rStyle w:val="shorttext"/>
        </w:rPr>
      </w:pPr>
    </w:p>
    <w:p w:rsidR="00EE4999" w:rsidRDefault="00F902EF" w:rsidP="004B5818">
      <w:pPr>
        <w:pStyle w:val="ListParagraph"/>
        <w:ind w:left="426"/>
        <w:jc w:val="both"/>
        <w:rPr>
          <w:rStyle w:val="shorttext"/>
        </w:rPr>
      </w:pPr>
      <w:r>
        <w:rPr>
          <w:rStyle w:val="shorttext"/>
        </w:rPr>
        <w:t>In 2004 also halogen light sources having a luminous flux above 2000 lm were introduced in Regulation 37 while the use of LED light sources (having not defined luminous flux) start</w:t>
      </w:r>
      <w:r w:rsidR="00EE4999">
        <w:rPr>
          <w:rStyle w:val="shorttext"/>
        </w:rPr>
        <w:t>ed</w:t>
      </w:r>
      <w:r>
        <w:rPr>
          <w:rStyle w:val="shorttext"/>
        </w:rPr>
        <w:t xml:space="preserve"> to be tested. GRE </w:t>
      </w:r>
      <w:r w:rsidR="00EE4999">
        <w:rPr>
          <w:rStyle w:val="shorttext"/>
        </w:rPr>
        <w:t>identified</w:t>
      </w:r>
      <w:r>
        <w:rPr>
          <w:rStyle w:val="shorttext"/>
        </w:rPr>
        <w:t xml:space="preserve"> that the criteria for mandatory automatic headlamp levelling had to be moved from the gas discharge light source only to all the light sources</w:t>
      </w:r>
      <w:r w:rsidR="00EE4999">
        <w:rPr>
          <w:rStyle w:val="shorttext"/>
        </w:rPr>
        <w:t xml:space="preserve"> which could produce more glare</w:t>
      </w:r>
      <w:r w:rsidR="00BC6153">
        <w:rPr>
          <w:rStyle w:val="shorttext"/>
        </w:rPr>
        <w:t xml:space="preserve"> (H9, HIR1 …)</w:t>
      </w:r>
      <w:r>
        <w:rPr>
          <w:rStyle w:val="shorttext"/>
        </w:rPr>
        <w:t xml:space="preserve">. </w:t>
      </w:r>
    </w:p>
    <w:p w:rsidR="00F902EF" w:rsidRPr="00BC6153" w:rsidRDefault="00BC6153" w:rsidP="004B5818">
      <w:pPr>
        <w:pStyle w:val="ListParagraph"/>
        <w:ind w:left="426"/>
        <w:jc w:val="both"/>
        <w:rPr>
          <w:rStyle w:val="shorttext"/>
        </w:rPr>
      </w:pPr>
      <w:r w:rsidRPr="00BC6153">
        <w:rPr>
          <w:rStyle w:val="shorttext"/>
        </w:rPr>
        <w:t>At that time t</w:t>
      </w:r>
      <w:r w:rsidR="00F902EF" w:rsidRPr="00BC6153">
        <w:rPr>
          <w:rStyle w:val="shorttext"/>
        </w:rPr>
        <w:t>he value of 2000 lm was chosen as the simple</w:t>
      </w:r>
      <w:r w:rsidRPr="00BC6153">
        <w:rPr>
          <w:rStyle w:val="shorttext"/>
        </w:rPr>
        <w:t>st</w:t>
      </w:r>
      <w:r w:rsidR="00F902EF" w:rsidRPr="00BC6153">
        <w:rPr>
          <w:rStyle w:val="shorttext"/>
        </w:rPr>
        <w:t xml:space="preserve"> limit to </w:t>
      </w:r>
      <w:r w:rsidR="00882275" w:rsidRPr="00BC6153">
        <w:rPr>
          <w:rStyle w:val="shorttext"/>
        </w:rPr>
        <w:t xml:space="preserve">require </w:t>
      </w:r>
      <w:r w:rsidR="00F902EF" w:rsidRPr="00BC6153">
        <w:rPr>
          <w:rStyle w:val="shorttext"/>
        </w:rPr>
        <w:t>auto</w:t>
      </w:r>
      <w:r w:rsidRPr="00BC6153">
        <w:rPr>
          <w:rStyle w:val="shorttext"/>
        </w:rPr>
        <w:t>matic</w:t>
      </w:r>
      <w:r w:rsidR="00F902EF" w:rsidRPr="00BC6153">
        <w:rPr>
          <w:rStyle w:val="shorttext"/>
        </w:rPr>
        <w:t xml:space="preserve"> </w:t>
      </w:r>
      <w:r w:rsidR="00882275" w:rsidRPr="00BC6153">
        <w:rPr>
          <w:rStyle w:val="shorttext"/>
        </w:rPr>
        <w:t>leveling</w:t>
      </w:r>
      <w:r w:rsidRPr="00BC6153">
        <w:rPr>
          <w:rStyle w:val="shorttext"/>
        </w:rPr>
        <w:t>.</w:t>
      </w:r>
    </w:p>
    <w:p w:rsidR="00F902EF" w:rsidRPr="002D1811" w:rsidRDefault="00F902EF" w:rsidP="004B5818">
      <w:pPr>
        <w:pStyle w:val="ListParagraph"/>
        <w:ind w:left="426"/>
        <w:jc w:val="both"/>
      </w:pPr>
      <w:r w:rsidRPr="002D1811">
        <w:t>Such criterion was never properly justified from technical</w:t>
      </w:r>
      <w:r w:rsidR="00882275" w:rsidRPr="002D1811">
        <w:t xml:space="preserve"> and safety</w:t>
      </w:r>
      <w:r w:rsidRPr="002D1811">
        <w:t xml:space="preserve"> point of view. </w:t>
      </w:r>
    </w:p>
    <w:p w:rsidR="00F902EF" w:rsidRDefault="00F902EF" w:rsidP="004B5818">
      <w:pPr>
        <w:pStyle w:val="ListParagraph"/>
        <w:ind w:left="426"/>
        <w:jc w:val="both"/>
      </w:pPr>
    </w:p>
    <w:p w:rsidR="00F902EF" w:rsidRPr="004B5818" w:rsidRDefault="00F902EF" w:rsidP="004B5818">
      <w:pPr>
        <w:pStyle w:val="ListParagraph"/>
        <w:ind w:left="426"/>
        <w:jc w:val="both"/>
        <w:rPr>
          <w:b/>
        </w:rPr>
      </w:pPr>
      <w:r w:rsidRPr="004B5818">
        <w:rPr>
          <w:b/>
        </w:rPr>
        <w:t>CONCLUSIONS</w:t>
      </w:r>
    </w:p>
    <w:p w:rsidR="00F902EF" w:rsidRDefault="00F902EF" w:rsidP="004B5818">
      <w:pPr>
        <w:pStyle w:val="ListParagraph"/>
        <w:ind w:left="426"/>
        <w:jc w:val="both"/>
        <w:rPr>
          <w:color w:val="00B050"/>
        </w:rPr>
      </w:pPr>
      <w:r w:rsidRPr="00AD684D">
        <w:t xml:space="preserve">IWG-VGL </w:t>
      </w:r>
      <w:r w:rsidR="00AD684D" w:rsidRPr="00AD684D">
        <w:t xml:space="preserve">decided to propose the deletion of the </w:t>
      </w:r>
      <w:r w:rsidRPr="00AD684D">
        <w:t xml:space="preserve">present 2000 lm </w:t>
      </w:r>
      <w:r w:rsidR="00AD684D" w:rsidRPr="00AD684D">
        <w:t xml:space="preserve">criterion </w:t>
      </w:r>
      <w:r w:rsidR="00B42F7B" w:rsidRPr="00AD684D">
        <w:t xml:space="preserve">because </w:t>
      </w:r>
      <w:r w:rsidR="00882275" w:rsidRPr="00AD684D">
        <w:t>known</w:t>
      </w:r>
      <w:r w:rsidRPr="00AD684D">
        <w:t xml:space="preserve"> studies and test</w:t>
      </w:r>
      <w:r w:rsidR="00B42F7B" w:rsidRPr="00AD684D">
        <w:t>s</w:t>
      </w:r>
      <w:r w:rsidRPr="00AD684D">
        <w:t xml:space="preserve"> ha</w:t>
      </w:r>
      <w:r w:rsidR="00B42F7B" w:rsidRPr="00AD684D">
        <w:t>ve</w:t>
      </w:r>
      <w:r w:rsidRPr="00AD684D">
        <w:t xml:space="preserve"> demonstrated that this criterion is not justified</w:t>
      </w:r>
      <w:r>
        <w:t>.</w:t>
      </w:r>
      <w:r w:rsidR="00AD684D">
        <w:t xml:space="preserve"> </w:t>
      </w:r>
    </w:p>
    <w:p w:rsidR="00AD684D" w:rsidRPr="00AD684D" w:rsidRDefault="00AD684D" w:rsidP="004B5818">
      <w:pPr>
        <w:pStyle w:val="ListParagraph"/>
        <w:ind w:left="426"/>
        <w:jc w:val="both"/>
        <w:rPr>
          <w:color w:val="00B050"/>
        </w:rPr>
      </w:pPr>
    </w:p>
    <w:p w:rsidR="00AD684D" w:rsidRPr="00DD02D2" w:rsidRDefault="00F902EF" w:rsidP="004B5818">
      <w:pPr>
        <w:pStyle w:val="ListParagraph"/>
        <w:ind w:left="426"/>
        <w:jc w:val="both"/>
      </w:pPr>
      <w:r w:rsidRPr="00DD02D2">
        <w:t xml:space="preserve">IWG VGL came to conclusion that the important issue is to </w:t>
      </w:r>
      <w:r w:rsidR="00882275" w:rsidRPr="00DD02D2">
        <w:t xml:space="preserve">guarantee a minimum road illumination distance and the glare protection </w:t>
      </w:r>
      <w:r w:rsidR="000D6C57" w:rsidRPr="00DD02D2">
        <w:t>independently on load quantity and distribution in vehicle</w:t>
      </w:r>
      <w:r w:rsidR="00AD684D" w:rsidRPr="00DD02D2">
        <w:t xml:space="preserve"> </w:t>
      </w:r>
      <w:r w:rsidRPr="00DD02D2">
        <w:t>and properly define the range of cut-off inclination in relation to headlamp reference</w:t>
      </w:r>
      <w:r w:rsidR="00AD684D" w:rsidRPr="00DD02D2">
        <w:t xml:space="preserve"> </w:t>
      </w:r>
      <w:r w:rsidRPr="00DD02D2">
        <w:t>axis height</w:t>
      </w:r>
      <w:r w:rsidR="00AD684D" w:rsidRPr="00DD02D2">
        <w:t>.</w:t>
      </w:r>
    </w:p>
    <w:p w:rsidR="002B7AE3" w:rsidRDefault="00F902EF" w:rsidP="004B5818">
      <w:pPr>
        <w:pStyle w:val="ListParagraph"/>
        <w:ind w:left="426"/>
        <w:jc w:val="both"/>
      </w:pPr>
      <w:r w:rsidRPr="002B7AE3">
        <w:t xml:space="preserve">The device or system to be used to fulfil these requirements should be basically effective and technology neutral, independently from the fact that it is </w:t>
      </w:r>
      <w:r w:rsidR="002B7AE3" w:rsidRPr="002B7AE3">
        <w:t xml:space="preserve">a </w:t>
      </w:r>
      <w:r w:rsidRPr="002B7AE3">
        <w:t xml:space="preserve">manual or automatic headlamp </w:t>
      </w:r>
      <w:r w:rsidR="000D6C57" w:rsidRPr="002B7AE3">
        <w:t>leveling</w:t>
      </w:r>
      <w:r w:rsidRPr="002B7AE3">
        <w:t xml:space="preserve"> device, an automatic suspension system or any other technical solution</w:t>
      </w:r>
      <w:r w:rsidR="002B7AE3" w:rsidRPr="002B7AE3">
        <w:t>.</w:t>
      </w:r>
    </w:p>
    <w:p w:rsidR="00F902EF" w:rsidRPr="002B7AE3" w:rsidRDefault="000D6C57" w:rsidP="004B5818">
      <w:pPr>
        <w:pStyle w:val="ListParagraph"/>
        <w:ind w:left="426"/>
        <w:jc w:val="both"/>
      </w:pPr>
      <w:r w:rsidRPr="002B7AE3">
        <w:t xml:space="preserve">However it is important to guarantee proper cut-off inclination in required range. Therefore the solution (device) should </w:t>
      </w:r>
      <w:r w:rsidR="002B7AE3" w:rsidRPr="002B7AE3">
        <w:t xml:space="preserve">minimize the </w:t>
      </w:r>
      <w:r w:rsidRPr="002B7AE3">
        <w:t>human (driver) mistakes</w:t>
      </w:r>
      <w:r w:rsidR="00DC5EF0" w:rsidRPr="002B7AE3">
        <w:t>/misuse.</w:t>
      </w:r>
      <w:r w:rsidRPr="002B7AE3">
        <w:t xml:space="preserve">  </w:t>
      </w:r>
    </w:p>
    <w:p w:rsidR="00F902EF" w:rsidRPr="002B7AE3" w:rsidRDefault="00F902EF" w:rsidP="004B5818">
      <w:pPr>
        <w:pStyle w:val="ListParagraph"/>
        <w:ind w:left="426"/>
        <w:jc w:val="both"/>
      </w:pPr>
      <w:r w:rsidRPr="002B7AE3">
        <w:t xml:space="preserve">As the result of the 1st phase of </w:t>
      </w:r>
      <w:r w:rsidR="00C03308">
        <w:t xml:space="preserve">IWG </w:t>
      </w:r>
      <w:r w:rsidRPr="002B7AE3">
        <w:t xml:space="preserve">VGL work a new graph defining the aiming range in function of headlamp mounting height is proposed. </w:t>
      </w:r>
    </w:p>
    <w:p w:rsidR="00F902EF" w:rsidRPr="00AC1A05" w:rsidRDefault="00F902EF" w:rsidP="004B5818">
      <w:pPr>
        <w:pStyle w:val="ListParagraph"/>
        <w:ind w:left="426"/>
        <w:jc w:val="both"/>
      </w:pPr>
      <w:r w:rsidRPr="00AC1A05">
        <w:t>For the time being</w:t>
      </w:r>
      <w:r w:rsidR="00AC1A05" w:rsidRPr="00AC1A05">
        <w:t>, the group VGL decided</w:t>
      </w:r>
      <w:r w:rsidRPr="00AC1A05">
        <w:t>:</w:t>
      </w:r>
    </w:p>
    <w:p w:rsidR="00F902EF" w:rsidRPr="00AC1A05" w:rsidRDefault="00F902EF" w:rsidP="004B5818">
      <w:pPr>
        <w:pStyle w:val="ListParagraph"/>
        <w:ind w:left="709" w:hanging="283"/>
        <w:jc w:val="both"/>
      </w:pPr>
      <w:r w:rsidRPr="00AC1A05">
        <w:t>-</w:t>
      </w:r>
      <w:r w:rsidRPr="00AC1A05">
        <w:tab/>
        <w:t>Annex 5 remains unchanged to check if the vehicle is in compliance with the requirements</w:t>
      </w:r>
      <w:r w:rsidR="00396F58" w:rsidRPr="00AC1A05">
        <w:t>;</w:t>
      </w:r>
    </w:p>
    <w:p w:rsidR="00F902EF" w:rsidRPr="00AC1A05" w:rsidRDefault="00F902EF" w:rsidP="004B5818">
      <w:pPr>
        <w:pStyle w:val="ListParagraph"/>
        <w:ind w:left="709" w:hanging="283"/>
        <w:jc w:val="both"/>
      </w:pPr>
      <w:r w:rsidRPr="00AC1A05">
        <w:t>-</w:t>
      </w:r>
      <w:r w:rsidRPr="00AC1A05">
        <w:tab/>
      </w:r>
      <w:r w:rsidR="00AC1A05">
        <w:t>T</w:t>
      </w:r>
      <w:r w:rsidRPr="00AC1A05">
        <w:t>he automatic leveling d</w:t>
      </w:r>
      <w:r w:rsidR="009532D3" w:rsidRPr="00AC1A05">
        <w:t xml:space="preserve">evice remains mandatory for AFS. However due to evolving technology this </w:t>
      </w:r>
      <w:r w:rsidRPr="00AC1A05">
        <w:t xml:space="preserve">subject </w:t>
      </w:r>
      <w:r w:rsidR="00AC1A05" w:rsidRPr="00AC1A05">
        <w:t>needs</w:t>
      </w:r>
      <w:r w:rsidR="009532D3" w:rsidRPr="00AC1A05">
        <w:t xml:space="preserve"> </w:t>
      </w:r>
      <w:r w:rsidRPr="00AC1A05">
        <w:t xml:space="preserve">further </w:t>
      </w:r>
      <w:r w:rsidR="009532D3" w:rsidRPr="00AC1A05">
        <w:t>studie</w:t>
      </w:r>
      <w:r w:rsidR="00AC1A05">
        <w:t>s</w:t>
      </w:r>
      <w:r w:rsidR="009532D3" w:rsidRPr="00AC1A05">
        <w:t xml:space="preserve"> </w:t>
      </w:r>
      <w:r w:rsidRPr="00AC1A05">
        <w:t xml:space="preserve">during the 2nd phase of </w:t>
      </w:r>
      <w:r w:rsidR="00C03308" w:rsidRPr="00AC1A05">
        <w:t xml:space="preserve">IWG </w:t>
      </w:r>
      <w:r w:rsidRPr="00AC1A05">
        <w:t>VGL works.</w:t>
      </w:r>
    </w:p>
    <w:p w:rsidR="00F902EF" w:rsidRDefault="00F902EF" w:rsidP="004B5818">
      <w:pPr>
        <w:pStyle w:val="ListParagraph"/>
        <w:ind w:left="426"/>
        <w:jc w:val="both"/>
      </w:pPr>
    </w:p>
    <w:p w:rsidR="00F902EF" w:rsidRDefault="00F902EF" w:rsidP="004B5818">
      <w:pPr>
        <w:pStyle w:val="ListParagraph"/>
        <w:ind w:left="426"/>
        <w:rPr>
          <w:rStyle w:val="shorttext"/>
        </w:rPr>
      </w:pPr>
    </w:p>
    <w:p w:rsidR="00F902EF" w:rsidRDefault="00F902EF">
      <w:pPr>
        <w:spacing w:after="0" w:line="240" w:lineRule="auto"/>
        <w:rPr>
          <w:rStyle w:val="shorttext"/>
        </w:rPr>
      </w:pPr>
      <w:r>
        <w:rPr>
          <w:rStyle w:val="shorttext"/>
        </w:rPr>
        <w:br w:type="page"/>
      </w:r>
    </w:p>
    <w:p w:rsidR="00F902EF" w:rsidRDefault="00F902EF" w:rsidP="001728A1">
      <w:pPr>
        <w:pStyle w:val="ListParagraph"/>
        <w:ind w:left="360"/>
        <w:rPr>
          <w:rStyle w:val="shorttext"/>
        </w:rPr>
      </w:pPr>
    </w:p>
    <w:p w:rsidR="003C0FCE" w:rsidRDefault="002A482F" w:rsidP="001728A1">
      <w:pPr>
        <w:pStyle w:val="ListParagraph"/>
        <w:ind w:left="360"/>
        <w:rPr>
          <w:b/>
        </w:rPr>
      </w:pPr>
      <w:r>
        <w:rPr>
          <w:b/>
        </w:rPr>
        <w:t>APPENDIX</w:t>
      </w:r>
    </w:p>
    <w:p w:rsidR="00F902EF" w:rsidRPr="00CE35CA" w:rsidRDefault="00F902EF" w:rsidP="001728A1">
      <w:pPr>
        <w:pStyle w:val="ListParagraph"/>
        <w:ind w:left="360"/>
        <w:rPr>
          <w:b/>
          <w:strike/>
          <w:highlight w:val="yellow"/>
        </w:rPr>
      </w:pPr>
      <w:r w:rsidRPr="003C0FCE">
        <w:rPr>
          <w:b/>
        </w:rPr>
        <w:t xml:space="preserve"> H</w:t>
      </w:r>
      <w:r w:rsidR="003C0FCE" w:rsidRPr="003C0FCE">
        <w:rPr>
          <w:b/>
        </w:rPr>
        <w:t>istor</w:t>
      </w:r>
      <w:r w:rsidR="003C0FCE">
        <w:rPr>
          <w:b/>
        </w:rPr>
        <w:t>ical review of UN regulation changes related to initial aim/leveling range.</w:t>
      </w:r>
    </w:p>
    <w:p w:rsidR="00F902EF" w:rsidRPr="00CE35CA" w:rsidRDefault="00F902EF" w:rsidP="001728A1">
      <w:pPr>
        <w:pStyle w:val="ListParagraph"/>
        <w:ind w:left="360"/>
        <w:rPr>
          <w:b/>
          <w:strike/>
          <w:highlight w:val="yellow"/>
        </w:rPr>
      </w:pPr>
    </w:p>
    <w:p w:rsidR="00F902EF" w:rsidRPr="00F50581" w:rsidRDefault="00F902EF" w:rsidP="0020134F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F50581">
        <w:rPr>
          <w:b/>
          <w:u w:val="single"/>
          <w:lang w:val="en-GB"/>
        </w:rPr>
        <w:t>1 January 1982</w:t>
      </w:r>
      <w:r w:rsidRPr="00F50581">
        <w:rPr>
          <w:u w:val="single"/>
          <w:lang w:val="en-GB"/>
        </w:rPr>
        <w:t xml:space="preserve"> </w:t>
      </w:r>
      <w:r w:rsidR="00F50581">
        <w:rPr>
          <w:u w:val="single"/>
          <w:lang w:val="en-GB"/>
        </w:rPr>
        <w:t>Original</w:t>
      </w:r>
      <w:r w:rsidRPr="00F50581">
        <w:rPr>
          <w:u w:val="single"/>
          <w:lang w:val="en-GB"/>
        </w:rPr>
        <w:t xml:space="preserve"> version of </w:t>
      </w:r>
      <w:r w:rsidR="00F50581">
        <w:rPr>
          <w:u w:val="single"/>
          <w:lang w:val="en-GB"/>
        </w:rPr>
        <w:t xml:space="preserve">UN </w:t>
      </w:r>
      <w:proofErr w:type="spellStart"/>
      <w:r w:rsidRPr="00F50581">
        <w:rPr>
          <w:u w:val="single"/>
          <w:lang w:val="en-GB"/>
        </w:rPr>
        <w:t>Reg</w:t>
      </w:r>
      <w:proofErr w:type="spellEnd"/>
      <w:r w:rsidRPr="00F50581">
        <w:rPr>
          <w:u w:val="single"/>
          <w:lang w:val="en-GB"/>
        </w:rPr>
        <w:t xml:space="preserve"> No 48.</w:t>
      </w:r>
    </w:p>
    <w:p w:rsidR="00F902EF" w:rsidRPr="003C0FCE" w:rsidRDefault="00F902EF" w:rsidP="0020134F">
      <w:pPr>
        <w:pStyle w:val="ListParagraph"/>
        <w:ind w:left="360"/>
        <w:rPr>
          <w:lang w:val="en-GB"/>
        </w:rPr>
      </w:pPr>
    </w:p>
    <w:p w:rsidR="00F902EF" w:rsidRPr="003C0FCE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r w:rsidRPr="003C0FCE">
        <w:rPr>
          <w:rFonts w:ascii="Courier" w:hAnsi="Courier" w:cs="Courier"/>
          <w:sz w:val="20"/>
          <w:szCs w:val="20"/>
          <w:lang w:val="en-GB" w:eastAsia="pl-PL"/>
        </w:rPr>
        <w:t>“6</w:t>
      </w:r>
      <w:proofErr w:type="gramStart"/>
      <w:r w:rsidRPr="003C0FCE">
        <w:rPr>
          <w:rFonts w:ascii="Courier" w:hAnsi="Courier" w:cs="Courier"/>
          <w:sz w:val="20"/>
          <w:szCs w:val="20"/>
          <w:lang w:val="en-GB" w:eastAsia="pl-PL"/>
        </w:rPr>
        <w:t>,2.5.1</w:t>
      </w:r>
      <w:proofErr w:type="gramEnd"/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. The vertical orientation of the passing beam measured in the static condition and in all the states of loading defined in „annex 5 to  this Regulation shall remain between </w:t>
      </w:r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-0.5 per cent</w:t>
      </w:r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and </w:t>
      </w:r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-2.5 per cent</w:t>
      </w:r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without manual adjustment. In the "</w:t>
      </w:r>
      <w:proofErr w:type="spellStart"/>
      <w:r w:rsidRPr="003C0FCE">
        <w:rPr>
          <w:rFonts w:ascii="Courier" w:hAnsi="Courier" w:cs="Courier"/>
          <w:sz w:val="20"/>
          <w:szCs w:val="20"/>
          <w:lang w:val="en-GB" w:eastAsia="pl-PL"/>
        </w:rPr>
        <w:t>unladen</w:t>
      </w:r>
      <w:proofErr w:type="spellEnd"/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" state, with one person in the driver's seat, this vertical orientation shall be initially set between - </w:t>
      </w:r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1 per cent</w:t>
      </w:r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and </w:t>
      </w:r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-1.5 per cent</w:t>
      </w:r>
      <w:r w:rsidRPr="003C0FCE">
        <w:rPr>
          <w:rFonts w:ascii="Courier" w:hAnsi="Courier" w:cs="Courier"/>
          <w:sz w:val="20"/>
          <w:szCs w:val="20"/>
          <w:lang w:val="en-GB" w:eastAsia="pl-PL"/>
        </w:rPr>
        <w:t>. For each type, of vehicle the manufacturer shall specify this initial orientation, which shall be shown on a plate on each vehicle.”</w:t>
      </w:r>
    </w:p>
    <w:p w:rsidR="00F902EF" w:rsidRPr="003C0FCE" w:rsidRDefault="00F902EF" w:rsidP="0020134F">
      <w:pPr>
        <w:pStyle w:val="ListParagraph"/>
        <w:rPr>
          <w:lang w:val="en-GB"/>
        </w:rPr>
      </w:pPr>
    </w:p>
    <w:p w:rsidR="00F902EF" w:rsidRPr="003C0FCE" w:rsidRDefault="00F902EF" w:rsidP="0020134F">
      <w:pPr>
        <w:pStyle w:val="ListParagraph"/>
        <w:rPr>
          <w:lang w:val="en-GB"/>
        </w:rPr>
      </w:pPr>
      <w:r w:rsidRPr="003C0FCE">
        <w:rPr>
          <w:lang w:val="en-GB"/>
        </w:rPr>
        <w:t xml:space="preserve">This was required by automatic means with (temporarily) allowance for manual device. </w:t>
      </w:r>
    </w:p>
    <w:p w:rsidR="00F902EF" w:rsidRPr="003C0FCE" w:rsidRDefault="00F902EF" w:rsidP="0020134F">
      <w:pPr>
        <w:pStyle w:val="ListParagraph"/>
        <w:rPr>
          <w:lang w:val="en-GB"/>
        </w:rPr>
      </w:pPr>
    </w:p>
    <w:p w:rsidR="00F902EF" w:rsidRPr="00F50581" w:rsidRDefault="00F902EF" w:rsidP="00C442AC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F50581">
        <w:rPr>
          <w:rFonts w:ascii="Arial" w:hAnsi="Arial" w:cs="Arial"/>
          <w:b/>
          <w:sz w:val="20"/>
          <w:szCs w:val="20"/>
          <w:u w:val="single"/>
          <w:lang w:val="en-GB" w:eastAsia="pl-PL"/>
        </w:rPr>
        <w:t>09 February 1994</w:t>
      </w:r>
      <w:r w:rsidRPr="00F50581">
        <w:rPr>
          <w:u w:val="single"/>
          <w:lang w:val="en-GB"/>
        </w:rPr>
        <w:t xml:space="preserve"> </w:t>
      </w:r>
      <w:r w:rsidR="00F50581">
        <w:rPr>
          <w:u w:val="single"/>
          <w:lang w:val="en-GB"/>
        </w:rPr>
        <w:t xml:space="preserve">UN </w:t>
      </w:r>
      <w:r w:rsidRPr="00F50581">
        <w:rPr>
          <w:u w:val="single"/>
          <w:lang w:val="en-GB"/>
        </w:rPr>
        <w:t>Reg. 48 Rev</w:t>
      </w:r>
      <w:r w:rsidR="00F50581">
        <w:rPr>
          <w:u w:val="single"/>
          <w:lang w:val="en-GB"/>
        </w:rPr>
        <w:t>ision</w:t>
      </w:r>
      <w:r w:rsidRPr="00F50581">
        <w:rPr>
          <w:u w:val="single"/>
          <w:lang w:val="en-GB"/>
        </w:rPr>
        <w:t xml:space="preserve"> 1 </w:t>
      </w:r>
    </w:p>
    <w:p w:rsidR="00F902EF" w:rsidRPr="003C0FCE" w:rsidRDefault="00F902EF" w:rsidP="00382336">
      <w:pPr>
        <w:pStyle w:val="ListParagraph"/>
        <w:rPr>
          <w:lang w:val="en-GB"/>
        </w:rPr>
      </w:pPr>
    </w:p>
    <w:p w:rsidR="00F902EF" w:rsidRPr="003C0FCE" w:rsidRDefault="00F902EF" w:rsidP="00382336">
      <w:pPr>
        <w:pStyle w:val="ListParagraph"/>
        <w:rPr>
          <w:lang w:val="en-GB"/>
        </w:rPr>
      </w:pPr>
      <w:r w:rsidRPr="003C0FCE">
        <w:rPr>
          <w:lang w:val="en-GB"/>
        </w:rPr>
        <w:t xml:space="preserve">Addition two levels of height and inclination </w:t>
      </w:r>
    </w:p>
    <w:p w:rsidR="00F902EF" w:rsidRPr="003C0FCE" w:rsidRDefault="009D53E8" w:rsidP="00C442AC">
      <w:pPr>
        <w:pStyle w:val="ListParagraph"/>
        <w:jc w:val="center"/>
        <w:rPr>
          <w:lang w:val="en-GB"/>
        </w:rPr>
      </w:pPr>
      <w:r w:rsidRPr="003C0FCE">
        <w:rPr>
          <w:noProof/>
        </w:rPr>
        <w:drawing>
          <wp:inline distT="0" distB="0" distL="0" distR="0">
            <wp:extent cx="3933190" cy="36087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EF" w:rsidRPr="00F464FD" w:rsidRDefault="00F902EF" w:rsidP="00F50581">
      <w:pPr>
        <w:pStyle w:val="ListParagraph"/>
      </w:pPr>
    </w:p>
    <w:p w:rsidR="00F902EF" w:rsidRPr="00F464FD" w:rsidRDefault="00F902EF" w:rsidP="005556FF">
      <w:pPr>
        <w:pStyle w:val="ListParagraph"/>
      </w:pPr>
    </w:p>
    <w:p w:rsidR="00F902EF" w:rsidRPr="00F50581" w:rsidRDefault="00F902EF" w:rsidP="005556FF">
      <w:pPr>
        <w:pStyle w:val="ListParagraph"/>
        <w:numPr>
          <w:ilvl w:val="0"/>
          <w:numId w:val="1"/>
        </w:numPr>
        <w:rPr>
          <w:u w:val="single"/>
        </w:rPr>
      </w:pPr>
      <w:r w:rsidRPr="00F50581">
        <w:rPr>
          <w:b/>
          <w:u w:val="single"/>
        </w:rPr>
        <w:t>16 October 1995</w:t>
      </w:r>
      <w:r w:rsidRPr="00F50581">
        <w:rPr>
          <w:u w:val="single"/>
        </w:rPr>
        <w:t xml:space="preserve"> </w:t>
      </w:r>
      <w:r w:rsidR="00F50581">
        <w:rPr>
          <w:u w:val="single"/>
        </w:rPr>
        <w:t xml:space="preserve">UN </w:t>
      </w:r>
      <w:r w:rsidRPr="00F50581">
        <w:rPr>
          <w:u w:val="single"/>
        </w:rPr>
        <w:t>Reg. 48 Rev</w:t>
      </w:r>
      <w:r w:rsidR="00F50581">
        <w:rPr>
          <w:u w:val="single"/>
        </w:rPr>
        <w:t>ision</w:t>
      </w:r>
      <w:r w:rsidRPr="00F50581">
        <w:rPr>
          <w:u w:val="single"/>
        </w:rPr>
        <w:t xml:space="preserve"> 1</w:t>
      </w:r>
      <w:r w:rsidR="00F50581">
        <w:rPr>
          <w:u w:val="single"/>
        </w:rPr>
        <w:t xml:space="preserve"> –</w:t>
      </w:r>
      <w:r w:rsidRPr="00F50581">
        <w:rPr>
          <w:u w:val="single"/>
        </w:rPr>
        <w:t xml:space="preserve"> Amend</w:t>
      </w:r>
      <w:r w:rsidR="00F50581">
        <w:rPr>
          <w:u w:val="single"/>
        </w:rPr>
        <w:t xml:space="preserve">ment </w:t>
      </w:r>
      <w:r w:rsidRPr="00F50581">
        <w:rPr>
          <w:u w:val="single"/>
        </w:rPr>
        <w:t>2</w:t>
      </w:r>
    </w:p>
    <w:p w:rsidR="00F902EF" w:rsidRPr="00F464FD" w:rsidRDefault="00F902EF" w:rsidP="00225183">
      <w:pPr>
        <w:pStyle w:val="ListParagraph"/>
      </w:pPr>
    </w:p>
    <w:p w:rsidR="00F902EF" w:rsidRPr="00F464FD" w:rsidRDefault="00F902EF" w:rsidP="00E27E3B">
      <w:pPr>
        <w:pStyle w:val="ListParagraph"/>
        <w:rPr>
          <w:rFonts w:ascii="Courier" w:hAnsi="Courier" w:cs="Courier"/>
          <w:sz w:val="20"/>
          <w:szCs w:val="20"/>
          <w:lang w:val="en-GB" w:eastAsia="pl-PL"/>
        </w:rPr>
      </w:pPr>
      <w:r w:rsidRPr="00F464FD">
        <w:rPr>
          <w:rFonts w:ascii="Courier" w:hAnsi="Courier" w:cs="Courier"/>
          <w:sz w:val="20"/>
          <w:szCs w:val="20"/>
          <w:lang w:val="en-GB" w:eastAsia="pl-PL"/>
        </w:rPr>
        <w:t>Paragraph 6.2.4.2, add at the end the following text (including also a new footnote */):</w:t>
      </w:r>
    </w:p>
    <w:p w:rsidR="00F902EF" w:rsidRPr="00F464FD" w:rsidRDefault="00F902EF" w:rsidP="00E27E3B">
      <w:pPr>
        <w:pStyle w:val="ListParagraph"/>
        <w:rPr>
          <w:rFonts w:ascii="Courier" w:hAnsi="Courier" w:cs="Courier"/>
          <w:sz w:val="20"/>
          <w:szCs w:val="20"/>
          <w:lang w:val="en-GB" w:eastAsia="pl-PL"/>
        </w:rPr>
      </w:pPr>
    </w:p>
    <w:p w:rsidR="00F902EF" w:rsidRPr="00F464FD" w:rsidRDefault="00F902EF" w:rsidP="00E27E3B">
      <w:pPr>
        <w:pStyle w:val="ListParagraph"/>
        <w:rPr>
          <w:rFonts w:ascii="Courier" w:hAnsi="Courier" w:cs="Courier"/>
          <w:sz w:val="20"/>
          <w:szCs w:val="20"/>
          <w:lang w:val="en-GB" w:eastAsia="pl-PL"/>
        </w:rPr>
      </w:pPr>
      <w:r w:rsidRPr="00F464FD">
        <w:rPr>
          <w:rFonts w:ascii="Courier" w:hAnsi="Courier" w:cs="Courier"/>
          <w:sz w:val="20"/>
          <w:szCs w:val="20"/>
          <w:lang w:val="en-GB" w:eastAsia="pl-PL"/>
        </w:rPr>
        <w:t>"....For category N3G (off-road) vehicles */, the maximum height</w:t>
      </w:r>
    </w:p>
    <w:p w:rsidR="00F902EF" w:rsidRPr="00F464FD" w:rsidRDefault="00F902EF" w:rsidP="00E27E3B">
      <w:pPr>
        <w:pStyle w:val="ListParagraph"/>
        <w:rPr>
          <w:rFonts w:ascii="Courier" w:hAnsi="Courier" w:cs="Courier"/>
          <w:sz w:val="20"/>
          <w:szCs w:val="20"/>
          <w:lang w:val="en-GB" w:eastAsia="pl-PL"/>
        </w:rPr>
      </w:pPr>
      <w:proofErr w:type="gramStart"/>
      <w:r w:rsidRPr="00F464FD">
        <w:rPr>
          <w:rFonts w:ascii="Courier" w:hAnsi="Courier" w:cs="Courier"/>
          <w:sz w:val="20"/>
          <w:szCs w:val="20"/>
          <w:lang w:val="en-GB" w:eastAsia="pl-PL"/>
        </w:rPr>
        <w:t>may</w:t>
      </w:r>
      <w:proofErr w:type="gramEnd"/>
      <w:r w:rsidRPr="00F464FD">
        <w:rPr>
          <w:rFonts w:ascii="Courier" w:hAnsi="Courier" w:cs="Courier"/>
          <w:sz w:val="20"/>
          <w:szCs w:val="20"/>
          <w:lang w:val="en-GB" w:eastAsia="pl-PL"/>
        </w:rPr>
        <w:t xml:space="preserve"> be increased to 1500 mm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Paragraph 6.2.6.1.2, add at the end the following text: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"....For category N</w:t>
      </w:r>
      <w:r w:rsidRPr="00F464FD">
        <w:rPr>
          <w:rFonts w:ascii="Courier New" w:hAnsi="Courier New" w:cs="Courier New"/>
          <w:sz w:val="12"/>
          <w:szCs w:val="12"/>
          <w:lang w:val="en-GB" w:eastAsia="pl-PL"/>
        </w:rPr>
        <w:t>3</w:t>
      </w: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G (off-road) vehicles where the headlamps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exceed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a height of 1200 mm, the limits for the vertical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inclination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of the cut-off shall be between: -1.5% and -3.5%.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The initial aim shall be set between: -2% and -2.5%"</w:t>
      </w:r>
    </w:p>
    <w:p w:rsidR="00F902EF" w:rsidRPr="00F464FD" w:rsidRDefault="00F902EF" w:rsidP="00E27E3B">
      <w:pPr>
        <w:pStyle w:val="ListParagraph"/>
        <w:rPr>
          <w:lang w:val="en-GB"/>
        </w:rPr>
      </w:pP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and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replace the diagram by the following:</w:t>
      </w:r>
    </w:p>
    <w:p w:rsidR="00F902EF" w:rsidRPr="00CE35CA" w:rsidRDefault="00F902EF" w:rsidP="005556FF">
      <w:pPr>
        <w:pStyle w:val="ListParagraph"/>
        <w:rPr>
          <w:strike/>
          <w:highlight w:val="yellow"/>
        </w:rPr>
      </w:pPr>
    </w:p>
    <w:p w:rsidR="00F902EF" w:rsidRPr="00CE35CA" w:rsidRDefault="009D53E8" w:rsidP="00E27E3B">
      <w:pPr>
        <w:pStyle w:val="ListParagraph"/>
        <w:jc w:val="center"/>
        <w:rPr>
          <w:strike/>
          <w:highlight w:val="yellow"/>
        </w:rPr>
      </w:pPr>
      <w:r>
        <w:rPr>
          <w:strike/>
          <w:noProof/>
        </w:rPr>
        <w:drawing>
          <wp:inline distT="0" distB="0" distL="0" distR="0">
            <wp:extent cx="3569335" cy="347091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4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26" w:rsidRPr="00612C26" w:rsidRDefault="00612C26" w:rsidP="00612C26">
      <w:pPr>
        <w:ind w:left="360"/>
      </w:pPr>
    </w:p>
    <w:p w:rsidR="003C0FCE" w:rsidRPr="00F50581" w:rsidRDefault="003C0FCE" w:rsidP="003C0FCE">
      <w:pPr>
        <w:pStyle w:val="ListParagraph"/>
        <w:numPr>
          <w:ilvl w:val="0"/>
          <w:numId w:val="1"/>
        </w:numPr>
        <w:rPr>
          <w:u w:val="single"/>
        </w:rPr>
      </w:pPr>
      <w:r w:rsidRPr="00F50581">
        <w:rPr>
          <w:b/>
          <w:u w:val="single"/>
        </w:rPr>
        <w:t>20 December 1995</w:t>
      </w:r>
      <w:r w:rsidRPr="00F50581">
        <w:rPr>
          <w:u w:val="single"/>
        </w:rPr>
        <w:t xml:space="preserve"> </w:t>
      </w:r>
      <w:r w:rsidR="00F50581">
        <w:rPr>
          <w:u w:val="single"/>
        </w:rPr>
        <w:t xml:space="preserve">UN </w:t>
      </w:r>
      <w:r w:rsidRPr="00F50581">
        <w:rPr>
          <w:u w:val="single"/>
        </w:rPr>
        <w:t>Reg. 48 Rev</w:t>
      </w:r>
      <w:r w:rsidR="00F50581">
        <w:rPr>
          <w:u w:val="single"/>
        </w:rPr>
        <w:t xml:space="preserve">ision 1 - Amendment </w:t>
      </w:r>
      <w:r w:rsidRPr="00F50581">
        <w:rPr>
          <w:u w:val="single"/>
        </w:rPr>
        <w:t>1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r w:rsidRPr="003C0FCE">
        <w:rPr>
          <w:rFonts w:ascii="Courier" w:hAnsi="Courier" w:cs="Courier"/>
          <w:sz w:val="20"/>
          <w:szCs w:val="20"/>
          <w:lang w:val="en-GB" w:eastAsia="pl-PL"/>
        </w:rPr>
        <w:t>Paragraph 6.2.9, add at the end a new subparagraph to read: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r w:rsidRPr="003C0FCE">
        <w:rPr>
          <w:rFonts w:ascii="Courier" w:hAnsi="Courier" w:cs="Courier"/>
          <w:sz w:val="20"/>
          <w:szCs w:val="20"/>
          <w:lang w:val="en-GB" w:eastAsia="pl-PL"/>
        </w:rPr>
        <w:t>"...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Dipped-beam headlamps </w:t>
      </w:r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with gas-discharge</w:t>
      </w:r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light sources shall only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proofErr w:type="gramStart"/>
      <w:r w:rsidRPr="003C0FCE">
        <w:rPr>
          <w:rFonts w:ascii="Courier" w:hAnsi="Courier" w:cs="Courier"/>
          <w:sz w:val="20"/>
          <w:szCs w:val="20"/>
          <w:lang w:val="en-GB" w:eastAsia="pl-PL"/>
        </w:rPr>
        <w:t>be</w:t>
      </w:r>
      <w:proofErr w:type="gramEnd"/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permitted in conjunction with the installation of headlamp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proofErr w:type="gramStart"/>
      <w:r w:rsidRPr="003C0FCE">
        <w:rPr>
          <w:rFonts w:ascii="Courier" w:hAnsi="Courier" w:cs="Courier"/>
          <w:sz w:val="20"/>
          <w:szCs w:val="20"/>
          <w:lang w:val="en-GB" w:eastAsia="pl-PL"/>
        </w:rPr>
        <w:t>cleaning</w:t>
      </w:r>
      <w:proofErr w:type="gramEnd"/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device(s) according to Regulation No. 45. 4/ In addition,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GB" w:eastAsia="pl-PL"/>
        </w:rPr>
      </w:pPr>
      <w:proofErr w:type="gramStart"/>
      <w:r w:rsidRPr="003C0FCE">
        <w:rPr>
          <w:rFonts w:ascii="Courier" w:hAnsi="Courier" w:cs="Courier"/>
          <w:sz w:val="20"/>
          <w:szCs w:val="20"/>
          <w:lang w:val="en-GB" w:eastAsia="pl-PL"/>
        </w:rPr>
        <w:t>with</w:t>
      </w:r>
      <w:proofErr w:type="gramEnd"/>
      <w:r w:rsidRPr="003C0FCE">
        <w:rPr>
          <w:rFonts w:ascii="Courier" w:hAnsi="Courier" w:cs="Courier"/>
          <w:sz w:val="20"/>
          <w:szCs w:val="20"/>
          <w:lang w:val="en-GB" w:eastAsia="pl-PL"/>
        </w:rPr>
        <w:t xml:space="preserve"> respect to vertical inclination, the provisions of</w:t>
      </w:r>
    </w:p>
    <w:p w:rsidR="003C0FCE" w:rsidRPr="003C0FCE" w:rsidRDefault="003C0FCE" w:rsidP="003C0FCE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b/>
          <w:sz w:val="20"/>
          <w:szCs w:val="20"/>
          <w:u w:val="single"/>
          <w:lang w:val="en-GB" w:eastAsia="pl-PL"/>
        </w:rPr>
      </w:pPr>
      <w:proofErr w:type="gramStart"/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paragraph</w:t>
      </w:r>
      <w:proofErr w:type="gramEnd"/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 xml:space="preserve"> 6.2.6.2.2. </w:t>
      </w:r>
      <w:proofErr w:type="gramStart"/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shall</w:t>
      </w:r>
      <w:proofErr w:type="gramEnd"/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 xml:space="preserve"> not be applied when these headlamps are</w:t>
      </w:r>
    </w:p>
    <w:p w:rsidR="003C0FCE" w:rsidRPr="003C0FCE" w:rsidRDefault="003C0FCE" w:rsidP="003C0FCE">
      <w:pPr>
        <w:pStyle w:val="ListParagraph"/>
        <w:rPr>
          <w:lang w:val="en-GB"/>
        </w:rPr>
      </w:pPr>
      <w:proofErr w:type="gramStart"/>
      <w:r w:rsidRPr="003C0FCE">
        <w:rPr>
          <w:rFonts w:ascii="Courier" w:hAnsi="Courier" w:cs="Courier"/>
          <w:b/>
          <w:sz w:val="20"/>
          <w:szCs w:val="20"/>
          <w:u w:val="single"/>
          <w:lang w:val="en-GB" w:eastAsia="pl-PL"/>
        </w:rPr>
        <w:t>installed</w:t>
      </w:r>
      <w:proofErr w:type="gramEnd"/>
      <w:r w:rsidRPr="003C0FCE">
        <w:rPr>
          <w:rFonts w:ascii="Courier" w:hAnsi="Courier" w:cs="Courier"/>
          <w:sz w:val="20"/>
          <w:szCs w:val="20"/>
          <w:lang w:val="en-GB" w:eastAsia="pl-PL"/>
        </w:rPr>
        <w:t>.</w:t>
      </w:r>
      <w:r w:rsidRPr="003C0FCE">
        <w:rPr>
          <w:lang w:val="en-GB"/>
        </w:rPr>
        <w:t xml:space="preserve"> </w:t>
      </w:r>
    </w:p>
    <w:p w:rsidR="003C0FCE" w:rsidRPr="003C0FCE" w:rsidRDefault="003C0FCE" w:rsidP="003C0FCE">
      <w:pPr>
        <w:pStyle w:val="ListParagraph"/>
      </w:pPr>
    </w:p>
    <w:p w:rsidR="00F902EF" w:rsidRPr="00F464FD" w:rsidRDefault="00F902EF" w:rsidP="00F464FD">
      <w:pPr>
        <w:pStyle w:val="ListParagraph"/>
      </w:pPr>
    </w:p>
    <w:p w:rsidR="00F902EF" w:rsidRPr="00F50581" w:rsidRDefault="00F902EF" w:rsidP="00B5790A">
      <w:pPr>
        <w:pStyle w:val="ListParagraph"/>
        <w:numPr>
          <w:ilvl w:val="0"/>
          <w:numId w:val="1"/>
        </w:numPr>
        <w:rPr>
          <w:u w:val="single"/>
        </w:rPr>
      </w:pPr>
      <w:r w:rsidRPr="00F50581">
        <w:rPr>
          <w:b/>
          <w:u w:val="single"/>
        </w:rPr>
        <w:t>26 February 2004</w:t>
      </w:r>
      <w:r w:rsidRPr="00F50581">
        <w:rPr>
          <w:u w:val="single"/>
        </w:rPr>
        <w:t xml:space="preserve"> </w:t>
      </w:r>
      <w:r w:rsidR="00F50581">
        <w:rPr>
          <w:u w:val="single"/>
        </w:rPr>
        <w:t xml:space="preserve">UN Reg.48 </w:t>
      </w:r>
      <w:r w:rsidRPr="00F50581">
        <w:rPr>
          <w:u w:val="single"/>
        </w:rPr>
        <w:t xml:space="preserve">Revision 2 - Amendment 5 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"2.7.27. "</w:t>
      </w:r>
      <w:proofErr w:type="gramStart"/>
      <w:r w:rsidRPr="00F464FD">
        <w:rPr>
          <w:rFonts w:ascii="Courier New" w:hAnsi="Courier New" w:cs="Courier New"/>
          <w:b/>
          <w:sz w:val="20"/>
          <w:szCs w:val="20"/>
          <w:u w:val="single"/>
          <w:lang w:val="en-GB" w:eastAsia="pl-PL"/>
        </w:rPr>
        <w:t>objective</w:t>
      </w:r>
      <w:proofErr w:type="gramEnd"/>
      <w:r w:rsidRPr="00F464FD">
        <w:rPr>
          <w:rFonts w:ascii="Courier New" w:hAnsi="Courier New" w:cs="Courier New"/>
          <w:b/>
          <w:sz w:val="20"/>
          <w:szCs w:val="20"/>
          <w:u w:val="single"/>
          <w:lang w:val="en-GB" w:eastAsia="pl-PL"/>
        </w:rPr>
        <w:t xml:space="preserve"> luminous flux</w:t>
      </w:r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" means a design value of the luminous flux of a replaceable light source. It shall be achieved, within the </w:t>
      </w:r>
      <w:r w:rsidRPr="00F464FD">
        <w:rPr>
          <w:rFonts w:ascii="Courier New" w:hAnsi="Courier New" w:cs="Courier New"/>
          <w:sz w:val="20"/>
          <w:szCs w:val="20"/>
          <w:lang w:val="en-GB" w:eastAsia="pl-PL"/>
        </w:rPr>
        <w:lastRenderedPageBreak/>
        <w:t>specified tolerances, when the replaceable light source is energized by the power supply at the specified test voltage, as indicated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in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the data sheet of the light source."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Paragraph 6.2.9., amend the second subparagraph to read (footnote 4/ not modified):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>"......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Dipped-beam headlamps with a light source having an objective luminous flux which </w:t>
      </w:r>
      <w:r w:rsidRPr="00F464FD">
        <w:rPr>
          <w:rFonts w:ascii="Courier New" w:hAnsi="Courier New" w:cs="Courier New"/>
          <w:b/>
          <w:sz w:val="20"/>
          <w:szCs w:val="20"/>
          <w:u w:val="single"/>
          <w:lang w:val="en-GB" w:eastAsia="pl-PL"/>
        </w:rPr>
        <w:t>exceeds 2,000 lumen</w:t>
      </w:r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shall only be installed in conjunction with the installation of headlamp cleaning device(s) according to Regulation No. 45. 4/ </w:t>
      </w: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In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addition, with respect to vertical inclination, the provisions of paragraph 6.2.6.2.2. </w:t>
      </w: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above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 xml:space="preserve"> shall not be</w:t>
      </w:r>
    </w:p>
    <w:p w:rsidR="00F902EF" w:rsidRPr="00F464FD" w:rsidRDefault="00F902EF" w:rsidP="00E27E3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  <w:lang w:val="en-GB" w:eastAsia="pl-PL"/>
        </w:rPr>
      </w:pPr>
      <w:proofErr w:type="gramStart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applied</w:t>
      </w:r>
      <w:proofErr w:type="gramEnd"/>
      <w:r w:rsidRPr="00F464FD">
        <w:rPr>
          <w:rFonts w:ascii="Courier New" w:hAnsi="Courier New" w:cs="Courier New"/>
          <w:sz w:val="20"/>
          <w:szCs w:val="20"/>
          <w:lang w:val="en-GB" w:eastAsia="pl-PL"/>
        </w:rPr>
        <w:t>."</w:t>
      </w:r>
    </w:p>
    <w:sectPr w:rsidR="00F902EF" w:rsidRPr="00F464FD" w:rsidSect="00925AB1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F7" w:rsidRDefault="00C33EF7" w:rsidP="00C33EF7">
      <w:pPr>
        <w:spacing w:after="0" w:line="240" w:lineRule="auto"/>
      </w:pPr>
      <w:r>
        <w:separator/>
      </w:r>
    </w:p>
  </w:endnote>
  <w:endnote w:type="continuationSeparator" w:id="0">
    <w:p w:rsidR="00C33EF7" w:rsidRDefault="00C33EF7" w:rsidP="00C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F7" w:rsidRDefault="00C33EF7" w:rsidP="00C33EF7">
      <w:pPr>
        <w:spacing w:after="0" w:line="240" w:lineRule="auto"/>
      </w:pPr>
      <w:r>
        <w:separator/>
      </w:r>
    </w:p>
  </w:footnote>
  <w:footnote w:type="continuationSeparator" w:id="0">
    <w:p w:rsidR="00C33EF7" w:rsidRDefault="00C33EF7" w:rsidP="00C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7" w:rsidRDefault="00C33EF7">
    <w:pPr>
      <w:pStyle w:val="Header"/>
    </w:pPr>
  </w:p>
  <w:p w:rsidR="00C33EF7" w:rsidRDefault="00C33EF7">
    <w:pPr>
      <w:pStyle w:val="Header"/>
    </w:pPr>
  </w:p>
  <w:p w:rsidR="00C33EF7" w:rsidRDefault="00C33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000" w:firstRow="0" w:lastRow="0" w:firstColumn="0" w:lastColumn="0" w:noHBand="0" w:noVBand="0"/>
    </w:tblPr>
    <w:tblGrid>
      <w:gridCol w:w="5778"/>
      <w:gridCol w:w="4678"/>
    </w:tblGrid>
    <w:tr w:rsidR="00925AB1" w:rsidRPr="00BC3FFC" w:rsidTr="005601C2">
      <w:tc>
        <w:tcPr>
          <w:tcW w:w="5778" w:type="dxa"/>
          <w:vAlign w:val="center"/>
        </w:tcPr>
        <w:p w:rsidR="00925AB1" w:rsidRPr="00384F56" w:rsidRDefault="00925AB1" w:rsidP="007026EC">
          <w:pPr>
            <w:spacing w:after="0" w:line="240" w:lineRule="auto"/>
            <w:ind w:right="67"/>
            <w:jc w:val="both"/>
            <w:rPr>
              <w:rFonts w:ascii="Times New Roman" w:eastAsiaTheme="minorHAnsi" w:hAnsi="Times New Roman"/>
              <w:sz w:val="24"/>
              <w:szCs w:val="24"/>
              <w:lang w:val="en-TT" w:eastAsia="ar-SA"/>
            </w:rPr>
          </w:pPr>
          <w:r w:rsidRPr="00384F56">
            <w:rPr>
              <w:rFonts w:ascii="Times New Roman" w:eastAsiaTheme="minorHAnsi" w:hAnsi="Times New Roman"/>
              <w:sz w:val="24"/>
              <w:szCs w:val="24"/>
            </w:rPr>
            <w:t>Transmitted by IWG VGL</w:t>
          </w:r>
        </w:p>
      </w:tc>
      <w:tc>
        <w:tcPr>
          <w:tcW w:w="4678" w:type="dxa"/>
        </w:tcPr>
        <w:p w:rsidR="00925AB1" w:rsidRPr="00384F56" w:rsidRDefault="00925AB1" w:rsidP="005601C2">
          <w:pPr>
            <w:spacing w:after="0" w:line="240" w:lineRule="auto"/>
            <w:ind w:right="317"/>
            <w:rPr>
              <w:rFonts w:ascii="Times New Roman" w:eastAsiaTheme="minorHAnsi" w:hAnsi="Times New Roman"/>
              <w:b/>
              <w:bCs/>
              <w:color w:val="000000"/>
              <w:sz w:val="24"/>
              <w:szCs w:val="24"/>
              <w:lang w:eastAsia="ar-SA"/>
            </w:rPr>
          </w:pPr>
          <w:r w:rsidRPr="00384F56">
            <w:rPr>
              <w:rFonts w:ascii="Times New Roman" w:eastAsiaTheme="minorHAnsi" w:hAnsi="Times New Roman"/>
              <w:sz w:val="24"/>
              <w:szCs w:val="24"/>
              <w:u w:val="single"/>
              <w:lang w:eastAsia="ar-SA"/>
            </w:rPr>
            <w:t>Informal document</w:t>
          </w:r>
          <w:r w:rsidRPr="00384F56">
            <w:rPr>
              <w:rFonts w:ascii="Times New Roman" w:eastAsiaTheme="minorHAnsi" w:hAnsi="Times New Roman"/>
              <w:sz w:val="24"/>
              <w:szCs w:val="24"/>
              <w:lang w:eastAsia="ar-SA"/>
            </w:rPr>
            <w:t xml:space="preserve"> </w:t>
          </w:r>
          <w:r w:rsidRPr="00384F56">
            <w:rPr>
              <w:rFonts w:ascii="Times New Roman" w:eastAsiaTheme="minorHAnsi" w:hAnsi="Times New Roman"/>
              <w:b/>
              <w:bCs/>
              <w:sz w:val="24"/>
              <w:szCs w:val="24"/>
              <w:lang w:eastAsia="ar-SA"/>
            </w:rPr>
            <w:t>GRE-78-</w:t>
          </w:r>
          <w:r>
            <w:rPr>
              <w:rFonts w:ascii="Times New Roman" w:eastAsiaTheme="minorHAnsi" w:hAnsi="Times New Roman"/>
              <w:b/>
              <w:bCs/>
              <w:sz w:val="24"/>
              <w:szCs w:val="24"/>
              <w:lang w:eastAsia="ar-SA"/>
            </w:rPr>
            <w:t>32</w:t>
          </w:r>
        </w:p>
        <w:p w:rsidR="005601C2" w:rsidRDefault="00925AB1" w:rsidP="005601C2">
          <w:pPr>
            <w:tabs>
              <w:tab w:val="center" w:pos="4677"/>
              <w:tab w:val="right" w:pos="9355"/>
            </w:tabs>
            <w:spacing w:after="0" w:line="240" w:lineRule="auto"/>
            <w:ind w:right="317"/>
            <w:rPr>
              <w:rFonts w:ascii="Times New Roman" w:hAnsi="Times New Roman"/>
              <w:sz w:val="24"/>
              <w:szCs w:val="24"/>
            </w:rPr>
          </w:pPr>
          <w:r w:rsidRPr="00384F56">
            <w:rPr>
              <w:rFonts w:ascii="Times New Roman" w:eastAsiaTheme="minorHAnsi" w:hAnsi="Times New Roman"/>
              <w:sz w:val="24"/>
              <w:szCs w:val="24"/>
              <w:lang w:eastAsia="ar-SA"/>
            </w:rPr>
            <w:t xml:space="preserve">(78th GRE, </w:t>
          </w:r>
          <w:r w:rsidRPr="00384F56">
            <w:rPr>
              <w:rFonts w:ascii="Times New Roman" w:hAnsi="Times New Roman"/>
              <w:sz w:val="24"/>
              <w:szCs w:val="24"/>
            </w:rPr>
            <w:t>24-27 October 2017</w:t>
          </w:r>
          <w:r>
            <w:rPr>
              <w:rFonts w:ascii="Times New Roman" w:hAnsi="Times New Roman"/>
              <w:sz w:val="24"/>
              <w:szCs w:val="24"/>
            </w:rPr>
            <w:t xml:space="preserve">, </w:t>
          </w:r>
        </w:p>
        <w:p w:rsidR="00925AB1" w:rsidRPr="00384F56" w:rsidRDefault="00925AB1" w:rsidP="005601C2">
          <w:pPr>
            <w:tabs>
              <w:tab w:val="center" w:pos="4677"/>
              <w:tab w:val="right" w:pos="9355"/>
            </w:tabs>
            <w:spacing w:after="0" w:line="240" w:lineRule="auto"/>
            <w:ind w:right="317"/>
            <w:rPr>
              <w:rFonts w:ascii="Times New Roman" w:eastAsiaTheme="minorHAnsi" w:hAnsi="Times New Roman"/>
              <w:sz w:val="24"/>
              <w:szCs w:val="24"/>
              <w:lang w:val="en-TT" w:eastAsia="ar-SA"/>
            </w:rPr>
          </w:pPr>
          <w:r w:rsidRPr="00384F56">
            <w:rPr>
              <w:rFonts w:ascii="Times New Roman" w:eastAsiaTheme="minorHAnsi" w:hAnsi="Times New Roman"/>
              <w:sz w:val="24"/>
              <w:szCs w:val="24"/>
              <w:lang w:val="en-TT" w:eastAsia="ar-SA"/>
            </w:rPr>
            <w:t>agenda item 6 (b)</w:t>
          </w:r>
          <w:r>
            <w:rPr>
              <w:rFonts w:ascii="Times New Roman" w:eastAsiaTheme="minorHAnsi" w:hAnsi="Times New Roman"/>
              <w:sz w:val="24"/>
              <w:szCs w:val="24"/>
              <w:lang w:val="en-TT" w:eastAsia="ar-SA"/>
            </w:rPr>
            <w:t>)</w:t>
          </w:r>
        </w:p>
      </w:tc>
    </w:tr>
  </w:tbl>
  <w:p w:rsidR="00925AB1" w:rsidRDefault="00925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1003"/>
    <w:multiLevelType w:val="hybridMultilevel"/>
    <w:tmpl w:val="97A414A2"/>
    <w:lvl w:ilvl="0" w:tplc="59F69F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D4"/>
    <w:rsid w:val="0003134B"/>
    <w:rsid w:val="000356E8"/>
    <w:rsid w:val="000D6C57"/>
    <w:rsid w:val="000E6F0A"/>
    <w:rsid w:val="0014761F"/>
    <w:rsid w:val="001728A1"/>
    <w:rsid w:val="00172C30"/>
    <w:rsid w:val="001A3E39"/>
    <w:rsid w:val="0020134F"/>
    <w:rsid w:val="00220A68"/>
    <w:rsid w:val="00225183"/>
    <w:rsid w:val="002255EF"/>
    <w:rsid w:val="00227ABF"/>
    <w:rsid w:val="00261A7E"/>
    <w:rsid w:val="002878AB"/>
    <w:rsid w:val="002A482F"/>
    <w:rsid w:val="002B3D9A"/>
    <w:rsid w:val="002B7AE3"/>
    <w:rsid w:val="002D1811"/>
    <w:rsid w:val="002F215D"/>
    <w:rsid w:val="003311DD"/>
    <w:rsid w:val="00371146"/>
    <w:rsid w:val="00377A6B"/>
    <w:rsid w:val="00382336"/>
    <w:rsid w:val="00396F58"/>
    <w:rsid w:val="003C0FCE"/>
    <w:rsid w:val="003D05F7"/>
    <w:rsid w:val="003D244D"/>
    <w:rsid w:val="003D57F6"/>
    <w:rsid w:val="00422B31"/>
    <w:rsid w:val="00437396"/>
    <w:rsid w:val="00481EAC"/>
    <w:rsid w:val="004B5818"/>
    <w:rsid w:val="00525EB4"/>
    <w:rsid w:val="00530262"/>
    <w:rsid w:val="005361D4"/>
    <w:rsid w:val="005517CA"/>
    <w:rsid w:val="005556FF"/>
    <w:rsid w:val="005601C2"/>
    <w:rsid w:val="005D7486"/>
    <w:rsid w:val="00603A3E"/>
    <w:rsid w:val="00612C26"/>
    <w:rsid w:val="00696226"/>
    <w:rsid w:val="006A0A04"/>
    <w:rsid w:val="006D79EE"/>
    <w:rsid w:val="006E331F"/>
    <w:rsid w:val="006F1D03"/>
    <w:rsid w:val="006F3D50"/>
    <w:rsid w:val="00731D55"/>
    <w:rsid w:val="00765C5A"/>
    <w:rsid w:val="007841B9"/>
    <w:rsid w:val="00790F4D"/>
    <w:rsid w:val="007C6C3A"/>
    <w:rsid w:val="00871AA0"/>
    <w:rsid w:val="00882275"/>
    <w:rsid w:val="008B172E"/>
    <w:rsid w:val="008D0C37"/>
    <w:rsid w:val="00921C69"/>
    <w:rsid w:val="00925AB1"/>
    <w:rsid w:val="00932353"/>
    <w:rsid w:val="009532D3"/>
    <w:rsid w:val="009840BA"/>
    <w:rsid w:val="009A6506"/>
    <w:rsid w:val="009D53E8"/>
    <w:rsid w:val="00A85DEC"/>
    <w:rsid w:val="00A86157"/>
    <w:rsid w:val="00AC1A05"/>
    <w:rsid w:val="00AD684D"/>
    <w:rsid w:val="00B42F7B"/>
    <w:rsid w:val="00B5790A"/>
    <w:rsid w:val="00BC6153"/>
    <w:rsid w:val="00BE6146"/>
    <w:rsid w:val="00BE6EB8"/>
    <w:rsid w:val="00C03308"/>
    <w:rsid w:val="00C273DC"/>
    <w:rsid w:val="00C33EF7"/>
    <w:rsid w:val="00C442AC"/>
    <w:rsid w:val="00CA5B32"/>
    <w:rsid w:val="00CC224A"/>
    <w:rsid w:val="00CD40A3"/>
    <w:rsid w:val="00CE35CA"/>
    <w:rsid w:val="00D349A3"/>
    <w:rsid w:val="00DC5EF0"/>
    <w:rsid w:val="00DD02D2"/>
    <w:rsid w:val="00E27E3B"/>
    <w:rsid w:val="00E74528"/>
    <w:rsid w:val="00EA0755"/>
    <w:rsid w:val="00EA71C5"/>
    <w:rsid w:val="00EB0FB8"/>
    <w:rsid w:val="00EB1BF0"/>
    <w:rsid w:val="00EE4999"/>
    <w:rsid w:val="00F464FD"/>
    <w:rsid w:val="00F50581"/>
    <w:rsid w:val="00F902EF"/>
    <w:rsid w:val="00FA73A2"/>
    <w:rsid w:val="00FE2A27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E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1D4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B579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C6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F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F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E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1D4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B579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C6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F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1065</Words>
  <Characters>5698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JUSTIFICATION FOR non-replacement of the 2000lm criterion:</vt:lpstr>
      <vt:lpstr>JUSTIFICATION FOR non-replacement of the 2000lm criterion:</vt:lpstr>
      <vt:lpstr>JUSTIFICATION FOR non-replacement of the 2000lm criterion:</vt:lpstr>
    </vt:vector>
  </TitlesOfParts>
  <Company>FIATGROUP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non-replacement of the 2000lm criterion:</dc:title>
  <dc:creator>SILVANI Francoise</dc:creator>
  <cp:lastModifiedBy>Konstantin Glukhenkiy</cp:lastModifiedBy>
  <cp:revision>3</cp:revision>
  <dcterms:created xsi:type="dcterms:W3CDTF">2017-10-23T15:54:00Z</dcterms:created>
  <dcterms:modified xsi:type="dcterms:W3CDTF">2017-10-23T15:59:00Z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256152929</vt:i4>
  </property>
  <property fmtid="{D5CDD505-2E9C-101B-9397-08002B2CF9AE}" pid="4" name="_EmailSubject">
    <vt:lpwstr>Another informal document for tomorrow</vt:lpwstr>
  </property>
  <property fmtid="{D5CDD505-2E9C-101B-9397-08002B2CF9AE}" pid="5" name="_AuthorEmail">
    <vt:lpwstr>francoise.silvani@renault.com</vt:lpwstr>
  </property>
  <property fmtid="{D5CDD505-2E9C-101B-9397-08002B2CF9AE}" pid="6" name="_AuthorEmailDisplayName">
    <vt:lpwstr>SILVANI Francoise</vt:lpwstr>
  </property>
  <property fmtid="{D5CDD505-2E9C-101B-9397-08002B2CF9AE}" pid="7" name="_ReviewingToolsShownOnce">
    <vt:lpwstr/>
  </property>
</Properties>
</file>