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ook w:val="04A0" w:firstRow="1" w:lastRow="0" w:firstColumn="1" w:lastColumn="0" w:noHBand="0" w:noVBand="1"/>
      </w:tblPr>
      <w:tblGrid>
        <w:gridCol w:w="4536"/>
        <w:gridCol w:w="5103"/>
      </w:tblGrid>
      <w:tr w:rsidR="00F01EF9" w:rsidRPr="00237CF2" w:rsidTr="000E6125">
        <w:tc>
          <w:tcPr>
            <w:tcW w:w="4536" w:type="dxa"/>
            <w:vAlign w:val="center"/>
            <w:hideMark/>
          </w:tcPr>
          <w:p w:rsidR="00F01EF9" w:rsidRPr="00237CF2" w:rsidRDefault="00F01EF9" w:rsidP="000E6125">
            <w:pPr>
              <w:rPr>
                <w:sz w:val="20"/>
                <w:szCs w:val="20"/>
                <w:lang w:val="en-US"/>
              </w:rPr>
            </w:pPr>
            <w:r w:rsidRPr="00237CF2">
              <w:rPr>
                <w:sz w:val="20"/>
                <w:szCs w:val="20"/>
                <w:lang w:val="en-US"/>
              </w:rPr>
              <w:t xml:space="preserve">Transmitted by the experts from The International Automotive Lighting and Light Signalling Expert Group (GTB) </w:t>
            </w:r>
          </w:p>
        </w:tc>
        <w:tc>
          <w:tcPr>
            <w:tcW w:w="5103" w:type="dxa"/>
            <w:hideMark/>
          </w:tcPr>
          <w:p w:rsidR="00F01EF9" w:rsidRPr="00237CF2" w:rsidRDefault="00F01EF9" w:rsidP="00F01EF9">
            <w:pPr>
              <w:ind w:left="1418"/>
              <w:rPr>
                <w:sz w:val="20"/>
                <w:szCs w:val="20"/>
                <w:lang w:val="en-US"/>
              </w:rPr>
            </w:pPr>
            <w:r w:rsidRPr="00237CF2">
              <w:rPr>
                <w:sz w:val="20"/>
                <w:szCs w:val="20"/>
                <w:lang w:val="en-US"/>
              </w:rPr>
              <w:t xml:space="preserve">Informal document </w:t>
            </w:r>
            <w:r w:rsidRPr="00237CF2">
              <w:rPr>
                <w:b/>
                <w:sz w:val="20"/>
                <w:szCs w:val="20"/>
                <w:lang w:val="en-US"/>
              </w:rPr>
              <w:t>GRE-78-</w:t>
            </w:r>
            <w:r w:rsidR="00AB20E4">
              <w:rPr>
                <w:b/>
                <w:sz w:val="20"/>
                <w:szCs w:val="20"/>
                <w:lang w:val="en-US"/>
              </w:rPr>
              <w:t>05</w:t>
            </w:r>
          </w:p>
          <w:p w:rsidR="00F01EF9" w:rsidRPr="00237CF2" w:rsidRDefault="00F01EF9" w:rsidP="00F01EF9">
            <w:pPr>
              <w:ind w:left="1418"/>
              <w:rPr>
                <w:sz w:val="20"/>
                <w:szCs w:val="20"/>
                <w:lang w:val="en-US"/>
              </w:rPr>
            </w:pPr>
            <w:r w:rsidRPr="00237CF2">
              <w:rPr>
                <w:sz w:val="20"/>
                <w:szCs w:val="20"/>
                <w:lang w:val="en-US"/>
              </w:rPr>
              <w:t>(78th GRE, 24-27 October 2017</w:t>
            </w:r>
          </w:p>
          <w:p w:rsidR="00F01EF9" w:rsidRPr="00237CF2" w:rsidRDefault="00F01EF9" w:rsidP="00F01EF9">
            <w:pPr>
              <w:ind w:left="1418"/>
              <w:rPr>
                <w:sz w:val="20"/>
                <w:szCs w:val="20"/>
                <w:lang w:val="en-US"/>
              </w:rPr>
            </w:pPr>
            <w:r w:rsidRPr="00237CF2">
              <w:rPr>
                <w:sz w:val="20"/>
                <w:szCs w:val="20"/>
                <w:lang w:val="en-US"/>
              </w:rPr>
              <w:t xml:space="preserve">agenda item </w:t>
            </w:r>
            <w:r w:rsidRPr="00AB20E4">
              <w:rPr>
                <w:sz w:val="20"/>
                <w:szCs w:val="20"/>
                <w:lang w:val="en-US"/>
              </w:rPr>
              <w:t>6 (a))</w:t>
            </w:r>
          </w:p>
        </w:tc>
      </w:tr>
    </w:tbl>
    <w:p w:rsidR="00EC7B53" w:rsidRDefault="00EC7B53">
      <w:pPr>
        <w:rPr>
          <w:lang w:val="en-US"/>
        </w:rPr>
      </w:pPr>
    </w:p>
    <w:p w:rsidR="00F01EF9" w:rsidRDefault="00F01EF9">
      <w:pPr>
        <w:rPr>
          <w:sz w:val="20"/>
          <w:szCs w:val="20"/>
          <w:lang w:val="en-US"/>
        </w:rPr>
      </w:pPr>
    </w:p>
    <w:p w:rsidR="00D553D2" w:rsidRPr="0013708B" w:rsidRDefault="00F01EF9" w:rsidP="00DA4090">
      <w:pPr>
        <w:tabs>
          <w:tab w:val="left" w:pos="8505"/>
        </w:tabs>
        <w:spacing w:after="120"/>
        <w:ind w:left="1134" w:right="1467"/>
        <w:jc w:val="both"/>
        <w:rPr>
          <w:rFonts w:eastAsia="Calibri"/>
          <w:sz w:val="20"/>
          <w:szCs w:val="20"/>
          <w:lang w:val="en-US"/>
        </w:rPr>
      </w:pPr>
      <w:r w:rsidRPr="0013708B">
        <w:rPr>
          <w:rFonts w:eastAsia="Calibri"/>
          <w:sz w:val="20"/>
          <w:szCs w:val="20"/>
          <w:lang w:val="en-US"/>
        </w:rPr>
        <w:t>The text reproduced below was pre</w:t>
      </w:r>
      <w:bookmarkStart w:id="0" w:name="_GoBack"/>
      <w:bookmarkEnd w:id="0"/>
      <w:r w:rsidRPr="0013708B">
        <w:rPr>
          <w:rFonts w:eastAsia="Calibri"/>
          <w:sz w:val="20"/>
          <w:szCs w:val="20"/>
          <w:lang w:val="en-US"/>
        </w:rPr>
        <w:t xml:space="preserve">pared by the expert from GTB to </w:t>
      </w:r>
      <w:r w:rsidR="0013708B" w:rsidRPr="0013708B">
        <w:rPr>
          <w:rFonts w:eastAsia="Calibri"/>
          <w:sz w:val="20"/>
          <w:szCs w:val="20"/>
          <w:lang w:val="en-US"/>
        </w:rPr>
        <w:t>correct</w:t>
      </w:r>
      <w:r w:rsidRPr="0013708B">
        <w:rPr>
          <w:rFonts w:eastAsia="Calibri"/>
          <w:sz w:val="20"/>
          <w:szCs w:val="20"/>
          <w:lang w:val="en-US"/>
        </w:rPr>
        <w:t xml:space="preserve"> errors and discrepancies in the </w:t>
      </w:r>
      <w:r w:rsidR="0013708B" w:rsidRPr="0013708B">
        <w:rPr>
          <w:rFonts w:eastAsia="Calibri"/>
          <w:sz w:val="20"/>
          <w:szCs w:val="20"/>
          <w:lang w:val="en-US"/>
        </w:rPr>
        <w:t xml:space="preserve">text of the </w:t>
      </w:r>
      <w:r w:rsidRPr="0013708B">
        <w:rPr>
          <w:rFonts w:eastAsia="Calibri"/>
          <w:sz w:val="20"/>
          <w:szCs w:val="20"/>
          <w:lang w:val="en-US"/>
        </w:rPr>
        <w:t xml:space="preserve">05 and 06 </w:t>
      </w:r>
      <w:r w:rsidR="0013708B" w:rsidRPr="0013708B">
        <w:rPr>
          <w:rFonts w:eastAsia="Calibri"/>
          <w:sz w:val="20"/>
          <w:szCs w:val="20"/>
          <w:lang w:val="en-US"/>
        </w:rPr>
        <w:t xml:space="preserve">series </w:t>
      </w:r>
      <w:r w:rsidRPr="0013708B">
        <w:rPr>
          <w:rFonts w:eastAsia="Calibri"/>
          <w:sz w:val="20"/>
          <w:szCs w:val="20"/>
          <w:lang w:val="en-US"/>
        </w:rPr>
        <w:t>of am</w:t>
      </w:r>
      <w:r w:rsidR="00D553D2" w:rsidRPr="0013708B">
        <w:rPr>
          <w:rFonts w:eastAsia="Calibri"/>
          <w:sz w:val="20"/>
          <w:szCs w:val="20"/>
          <w:lang w:val="en-US"/>
        </w:rPr>
        <w:t>e</w:t>
      </w:r>
      <w:r w:rsidRPr="0013708B">
        <w:rPr>
          <w:rFonts w:eastAsia="Calibri"/>
          <w:sz w:val="20"/>
          <w:szCs w:val="20"/>
          <w:lang w:val="en-US"/>
        </w:rPr>
        <w:t xml:space="preserve">ndments to UNECE Regulation 48. </w:t>
      </w:r>
      <w:r w:rsidR="00D553D2" w:rsidRPr="0013708B">
        <w:rPr>
          <w:rFonts w:eastAsia="Calibri"/>
          <w:sz w:val="20"/>
          <w:szCs w:val="20"/>
          <w:lang w:val="en-US"/>
        </w:rPr>
        <w:t>This document replace</w:t>
      </w:r>
      <w:r w:rsidR="0013708B" w:rsidRPr="0013708B">
        <w:rPr>
          <w:rFonts w:eastAsia="Calibri"/>
          <w:sz w:val="20"/>
          <w:szCs w:val="20"/>
          <w:lang w:val="en-US"/>
        </w:rPr>
        <w:t>s</w:t>
      </w:r>
      <w:r w:rsidR="00D553D2" w:rsidRPr="0013708B">
        <w:rPr>
          <w:rFonts w:eastAsia="Calibri"/>
          <w:sz w:val="20"/>
          <w:szCs w:val="20"/>
          <w:lang w:val="en-US"/>
        </w:rPr>
        <w:t xml:space="preserve"> ECE/TRANS/WP.29/GRE/2016/24</w:t>
      </w:r>
      <w:r w:rsidR="00401484">
        <w:rPr>
          <w:rFonts w:eastAsia="Calibri"/>
          <w:sz w:val="20"/>
          <w:szCs w:val="20"/>
          <w:lang w:val="en-US"/>
        </w:rPr>
        <w:t>, in response to</w:t>
      </w:r>
      <w:r w:rsidR="00D553D2" w:rsidRPr="0013708B">
        <w:rPr>
          <w:rFonts w:eastAsia="Calibri"/>
          <w:sz w:val="20"/>
          <w:szCs w:val="20"/>
          <w:lang w:val="en-US"/>
        </w:rPr>
        <w:t xml:space="preserve"> request</w:t>
      </w:r>
      <w:r w:rsidR="00401484">
        <w:rPr>
          <w:rFonts w:eastAsia="Calibri"/>
          <w:sz w:val="20"/>
          <w:szCs w:val="20"/>
          <w:lang w:val="en-US"/>
        </w:rPr>
        <w:t>s</w:t>
      </w:r>
      <w:r w:rsidR="00D553D2" w:rsidRPr="0013708B">
        <w:rPr>
          <w:rFonts w:eastAsia="Calibri"/>
          <w:sz w:val="20"/>
          <w:szCs w:val="20"/>
          <w:lang w:val="en-US"/>
        </w:rPr>
        <w:t xml:space="preserve"> for its improvement </w:t>
      </w:r>
      <w:r w:rsidR="00401484">
        <w:rPr>
          <w:rFonts w:eastAsia="Calibri"/>
          <w:sz w:val="20"/>
          <w:szCs w:val="20"/>
          <w:lang w:val="en-US"/>
        </w:rPr>
        <w:t>from</w:t>
      </w:r>
      <w:r w:rsidR="00D553D2" w:rsidRPr="0013708B">
        <w:rPr>
          <w:rFonts w:eastAsia="Calibri"/>
          <w:sz w:val="20"/>
          <w:szCs w:val="20"/>
          <w:lang w:val="en-US"/>
        </w:rPr>
        <w:t xml:space="preserve"> GRE Experts during the 77th session.</w:t>
      </w:r>
    </w:p>
    <w:p w:rsidR="00F01EF9" w:rsidRPr="0013708B" w:rsidRDefault="00F01EF9" w:rsidP="00DA4090">
      <w:pPr>
        <w:tabs>
          <w:tab w:val="left" w:pos="8505"/>
        </w:tabs>
        <w:spacing w:after="120"/>
        <w:ind w:left="1134" w:right="1467"/>
        <w:jc w:val="both"/>
        <w:rPr>
          <w:sz w:val="20"/>
          <w:szCs w:val="20"/>
          <w:lang w:val="en-US"/>
        </w:rPr>
      </w:pPr>
      <w:r w:rsidRPr="0013708B">
        <w:rPr>
          <w:rFonts w:eastAsia="Calibri"/>
          <w:sz w:val="20"/>
          <w:szCs w:val="20"/>
          <w:lang w:val="en-US"/>
        </w:rPr>
        <w:t>The modifications to the existing text of the Regulation are marked in bold for new or strikethrough for deleted characters.</w:t>
      </w:r>
    </w:p>
    <w:p w:rsidR="00F01EF9" w:rsidRPr="009E5F77" w:rsidRDefault="00F01EF9" w:rsidP="00DA4090">
      <w:pPr>
        <w:pStyle w:val="HChG"/>
        <w:ind w:right="1467"/>
        <w:jc w:val="both"/>
        <w:rPr>
          <w:lang w:val="en-US"/>
        </w:rPr>
      </w:pPr>
      <w:r>
        <w:rPr>
          <w:lang w:val="en-US"/>
        </w:rPr>
        <w:tab/>
      </w:r>
      <w:r w:rsidRPr="009E5F77">
        <w:rPr>
          <w:lang w:val="en-US"/>
        </w:rPr>
        <w:t>I.</w:t>
      </w:r>
      <w:r w:rsidRPr="009E5F77">
        <w:rPr>
          <w:b w:val="0"/>
          <w:lang w:val="en-US"/>
        </w:rPr>
        <w:tab/>
      </w:r>
      <w:r w:rsidRPr="009E5F77">
        <w:rPr>
          <w:lang w:val="en-US"/>
        </w:rPr>
        <w:t>Proposal</w:t>
      </w:r>
    </w:p>
    <w:p w:rsidR="00F01EF9" w:rsidRDefault="00F01EF9" w:rsidP="00DA4090">
      <w:pPr>
        <w:pStyle w:val="HChG"/>
        <w:spacing w:line="240" w:lineRule="atLeast"/>
        <w:ind w:right="1467" w:firstLine="0"/>
        <w:jc w:val="both"/>
        <w:rPr>
          <w:sz w:val="24"/>
          <w:szCs w:val="24"/>
        </w:rPr>
      </w:pPr>
      <w:r>
        <w:rPr>
          <w:sz w:val="24"/>
          <w:szCs w:val="24"/>
        </w:rPr>
        <w:t xml:space="preserve">Proposal for </w:t>
      </w:r>
      <w:r w:rsidRPr="006F3DC6">
        <w:rPr>
          <w:sz w:val="24"/>
          <w:szCs w:val="24"/>
        </w:rPr>
        <w:t xml:space="preserve">Supplement </w:t>
      </w:r>
      <w:r w:rsidR="00935DFE">
        <w:rPr>
          <w:sz w:val="24"/>
          <w:szCs w:val="24"/>
        </w:rPr>
        <w:t>[</w:t>
      </w:r>
      <w:r w:rsidRPr="00935DFE">
        <w:rPr>
          <w:sz w:val="24"/>
          <w:szCs w:val="24"/>
        </w:rPr>
        <w:t>1</w:t>
      </w:r>
      <w:r w:rsidR="00935DFE" w:rsidRPr="00935DFE">
        <w:rPr>
          <w:sz w:val="24"/>
          <w:szCs w:val="24"/>
        </w:rPr>
        <w:t>2</w:t>
      </w:r>
      <w:r w:rsidR="00935DFE">
        <w:rPr>
          <w:sz w:val="24"/>
          <w:szCs w:val="24"/>
        </w:rPr>
        <w:t>]</w:t>
      </w:r>
      <w:r w:rsidRPr="006F3DC6">
        <w:rPr>
          <w:sz w:val="24"/>
          <w:szCs w:val="24"/>
        </w:rPr>
        <w:t xml:space="preserve"> to </w:t>
      </w:r>
      <w:r>
        <w:rPr>
          <w:sz w:val="24"/>
          <w:szCs w:val="24"/>
        </w:rPr>
        <w:t xml:space="preserve">the </w:t>
      </w:r>
      <w:r w:rsidRPr="006F3DC6">
        <w:rPr>
          <w:sz w:val="24"/>
          <w:szCs w:val="24"/>
        </w:rPr>
        <w:t xml:space="preserve">05 </w:t>
      </w:r>
      <w:r>
        <w:rPr>
          <w:sz w:val="24"/>
          <w:szCs w:val="24"/>
        </w:rPr>
        <w:t>s</w:t>
      </w:r>
      <w:r w:rsidRPr="006F3DC6">
        <w:rPr>
          <w:sz w:val="24"/>
          <w:szCs w:val="24"/>
        </w:rPr>
        <w:t xml:space="preserve">eries of amendments and </w:t>
      </w:r>
      <w:r>
        <w:rPr>
          <w:sz w:val="24"/>
          <w:szCs w:val="24"/>
        </w:rPr>
        <w:t>S</w:t>
      </w:r>
      <w:r w:rsidRPr="006F3DC6">
        <w:rPr>
          <w:sz w:val="24"/>
          <w:szCs w:val="24"/>
        </w:rPr>
        <w:t xml:space="preserve">upplement </w:t>
      </w:r>
      <w:r w:rsidR="00935DFE">
        <w:rPr>
          <w:sz w:val="24"/>
          <w:szCs w:val="24"/>
        </w:rPr>
        <w:t>[10]</w:t>
      </w:r>
      <w:r w:rsidRPr="006F3DC6">
        <w:rPr>
          <w:sz w:val="24"/>
          <w:szCs w:val="24"/>
        </w:rPr>
        <w:t xml:space="preserve"> to </w:t>
      </w:r>
      <w:r>
        <w:rPr>
          <w:sz w:val="24"/>
          <w:szCs w:val="24"/>
        </w:rPr>
        <w:t xml:space="preserve">the </w:t>
      </w:r>
      <w:r w:rsidRPr="006F3DC6">
        <w:rPr>
          <w:sz w:val="24"/>
          <w:szCs w:val="24"/>
        </w:rPr>
        <w:t xml:space="preserve">06 </w:t>
      </w:r>
      <w:r>
        <w:rPr>
          <w:sz w:val="24"/>
          <w:szCs w:val="24"/>
        </w:rPr>
        <w:t>s</w:t>
      </w:r>
      <w:r w:rsidRPr="006F3DC6">
        <w:rPr>
          <w:sz w:val="24"/>
          <w:szCs w:val="24"/>
        </w:rPr>
        <w:t>eries of amendments to Regulation</w:t>
      </w:r>
      <w:r>
        <w:rPr>
          <w:sz w:val="24"/>
          <w:szCs w:val="24"/>
        </w:rPr>
        <w:t xml:space="preserve"> No.</w:t>
      </w:r>
      <w:r w:rsidRPr="006F3DC6">
        <w:rPr>
          <w:sz w:val="24"/>
          <w:szCs w:val="24"/>
        </w:rPr>
        <w:t xml:space="preserve"> 48 (Installatio</w:t>
      </w:r>
      <w:r w:rsidR="0013708B">
        <w:rPr>
          <w:sz w:val="24"/>
          <w:szCs w:val="24"/>
        </w:rPr>
        <w:t>n</w:t>
      </w:r>
      <w:r w:rsidRPr="00131D0C">
        <w:t xml:space="preserve"> </w:t>
      </w:r>
      <w:r w:rsidRPr="00131D0C">
        <w:rPr>
          <w:sz w:val="24"/>
          <w:szCs w:val="24"/>
        </w:rPr>
        <w:t>of lighting and light-signalling devices</w:t>
      </w:r>
      <w:r w:rsidRPr="006F3DC6">
        <w:rPr>
          <w:sz w:val="24"/>
          <w:szCs w:val="24"/>
        </w:rPr>
        <w:t>)</w:t>
      </w:r>
    </w:p>
    <w:p w:rsidR="00401484" w:rsidRDefault="00401484" w:rsidP="00DA4090">
      <w:pPr>
        <w:spacing w:after="120" w:line="240" w:lineRule="atLeast"/>
        <w:ind w:left="1134" w:right="1469"/>
        <w:rPr>
          <w:i/>
          <w:sz w:val="20"/>
          <w:szCs w:val="20"/>
          <w:u w:val="single"/>
          <w:lang w:val="en-GB" w:eastAsia="en-US"/>
        </w:rPr>
      </w:pPr>
      <w:r w:rsidRPr="00DA4090">
        <w:rPr>
          <w:i/>
          <w:sz w:val="20"/>
          <w:szCs w:val="20"/>
          <w:lang w:val="en-GB" w:eastAsia="en-US"/>
        </w:rPr>
        <w:t>Note: the fol</w:t>
      </w:r>
      <w:r w:rsidR="00DA4090" w:rsidRPr="00DA4090">
        <w:rPr>
          <w:i/>
          <w:sz w:val="20"/>
          <w:szCs w:val="20"/>
          <w:lang w:val="en-GB" w:eastAsia="en-US"/>
        </w:rPr>
        <w:t>lowing amendments to the existing text of the Regulation apply to both</w:t>
      </w:r>
      <w:r w:rsidRPr="00DA4090">
        <w:rPr>
          <w:i/>
          <w:sz w:val="20"/>
          <w:szCs w:val="20"/>
          <w:lang w:val="en-GB" w:eastAsia="en-US"/>
        </w:rPr>
        <w:t xml:space="preserve"> the 05 and 06 </w:t>
      </w:r>
      <w:r w:rsidR="00DA4090" w:rsidRPr="00DA4090">
        <w:rPr>
          <w:i/>
          <w:sz w:val="20"/>
          <w:szCs w:val="20"/>
          <w:lang w:val="en-GB" w:eastAsia="en-US"/>
        </w:rPr>
        <w:t xml:space="preserve">series of amendments, </w:t>
      </w:r>
      <w:r w:rsidR="00DA4090" w:rsidRPr="00237CF2">
        <w:rPr>
          <w:i/>
          <w:sz w:val="20"/>
          <w:szCs w:val="20"/>
          <w:u w:val="single"/>
          <w:lang w:val="en-GB" w:eastAsia="en-US"/>
        </w:rPr>
        <w:t>except where specifically indicated to apply to either the 05 or the 06 series.</w:t>
      </w:r>
    </w:p>
    <w:p w:rsidR="00EC7B53" w:rsidRPr="0013708B" w:rsidRDefault="00EC7B53" w:rsidP="00DA4090">
      <w:pPr>
        <w:spacing w:after="120" w:line="240" w:lineRule="atLeast"/>
        <w:ind w:left="2268" w:right="1469" w:hanging="1134"/>
        <w:jc w:val="both"/>
        <w:rPr>
          <w:rFonts w:eastAsia="Calibri"/>
          <w:sz w:val="20"/>
          <w:szCs w:val="20"/>
          <w:lang w:val="en-US"/>
        </w:rPr>
      </w:pPr>
      <w:r w:rsidRPr="0013708B">
        <w:rPr>
          <w:rFonts w:eastAsia="Calibri"/>
          <w:i/>
          <w:sz w:val="20"/>
          <w:szCs w:val="20"/>
          <w:lang w:val="en-US"/>
        </w:rPr>
        <w:t>Paragraph 5.7.2.1.</w:t>
      </w:r>
      <w:r w:rsidRPr="0013708B">
        <w:rPr>
          <w:rFonts w:eastAsia="Calibri"/>
          <w:sz w:val="20"/>
          <w:szCs w:val="20"/>
          <w:lang w:val="en-US"/>
        </w:rPr>
        <w:t>, amend to read:</w:t>
      </w:r>
    </w:p>
    <w:p w:rsidR="00EC7B53" w:rsidRPr="0013708B" w:rsidRDefault="00EC7B53" w:rsidP="00DA4090">
      <w:pPr>
        <w:spacing w:after="120" w:line="240" w:lineRule="atLeast"/>
        <w:ind w:left="2268" w:right="1467" w:hanging="1134"/>
        <w:jc w:val="both"/>
        <w:rPr>
          <w:iCs/>
          <w:sz w:val="20"/>
          <w:szCs w:val="20"/>
          <w:lang w:val="en-US"/>
        </w:rPr>
      </w:pPr>
      <w:r w:rsidRPr="0013708B">
        <w:rPr>
          <w:sz w:val="20"/>
          <w:szCs w:val="20"/>
          <w:lang w:val="en-US"/>
        </w:rPr>
        <w:t>“5.7.2.1.</w:t>
      </w:r>
      <w:r w:rsidRPr="0013708B">
        <w:rPr>
          <w:sz w:val="20"/>
          <w:szCs w:val="20"/>
          <w:lang w:val="en-US"/>
        </w:rPr>
        <w:tab/>
      </w:r>
      <w:r w:rsidRPr="0013708B">
        <w:rPr>
          <w:iCs/>
          <w:sz w:val="20"/>
          <w:szCs w:val="20"/>
          <w:lang w:val="en-US"/>
        </w:rPr>
        <w:t xml:space="preserve">Single lamps as defined in paragraph </w:t>
      </w:r>
      <w:commentRangeStart w:id="1"/>
      <w:r w:rsidRPr="0013708B">
        <w:rPr>
          <w:iCs/>
          <w:sz w:val="20"/>
          <w:szCs w:val="20"/>
          <w:lang w:val="en-US"/>
        </w:rPr>
        <w:t>2.16.1.</w:t>
      </w:r>
      <w:commentRangeEnd w:id="1"/>
      <w:r w:rsidR="00373992" w:rsidRPr="0013708B">
        <w:rPr>
          <w:rStyle w:val="CommentReference"/>
          <w:sz w:val="20"/>
          <w:szCs w:val="20"/>
        </w:rPr>
        <w:commentReference w:id="1"/>
      </w:r>
      <w:r w:rsidRPr="0013708B">
        <w:rPr>
          <w:iCs/>
          <w:sz w:val="20"/>
          <w:szCs w:val="20"/>
          <w:lang w:val="en-US"/>
        </w:rPr>
        <w:t xml:space="preserve">, subparagraph (a), </w:t>
      </w:r>
      <w:r w:rsidRPr="0013708B">
        <w:rPr>
          <w:b/>
          <w:iCs/>
          <w:sz w:val="20"/>
          <w:szCs w:val="20"/>
          <w:lang w:val="en-US"/>
        </w:rPr>
        <w:t xml:space="preserve">the apparent surface of which is </w:t>
      </w:r>
      <w:r w:rsidRPr="0013708B">
        <w:rPr>
          <w:iCs/>
          <w:sz w:val="20"/>
          <w:szCs w:val="20"/>
          <w:lang w:val="en-US"/>
        </w:rPr>
        <w:t>composed of two or more distinct parts, shall be installed in such a way that:</w:t>
      </w:r>
    </w:p>
    <w:p w:rsidR="00EC7B53" w:rsidRPr="0013708B" w:rsidRDefault="00EC7B53" w:rsidP="00DA4090">
      <w:pPr>
        <w:tabs>
          <w:tab w:val="left" w:pos="2410"/>
        </w:tabs>
        <w:spacing w:after="120" w:line="240" w:lineRule="atLeast"/>
        <w:ind w:left="2268" w:right="1467" w:hanging="1134"/>
        <w:jc w:val="both"/>
        <w:rPr>
          <w:iCs/>
          <w:sz w:val="20"/>
          <w:szCs w:val="20"/>
          <w:lang w:val="en-US"/>
        </w:rPr>
      </w:pPr>
      <w:r w:rsidRPr="0013708B">
        <w:rPr>
          <w:iCs/>
          <w:sz w:val="20"/>
          <w:szCs w:val="20"/>
          <w:lang w:val="en-US"/>
        </w:rPr>
        <w:tab/>
        <w:t>(a)</w:t>
      </w:r>
      <w:r w:rsidRPr="0013708B">
        <w:rPr>
          <w:iCs/>
          <w:sz w:val="20"/>
          <w:szCs w:val="20"/>
          <w:lang w:val="en-US"/>
        </w:rPr>
        <w:tab/>
        <w:t>either the total area of the projection of the distinct parts</w:t>
      </w:r>
      <w:r w:rsidRPr="0013708B">
        <w:rPr>
          <w:b/>
          <w:iCs/>
          <w:sz w:val="20"/>
          <w:szCs w:val="20"/>
          <w:lang w:val="en-US"/>
        </w:rPr>
        <w:t xml:space="preserve"> of the apparent surface in the direction of the reference axis </w:t>
      </w:r>
      <w:r w:rsidRPr="0013708B">
        <w:rPr>
          <w:iCs/>
          <w:sz w:val="20"/>
          <w:szCs w:val="20"/>
          <w:lang w:val="en-US"/>
        </w:rPr>
        <w:t>on a plane tangent to the exterior surface of the outer lens and perpendicular to the reference axis shall occupy not less than 60 per cent of the smallest quadrilateral circumscribing the projection</w:t>
      </w:r>
      <w:r w:rsidRPr="0013708B">
        <w:rPr>
          <w:b/>
          <w:sz w:val="20"/>
          <w:szCs w:val="20"/>
          <w:lang w:val="en-US"/>
        </w:rPr>
        <w:t xml:space="preserve"> of the said apparent</w:t>
      </w:r>
      <w:r w:rsidRPr="0013708B">
        <w:rPr>
          <w:b/>
          <w:iCs/>
          <w:sz w:val="20"/>
          <w:szCs w:val="20"/>
          <w:lang w:val="en-US"/>
        </w:rPr>
        <w:t xml:space="preserve"> surface in the direction of the reference axis; </w:t>
      </w:r>
      <w:r w:rsidRPr="0013708B">
        <w:rPr>
          <w:iCs/>
          <w:sz w:val="20"/>
          <w:szCs w:val="20"/>
          <w:lang w:val="en-US"/>
        </w:rPr>
        <w:t>or</w:t>
      </w:r>
    </w:p>
    <w:p w:rsidR="00EC7B53" w:rsidRPr="0013708B" w:rsidRDefault="00EC7B53" w:rsidP="00DA4090">
      <w:pPr>
        <w:tabs>
          <w:tab w:val="left" w:pos="2410"/>
        </w:tabs>
        <w:spacing w:after="120" w:line="240" w:lineRule="atLeast"/>
        <w:ind w:left="2268" w:right="1467" w:hanging="1134"/>
        <w:jc w:val="both"/>
        <w:rPr>
          <w:iCs/>
          <w:sz w:val="20"/>
          <w:szCs w:val="20"/>
          <w:lang w:val="en-US"/>
        </w:rPr>
      </w:pPr>
      <w:r w:rsidRPr="0013708B">
        <w:rPr>
          <w:iCs/>
          <w:sz w:val="20"/>
          <w:szCs w:val="20"/>
          <w:lang w:val="en-US"/>
        </w:rPr>
        <w:tab/>
        <w:t>(b)</w:t>
      </w:r>
      <w:r w:rsidRPr="0013708B">
        <w:rPr>
          <w:iCs/>
          <w:sz w:val="20"/>
          <w:szCs w:val="20"/>
          <w:lang w:val="en-US"/>
        </w:rPr>
        <w:tab/>
      </w:r>
      <w:proofErr w:type="gramStart"/>
      <w:r w:rsidRPr="0013708B">
        <w:rPr>
          <w:iCs/>
          <w:sz w:val="20"/>
          <w:szCs w:val="20"/>
          <w:lang w:val="en-US"/>
        </w:rPr>
        <w:t>the</w:t>
      </w:r>
      <w:proofErr w:type="gramEnd"/>
      <w:r w:rsidRPr="0013708B">
        <w:rPr>
          <w:iCs/>
          <w:sz w:val="20"/>
          <w:szCs w:val="20"/>
          <w:lang w:val="en-US"/>
        </w:rPr>
        <w:t xml:space="preserve"> minimum distance between the facing edges</w:t>
      </w:r>
      <w:r w:rsidRPr="0013708B">
        <w:rPr>
          <w:iCs/>
          <w:color w:val="000000"/>
          <w:sz w:val="20"/>
          <w:szCs w:val="20"/>
          <w:lang w:val="en-US"/>
        </w:rPr>
        <w:t xml:space="preserve"> </w:t>
      </w:r>
      <w:r w:rsidRPr="0013708B">
        <w:rPr>
          <w:iCs/>
          <w:sz w:val="20"/>
          <w:szCs w:val="20"/>
          <w:lang w:val="en-US"/>
        </w:rPr>
        <w:t>of two adjacent/tangential distinct parts</w:t>
      </w:r>
      <w:r w:rsidRPr="0013708B">
        <w:rPr>
          <w:b/>
          <w:iCs/>
          <w:sz w:val="20"/>
          <w:szCs w:val="20"/>
          <w:lang w:val="en-US"/>
        </w:rPr>
        <w:t xml:space="preserve"> of the apparent surface in the direction of the reference axis </w:t>
      </w:r>
      <w:r w:rsidRPr="0013708B">
        <w:rPr>
          <w:iCs/>
          <w:sz w:val="20"/>
          <w:szCs w:val="20"/>
          <w:lang w:val="en-US"/>
        </w:rPr>
        <w:t>shall not exceed 75 mm when measured perpendicularly to the reference axis.</w:t>
      </w:r>
    </w:p>
    <w:p w:rsidR="00EC7B53" w:rsidRPr="0013708B" w:rsidRDefault="00EC7B53" w:rsidP="00DA4090">
      <w:pPr>
        <w:tabs>
          <w:tab w:val="left" w:pos="1134"/>
        </w:tabs>
        <w:spacing w:after="120" w:line="240" w:lineRule="atLeast"/>
        <w:ind w:left="2268" w:right="1467" w:hanging="1134"/>
        <w:jc w:val="both"/>
        <w:rPr>
          <w:iCs/>
          <w:sz w:val="20"/>
          <w:szCs w:val="20"/>
          <w:lang w:val="en-US"/>
        </w:rPr>
      </w:pPr>
      <w:r w:rsidRPr="0013708B">
        <w:rPr>
          <w:iCs/>
          <w:sz w:val="20"/>
          <w:szCs w:val="20"/>
          <w:lang w:val="en-US"/>
        </w:rPr>
        <w:tab/>
        <w:t>Th</w:t>
      </w:r>
      <w:r w:rsidRPr="0013708B">
        <w:rPr>
          <w:bCs/>
          <w:iCs/>
          <w:sz w:val="20"/>
          <w:szCs w:val="20"/>
          <w:lang w:val="en-US"/>
        </w:rPr>
        <w:t xml:space="preserve">ese </w:t>
      </w:r>
      <w:r w:rsidRPr="0013708B">
        <w:rPr>
          <w:iCs/>
          <w:sz w:val="20"/>
          <w:szCs w:val="20"/>
          <w:lang w:val="en-US"/>
        </w:rPr>
        <w:t>requirement</w:t>
      </w:r>
      <w:r w:rsidRPr="0013708B">
        <w:rPr>
          <w:bCs/>
          <w:iCs/>
          <w:sz w:val="20"/>
          <w:szCs w:val="20"/>
          <w:lang w:val="en-US"/>
        </w:rPr>
        <w:t xml:space="preserve">s </w:t>
      </w:r>
      <w:r w:rsidRPr="0013708B">
        <w:rPr>
          <w:iCs/>
          <w:sz w:val="20"/>
          <w:szCs w:val="20"/>
          <w:lang w:val="en-US"/>
        </w:rPr>
        <w:t>shall not apply to a single retro-reflector.”</w:t>
      </w:r>
    </w:p>
    <w:p w:rsidR="00EC7B53" w:rsidRPr="0013708B" w:rsidRDefault="00EC7B53" w:rsidP="00DA4090">
      <w:pPr>
        <w:spacing w:after="120" w:line="240" w:lineRule="atLeast"/>
        <w:ind w:left="2268" w:right="1467" w:hanging="1134"/>
        <w:jc w:val="both"/>
        <w:rPr>
          <w:rFonts w:eastAsia="Calibri"/>
          <w:sz w:val="20"/>
          <w:szCs w:val="20"/>
          <w:lang w:val="en-US" w:eastAsia="en-US"/>
        </w:rPr>
      </w:pPr>
      <w:r w:rsidRPr="0013708B">
        <w:rPr>
          <w:rFonts w:eastAsia="Calibri"/>
          <w:i/>
          <w:sz w:val="20"/>
          <w:szCs w:val="20"/>
          <w:u w:val="single"/>
          <w:lang w:val="en-US" w:eastAsia="en-US"/>
        </w:rPr>
        <w:t xml:space="preserve">In the </w:t>
      </w:r>
      <w:r w:rsidR="00401484">
        <w:rPr>
          <w:rFonts w:eastAsia="Calibri"/>
          <w:i/>
          <w:sz w:val="20"/>
          <w:szCs w:val="20"/>
          <w:u w:val="single"/>
          <w:lang w:val="en-US" w:eastAsia="en-US"/>
        </w:rPr>
        <w:t>05 series of amendments</w:t>
      </w:r>
      <w:r w:rsidRPr="00401484">
        <w:rPr>
          <w:rFonts w:eastAsia="Calibri"/>
          <w:i/>
          <w:sz w:val="20"/>
          <w:szCs w:val="20"/>
          <w:lang w:val="en-US" w:eastAsia="en-US"/>
        </w:rPr>
        <w:t>, Paragraph 5.8.</w:t>
      </w:r>
      <w:r w:rsidRPr="00401484">
        <w:rPr>
          <w:rFonts w:eastAsia="Calibri"/>
          <w:sz w:val="20"/>
          <w:szCs w:val="20"/>
          <w:lang w:val="en-US" w:eastAsia="en-US"/>
        </w:rPr>
        <w:t>,</w:t>
      </w:r>
      <w:r w:rsidRPr="0013708B">
        <w:rPr>
          <w:rFonts w:eastAsia="Calibri"/>
          <w:sz w:val="20"/>
          <w:szCs w:val="20"/>
          <w:lang w:val="en-US" w:eastAsia="en-US"/>
        </w:rPr>
        <w:t xml:space="preserve"> amend to read:</w:t>
      </w:r>
    </w:p>
    <w:p w:rsidR="00EC7B53" w:rsidRPr="0013708B" w:rsidRDefault="00EC7B53" w:rsidP="00DA4090">
      <w:pPr>
        <w:pStyle w:val="para"/>
        <w:ind w:right="1467"/>
      </w:pPr>
      <w:r w:rsidRPr="0013708B">
        <w:t>5.8.</w:t>
      </w:r>
      <w:r w:rsidRPr="0013708B">
        <w:tab/>
        <w:t>The maximum height above the ground shall be measured from the highest point and the minimum height from the lowest point of the apparent surface in the direction of the reference axis.</w:t>
      </w:r>
    </w:p>
    <w:p w:rsidR="00EC7B53" w:rsidRPr="0013708B" w:rsidRDefault="00EC7B53" w:rsidP="00DA4090">
      <w:pPr>
        <w:pStyle w:val="para"/>
        <w:ind w:right="1467"/>
      </w:pPr>
      <w:r w:rsidRPr="0013708B">
        <w:tab/>
        <w:t>In the case of dipped</w:t>
      </w:r>
      <w:r w:rsidRPr="0013708B">
        <w:noBreakHyphen/>
        <w:t xml:space="preserve">beam headlamp, the minimum height in relation to the ground is measured from the lowest point of the </w:t>
      </w:r>
      <w:r w:rsidRPr="0013708B">
        <w:rPr>
          <w:strike/>
        </w:rPr>
        <w:t>effective outlet of the optical system (e.g. reflector, lens, projection lens)</w:t>
      </w:r>
      <w:r w:rsidRPr="0013708B">
        <w:t xml:space="preserve"> </w:t>
      </w:r>
      <w:r w:rsidRPr="0013708B">
        <w:rPr>
          <w:b/>
          <w:bCs/>
          <w:iCs/>
        </w:rPr>
        <w:t>apparent surface in the direction of the reference axis</w:t>
      </w:r>
      <w:r w:rsidRPr="0013708B">
        <w:rPr>
          <w:b/>
          <w:bCs/>
          <w:iCs/>
          <w:u w:val="single"/>
        </w:rPr>
        <w:t xml:space="preserve"> </w:t>
      </w:r>
      <w:r w:rsidRPr="0013708B">
        <w:t>independent of its utilization.</w:t>
      </w:r>
    </w:p>
    <w:p w:rsidR="005E7CF4" w:rsidRPr="0013708B" w:rsidRDefault="00EC7B53" w:rsidP="00DA4090">
      <w:pPr>
        <w:pStyle w:val="para"/>
        <w:ind w:right="1467"/>
      </w:pPr>
      <w:r w:rsidRPr="0013708B">
        <w:tab/>
        <w:t>Where the (maximum and minimum) height above the ground clearly meets the requirements of the Regulation, the exact edges of any surface need not be determined.</w:t>
      </w:r>
    </w:p>
    <w:p w:rsidR="00EC7B53" w:rsidRPr="0013708B" w:rsidRDefault="00EC7B53" w:rsidP="00DA4090">
      <w:pPr>
        <w:spacing w:after="120" w:line="240" w:lineRule="atLeast"/>
        <w:ind w:left="2268" w:right="1467" w:hanging="1134"/>
        <w:jc w:val="both"/>
        <w:rPr>
          <w:rFonts w:eastAsia="Calibri"/>
          <w:sz w:val="20"/>
          <w:szCs w:val="20"/>
          <w:lang w:val="en-US" w:eastAsia="en-US"/>
        </w:rPr>
      </w:pPr>
      <w:r w:rsidRPr="0013708B">
        <w:rPr>
          <w:rFonts w:eastAsia="Calibri"/>
          <w:i/>
          <w:sz w:val="20"/>
          <w:szCs w:val="20"/>
          <w:u w:val="single"/>
          <w:lang w:val="en-US" w:eastAsia="en-US"/>
        </w:rPr>
        <w:t xml:space="preserve">In the </w:t>
      </w:r>
      <w:r w:rsidR="00401484">
        <w:rPr>
          <w:rFonts w:eastAsia="Calibri"/>
          <w:i/>
          <w:sz w:val="20"/>
          <w:szCs w:val="20"/>
          <w:u w:val="single"/>
          <w:lang w:val="en-US" w:eastAsia="en-US"/>
        </w:rPr>
        <w:t>06 series of amendments</w:t>
      </w:r>
      <w:r w:rsidRPr="00401484">
        <w:rPr>
          <w:rFonts w:eastAsia="Calibri"/>
          <w:i/>
          <w:sz w:val="20"/>
          <w:szCs w:val="20"/>
          <w:lang w:val="en-US" w:eastAsia="en-US"/>
        </w:rPr>
        <w:t>, Paragraph 5.8.2.</w:t>
      </w:r>
      <w:r w:rsidRPr="00401484">
        <w:rPr>
          <w:rFonts w:eastAsia="Calibri"/>
          <w:sz w:val="20"/>
          <w:szCs w:val="20"/>
          <w:lang w:val="en-US" w:eastAsia="en-US"/>
        </w:rPr>
        <w:t>,</w:t>
      </w:r>
      <w:r w:rsidRPr="0013708B">
        <w:rPr>
          <w:rFonts w:eastAsia="Calibri"/>
          <w:sz w:val="20"/>
          <w:szCs w:val="20"/>
          <w:lang w:val="en-US" w:eastAsia="en-US"/>
        </w:rPr>
        <w:t xml:space="preserve"> amend to read:</w:t>
      </w:r>
    </w:p>
    <w:p w:rsidR="00EC7B53" w:rsidRPr="0013708B" w:rsidRDefault="00EC7B53" w:rsidP="00DA4090">
      <w:pPr>
        <w:pStyle w:val="para"/>
        <w:ind w:right="1467"/>
        <w:rPr>
          <w:lang w:val="en-US"/>
        </w:rPr>
      </w:pPr>
      <w:r w:rsidRPr="0013708B">
        <w:rPr>
          <w:iCs/>
        </w:rPr>
        <w:lastRenderedPageBreak/>
        <w:t>5.8.2.</w:t>
      </w:r>
      <w:r w:rsidRPr="0013708B">
        <w:rPr>
          <w:iCs/>
        </w:rPr>
        <w:tab/>
      </w:r>
      <w:r w:rsidRPr="0013708B">
        <w:rPr>
          <w:lang w:val="en-US"/>
        </w:rPr>
        <w:t xml:space="preserve">In the case of dipped-beam headlamp, the minimum height in relation to the ground is measured from the lowest point of the </w:t>
      </w:r>
      <w:r w:rsidRPr="0013708B">
        <w:rPr>
          <w:strike/>
          <w:lang w:val="en-US"/>
        </w:rPr>
        <w:t>effective outlet of the optical system (e.g. reflector, lens, projection lens)</w:t>
      </w:r>
      <w:r w:rsidRPr="0013708B">
        <w:rPr>
          <w:lang w:val="en-US"/>
        </w:rPr>
        <w:t xml:space="preserve"> </w:t>
      </w:r>
      <w:r w:rsidRPr="0013708B">
        <w:rPr>
          <w:b/>
          <w:bCs/>
          <w:iCs/>
        </w:rPr>
        <w:t xml:space="preserve">apparent surface in the direction of the reference axis </w:t>
      </w:r>
      <w:r w:rsidRPr="0013708B">
        <w:rPr>
          <w:lang w:val="en-US"/>
        </w:rPr>
        <w:t>independent of its utilization.</w:t>
      </w:r>
    </w:p>
    <w:p w:rsidR="00EC7B53" w:rsidRPr="0013708B" w:rsidRDefault="00EC7B53" w:rsidP="00DA4090">
      <w:pPr>
        <w:spacing w:after="120" w:line="240" w:lineRule="atLeast"/>
        <w:ind w:left="2268" w:right="1467" w:hanging="1134"/>
        <w:jc w:val="both"/>
        <w:rPr>
          <w:rFonts w:eastAsia="Calibri"/>
          <w:sz w:val="20"/>
          <w:szCs w:val="20"/>
          <w:lang w:val="en-US" w:eastAsia="en-US"/>
        </w:rPr>
      </w:pPr>
      <w:r w:rsidRPr="00401484">
        <w:rPr>
          <w:rFonts w:eastAsia="Calibri"/>
          <w:i/>
          <w:sz w:val="20"/>
          <w:szCs w:val="20"/>
          <w:lang w:val="en-US" w:eastAsia="en-US"/>
        </w:rPr>
        <w:t>Paragraphs 5.10.1 and 5.10.2</w:t>
      </w:r>
      <w:proofErr w:type="gramStart"/>
      <w:r w:rsidRPr="00401484">
        <w:rPr>
          <w:rFonts w:eastAsia="Calibri"/>
          <w:i/>
          <w:sz w:val="20"/>
          <w:szCs w:val="20"/>
          <w:lang w:val="en-US" w:eastAsia="en-US"/>
        </w:rPr>
        <w:t>.</w:t>
      </w:r>
      <w:r w:rsidRPr="00401484">
        <w:rPr>
          <w:rFonts w:eastAsia="Calibri"/>
          <w:sz w:val="20"/>
          <w:szCs w:val="20"/>
          <w:lang w:val="en-US" w:eastAsia="en-US"/>
        </w:rPr>
        <w:t>,</w:t>
      </w:r>
      <w:proofErr w:type="gramEnd"/>
      <w:r w:rsidRPr="0013708B">
        <w:rPr>
          <w:rFonts w:eastAsia="Calibri"/>
          <w:sz w:val="20"/>
          <w:szCs w:val="20"/>
          <w:lang w:val="en-US" w:eastAsia="en-US"/>
        </w:rPr>
        <w:t xml:space="preserve"> amend to read:</w:t>
      </w:r>
    </w:p>
    <w:p w:rsidR="00EC7B53" w:rsidRPr="0013708B" w:rsidRDefault="00EC7B53" w:rsidP="00DA4090">
      <w:pPr>
        <w:suppressAutoHyphens/>
        <w:spacing w:after="120" w:line="240" w:lineRule="atLeast"/>
        <w:ind w:left="2268" w:right="1467" w:hanging="1134"/>
        <w:jc w:val="both"/>
        <w:rPr>
          <w:sz w:val="20"/>
          <w:szCs w:val="20"/>
          <w:lang w:val="en-GB" w:eastAsia="en-US"/>
        </w:rPr>
      </w:pPr>
      <w:r w:rsidRPr="0013708B">
        <w:rPr>
          <w:sz w:val="20"/>
          <w:szCs w:val="20"/>
          <w:lang w:val="en-GB" w:eastAsia="en-US"/>
        </w:rPr>
        <w:t>5.10.1.</w:t>
      </w:r>
      <w:r w:rsidRPr="0013708B">
        <w:rPr>
          <w:sz w:val="20"/>
          <w:szCs w:val="20"/>
          <w:lang w:val="en-GB" w:eastAsia="en-US"/>
        </w:rPr>
        <w:tab/>
        <w:t xml:space="preserve">For the visibility of red light towards the front of a vehicle, with the exception of a red rearmost side-marker lamp, there shall be no direct visibility of the apparent surface of a red lamp if viewed by an observer moving within Zone 1 </w:t>
      </w:r>
      <w:r w:rsidRPr="0013708B">
        <w:rPr>
          <w:b/>
          <w:sz w:val="20"/>
          <w:szCs w:val="20"/>
          <w:lang w:val="en-GB" w:eastAsia="en-US"/>
        </w:rPr>
        <w:t xml:space="preserve">in a transverse plane situated </w:t>
      </w:r>
      <w:r w:rsidRPr="0013708B">
        <w:rPr>
          <w:b/>
          <w:bCs/>
          <w:sz w:val="20"/>
          <w:szCs w:val="20"/>
          <w:lang w:val="en-GB" w:eastAsia="en-US"/>
        </w:rPr>
        <w:t>25 </w:t>
      </w:r>
      <w:r w:rsidRPr="0013708B">
        <w:rPr>
          <w:b/>
          <w:sz w:val="20"/>
          <w:szCs w:val="20"/>
          <w:lang w:val="en-GB" w:eastAsia="en-US"/>
        </w:rPr>
        <w:t>m in front of the vehicle (</w:t>
      </w:r>
      <w:r w:rsidRPr="0013708B">
        <w:rPr>
          <w:b/>
          <w:bCs/>
          <w:sz w:val="20"/>
          <w:szCs w:val="20"/>
          <w:lang w:val="en-GB" w:eastAsia="en-US"/>
        </w:rPr>
        <w:t>see </w:t>
      </w:r>
      <w:r w:rsidRPr="0013708B">
        <w:rPr>
          <w:b/>
          <w:sz w:val="20"/>
          <w:szCs w:val="20"/>
          <w:lang w:val="en-GB" w:eastAsia="en-US"/>
        </w:rPr>
        <w:t>Annex 4</w:t>
      </w:r>
      <w:r w:rsidRPr="0013708B">
        <w:rPr>
          <w:b/>
          <w:bCs/>
          <w:sz w:val="20"/>
          <w:szCs w:val="20"/>
          <w:lang w:val="en-GB" w:eastAsia="en-US"/>
        </w:rPr>
        <w:t>)</w:t>
      </w:r>
      <w:r w:rsidRPr="0013708B">
        <w:rPr>
          <w:bCs/>
          <w:sz w:val="20"/>
          <w:szCs w:val="20"/>
          <w:lang w:val="en-GB" w:eastAsia="en-US"/>
        </w:rPr>
        <w:t xml:space="preserve"> </w:t>
      </w:r>
      <w:r w:rsidRPr="0013708B">
        <w:rPr>
          <w:strike/>
          <w:sz w:val="20"/>
          <w:szCs w:val="20"/>
          <w:lang w:val="en-GB" w:eastAsia="en-US"/>
        </w:rPr>
        <w:t>as specified in Annex 4</w:t>
      </w:r>
      <w:r w:rsidRPr="0013708B">
        <w:rPr>
          <w:sz w:val="20"/>
          <w:szCs w:val="20"/>
          <w:lang w:val="en-GB" w:eastAsia="en-US"/>
        </w:rPr>
        <w:t xml:space="preserve">; </w:t>
      </w:r>
    </w:p>
    <w:p w:rsidR="00EC7B53" w:rsidRPr="0013708B" w:rsidRDefault="00EC7B53" w:rsidP="00DA4090">
      <w:pPr>
        <w:suppressAutoHyphens/>
        <w:spacing w:after="120" w:line="240" w:lineRule="atLeast"/>
        <w:ind w:left="2268" w:right="1467" w:hanging="1134"/>
        <w:jc w:val="both"/>
        <w:rPr>
          <w:sz w:val="20"/>
          <w:szCs w:val="20"/>
          <w:lang w:val="en-GB" w:eastAsia="en-US"/>
        </w:rPr>
      </w:pPr>
      <w:r w:rsidRPr="0013708B">
        <w:rPr>
          <w:sz w:val="20"/>
          <w:szCs w:val="20"/>
          <w:lang w:val="en-GB" w:eastAsia="en-US"/>
        </w:rPr>
        <w:t>5.10.2.</w:t>
      </w:r>
      <w:r w:rsidRPr="0013708B">
        <w:rPr>
          <w:sz w:val="20"/>
          <w:szCs w:val="20"/>
          <w:lang w:val="en-GB" w:eastAsia="en-US"/>
        </w:rPr>
        <w:tab/>
        <w:t xml:space="preserve">For the visibility of white light towards the rear </w:t>
      </w:r>
      <w:r w:rsidRPr="0013708B">
        <w:rPr>
          <w:b/>
          <w:sz w:val="20"/>
          <w:szCs w:val="20"/>
          <w:lang w:val="en-GB" w:eastAsia="en-US"/>
        </w:rPr>
        <w:t>of a vehicle</w:t>
      </w:r>
      <w:r w:rsidRPr="0013708B">
        <w:rPr>
          <w:sz w:val="20"/>
          <w:szCs w:val="20"/>
          <w:lang w:val="en-GB" w:eastAsia="en-US"/>
        </w:rPr>
        <w:t xml:space="preserve">, with the exception of reversing lamps </w:t>
      </w:r>
      <w:r w:rsidRPr="0013708B">
        <w:rPr>
          <w:bCs/>
          <w:sz w:val="20"/>
          <w:szCs w:val="20"/>
          <w:lang w:val="en-GB" w:eastAsia="en-US"/>
        </w:rPr>
        <w:t xml:space="preserve">and white side conspicuity markings </w:t>
      </w:r>
      <w:r w:rsidRPr="0013708B">
        <w:rPr>
          <w:bCs/>
          <w:strike/>
          <w:sz w:val="20"/>
          <w:szCs w:val="20"/>
          <w:lang w:val="en-GB" w:eastAsia="en-US"/>
        </w:rPr>
        <w:t>fitted to the vehicle</w:t>
      </w:r>
      <w:r w:rsidRPr="0013708B">
        <w:rPr>
          <w:bCs/>
          <w:sz w:val="20"/>
          <w:szCs w:val="20"/>
          <w:lang w:val="en-GB" w:eastAsia="en-US"/>
        </w:rPr>
        <w:t xml:space="preserve">, </w:t>
      </w:r>
      <w:r w:rsidRPr="0013708B">
        <w:rPr>
          <w:sz w:val="20"/>
          <w:szCs w:val="20"/>
          <w:lang w:val="en-GB" w:eastAsia="en-US"/>
        </w:rPr>
        <w:t xml:space="preserve">there shall be no direct visibility of the apparent surface of a white lamp if viewed by an observer moving within Zone 2 in a transverse plane situated </w:t>
      </w:r>
      <w:r w:rsidRPr="0013708B">
        <w:rPr>
          <w:bCs/>
          <w:sz w:val="20"/>
          <w:szCs w:val="20"/>
          <w:lang w:val="en-GB" w:eastAsia="en-US"/>
        </w:rPr>
        <w:t>25 </w:t>
      </w:r>
      <w:r w:rsidRPr="0013708B">
        <w:rPr>
          <w:sz w:val="20"/>
          <w:szCs w:val="20"/>
          <w:lang w:val="en-GB" w:eastAsia="en-US"/>
        </w:rPr>
        <w:t>m behind the vehicle (</w:t>
      </w:r>
      <w:r w:rsidRPr="0013708B">
        <w:rPr>
          <w:bCs/>
          <w:sz w:val="20"/>
          <w:szCs w:val="20"/>
          <w:lang w:val="en-GB" w:eastAsia="en-US"/>
        </w:rPr>
        <w:t>see </w:t>
      </w:r>
      <w:r w:rsidRPr="0013708B">
        <w:rPr>
          <w:sz w:val="20"/>
          <w:szCs w:val="20"/>
          <w:lang w:val="en-GB" w:eastAsia="en-US"/>
        </w:rPr>
        <w:t>Annex 4</w:t>
      </w:r>
      <w:r w:rsidRPr="0013708B">
        <w:rPr>
          <w:bCs/>
          <w:sz w:val="20"/>
          <w:szCs w:val="20"/>
          <w:lang w:val="en-GB" w:eastAsia="en-US"/>
        </w:rPr>
        <w:t>)</w:t>
      </w:r>
      <w:r w:rsidRPr="0013708B">
        <w:rPr>
          <w:sz w:val="20"/>
          <w:szCs w:val="20"/>
          <w:lang w:val="en-GB" w:eastAsia="en-US"/>
        </w:rPr>
        <w:t>;</w:t>
      </w:r>
    </w:p>
    <w:p w:rsidR="00EC7B53" w:rsidRPr="0013708B" w:rsidRDefault="00EC7B53" w:rsidP="00DA4090">
      <w:pPr>
        <w:spacing w:after="120" w:line="240" w:lineRule="atLeast"/>
        <w:ind w:left="2268" w:right="1467" w:hanging="1134"/>
        <w:jc w:val="both"/>
        <w:rPr>
          <w:rFonts w:eastAsia="Calibri"/>
          <w:sz w:val="20"/>
          <w:szCs w:val="20"/>
          <w:lang w:val="en-US"/>
        </w:rPr>
      </w:pPr>
      <w:r w:rsidRPr="00401484">
        <w:rPr>
          <w:rFonts w:eastAsia="Calibri"/>
          <w:i/>
          <w:sz w:val="20"/>
          <w:szCs w:val="20"/>
          <w:lang w:val="en-US"/>
        </w:rPr>
        <w:t>Paragraph 6.2.9.</w:t>
      </w:r>
      <w:r w:rsidRPr="00401484">
        <w:rPr>
          <w:rFonts w:eastAsia="Calibri"/>
          <w:sz w:val="20"/>
          <w:szCs w:val="20"/>
          <w:lang w:val="en-US"/>
        </w:rPr>
        <w:t>,</w:t>
      </w:r>
      <w:r w:rsidRPr="0013708B">
        <w:rPr>
          <w:rFonts w:eastAsia="Calibri"/>
          <w:sz w:val="20"/>
          <w:szCs w:val="20"/>
          <w:lang w:val="en-US"/>
        </w:rPr>
        <w:t xml:space="preserve"> amend to read:</w:t>
      </w:r>
    </w:p>
    <w:p w:rsidR="00EC7B53" w:rsidRPr="0013708B" w:rsidRDefault="00EC7B53" w:rsidP="00DA4090">
      <w:pPr>
        <w:spacing w:after="120" w:line="240" w:lineRule="atLeast"/>
        <w:ind w:left="2268" w:right="1467" w:hanging="1134"/>
        <w:jc w:val="both"/>
        <w:rPr>
          <w:rFonts w:eastAsia="Calibri"/>
          <w:sz w:val="20"/>
          <w:szCs w:val="20"/>
          <w:lang w:val="en-US"/>
        </w:rPr>
      </w:pPr>
      <w:r w:rsidRPr="0013708B">
        <w:rPr>
          <w:rFonts w:eastAsia="Calibri"/>
          <w:sz w:val="20"/>
          <w:szCs w:val="20"/>
          <w:lang w:val="en-US"/>
        </w:rPr>
        <w:t>“6.2.9.</w:t>
      </w:r>
      <w:r w:rsidRPr="0013708B">
        <w:rPr>
          <w:rFonts w:eastAsia="Calibri"/>
          <w:sz w:val="20"/>
          <w:szCs w:val="20"/>
          <w:lang w:val="en-US"/>
        </w:rPr>
        <w:tab/>
        <w:t xml:space="preserve">Other requirements </w:t>
      </w:r>
    </w:p>
    <w:p w:rsidR="00EC7B53" w:rsidRPr="0013708B" w:rsidRDefault="00EC7B53" w:rsidP="00DA4090">
      <w:pPr>
        <w:spacing w:after="120" w:line="240" w:lineRule="atLeast"/>
        <w:ind w:left="2268" w:right="1467" w:hanging="1134"/>
        <w:jc w:val="both"/>
        <w:rPr>
          <w:rFonts w:eastAsia="Calibri"/>
          <w:sz w:val="20"/>
          <w:szCs w:val="20"/>
          <w:lang w:val="en-US"/>
        </w:rPr>
      </w:pPr>
      <w:r w:rsidRPr="0013708B">
        <w:rPr>
          <w:rFonts w:eastAsia="Calibri"/>
          <w:b/>
          <w:sz w:val="20"/>
          <w:szCs w:val="20"/>
          <w:lang w:val="en-US"/>
        </w:rPr>
        <w:t>6.2.9.1.</w:t>
      </w:r>
      <w:r w:rsidRPr="0013708B">
        <w:rPr>
          <w:rFonts w:eastAsia="Calibri"/>
          <w:sz w:val="20"/>
          <w:szCs w:val="20"/>
          <w:lang w:val="en-US"/>
        </w:rPr>
        <w:tab/>
        <w:t xml:space="preserve">The requirements of paragraph 5.5.2. </w:t>
      </w:r>
      <w:proofErr w:type="gramStart"/>
      <w:r w:rsidRPr="0013708B">
        <w:rPr>
          <w:rFonts w:eastAsia="Calibri"/>
          <w:sz w:val="20"/>
          <w:szCs w:val="20"/>
          <w:lang w:val="en-US"/>
        </w:rPr>
        <w:t>shall</w:t>
      </w:r>
      <w:proofErr w:type="gramEnd"/>
      <w:r w:rsidRPr="0013708B">
        <w:rPr>
          <w:rFonts w:eastAsia="Calibri"/>
          <w:sz w:val="20"/>
          <w:szCs w:val="20"/>
          <w:lang w:val="en-US"/>
        </w:rPr>
        <w:t xml:space="preserve"> not apply to dipped-beam headlamps.</w:t>
      </w:r>
    </w:p>
    <w:p w:rsidR="00EC7B53" w:rsidRPr="0013708B" w:rsidRDefault="00EC7B53" w:rsidP="00DA4090">
      <w:pPr>
        <w:spacing w:after="120" w:line="240" w:lineRule="atLeast"/>
        <w:ind w:left="2268" w:right="1467" w:hanging="1134"/>
        <w:jc w:val="both"/>
        <w:rPr>
          <w:rFonts w:eastAsia="Calibri"/>
          <w:sz w:val="20"/>
          <w:szCs w:val="20"/>
          <w:lang w:val="en-US"/>
        </w:rPr>
      </w:pPr>
      <w:r w:rsidRPr="0013708B">
        <w:rPr>
          <w:rFonts w:eastAsia="Calibri"/>
          <w:b/>
          <w:sz w:val="20"/>
          <w:szCs w:val="20"/>
          <w:lang w:val="en-US"/>
        </w:rPr>
        <w:t>6.2.9.2.</w:t>
      </w:r>
      <w:r w:rsidRPr="0013708B">
        <w:rPr>
          <w:rFonts w:eastAsia="Calibri"/>
          <w:sz w:val="20"/>
          <w:szCs w:val="20"/>
          <w:lang w:val="en-US"/>
        </w:rPr>
        <w:tab/>
        <w:t xml:space="preserve">Dipped-beam headlamps with a light source or LED module(s) producing the principal dipped-beam </w:t>
      </w:r>
      <w:r w:rsidRPr="0013708B">
        <w:rPr>
          <w:rFonts w:eastAsia="Calibri"/>
          <w:strike/>
          <w:sz w:val="20"/>
          <w:szCs w:val="20"/>
          <w:lang w:val="en-US"/>
        </w:rPr>
        <w:t>and</w:t>
      </w:r>
      <w:r w:rsidRPr="0013708B">
        <w:rPr>
          <w:rFonts w:eastAsia="Calibri"/>
          <w:sz w:val="20"/>
          <w:szCs w:val="20"/>
          <w:lang w:val="en-US"/>
        </w:rPr>
        <w:t xml:space="preserve"> having a total objective luminous flux </w:t>
      </w:r>
      <w:r w:rsidRPr="0013708B">
        <w:rPr>
          <w:rFonts w:eastAsia="Calibri"/>
          <w:b/>
          <w:sz w:val="20"/>
          <w:szCs w:val="20"/>
          <w:lang w:val="en-US"/>
        </w:rPr>
        <w:t>for each headlamp</w:t>
      </w:r>
      <w:r w:rsidRPr="0013708B">
        <w:rPr>
          <w:rFonts w:eastAsia="Calibri"/>
          <w:sz w:val="20"/>
          <w:szCs w:val="20"/>
          <w:lang w:val="en-US"/>
        </w:rPr>
        <w:t xml:space="preserve"> which exceeds 2,000 lumen shall only be installed in conjunction with the installation of headlamp cleaning device</w:t>
      </w:r>
      <w:proofErr w:type="gramStart"/>
      <w:r w:rsidRPr="0013708B">
        <w:rPr>
          <w:rFonts w:eastAsia="Calibri"/>
          <w:sz w:val="20"/>
          <w:szCs w:val="20"/>
          <w:lang w:val="en-US"/>
        </w:rPr>
        <w:t>( s</w:t>
      </w:r>
      <w:proofErr w:type="gramEnd"/>
      <w:r w:rsidRPr="0013708B">
        <w:rPr>
          <w:rFonts w:eastAsia="Calibri"/>
          <w:sz w:val="20"/>
          <w:szCs w:val="20"/>
          <w:lang w:val="en-US"/>
        </w:rPr>
        <w:t>) according to Regulation No. 45 .</w:t>
      </w:r>
    </w:p>
    <w:p w:rsidR="00EC7B53" w:rsidRPr="0013708B" w:rsidRDefault="00EC7B53" w:rsidP="00DA4090">
      <w:pPr>
        <w:spacing w:after="120" w:line="240" w:lineRule="atLeast"/>
        <w:ind w:left="2268" w:right="1467" w:hanging="1134"/>
        <w:jc w:val="both"/>
        <w:rPr>
          <w:rFonts w:eastAsia="Calibri"/>
          <w:sz w:val="20"/>
          <w:szCs w:val="20"/>
          <w:lang w:val="en-US"/>
        </w:rPr>
      </w:pPr>
      <w:r w:rsidRPr="0013708B">
        <w:rPr>
          <w:rFonts w:eastAsia="Calibri"/>
          <w:b/>
          <w:sz w:val="20"/>
          <w:szCs w:val="20"/>
          <w:lang w:val="en-US"/>
        </w:rPr>
        <w:t>6.2.9.3.</w:t>
      </w:r>
      <w:r w:rsidRPr="0013708B">
        <w:rPr>
          <w:rFonts w:eastAsia="Calibri"/>
          <w:sz w:val="20"/>
          <w:szCs w:val="20"/>
          <w:lang w:val="en-US"/>
        </w:rPr>
        <w:tab/>
        <w:t xml:space="preserve">With respect to vertical inclination the provisions of paragraph 6.2.6.2.2. </w:t>
      </w:r>
      <w:proofErr w:type="gramStart"/>
      <w:r w:rsidRPr="0013708B">
        <w:rPr>
          <w:rFonts w:eastAsia="Calibri"/>
          <w:sz w:val="20"/>
          <w:szCs w:val="20"/>
          <w:lang w:val="en-US"/>
        </w:rPr>
        <w:t>above</w:t>
      </w:r>
      <w:proofErr w:type="gramEnd"/>
      <w:r w:rsidRPr="0013708B">
        <w:rPr>
          <w:rFonts w:eastAsia="Calibri"/>
          <w:sz w:val="20"/>
          <w:szCs w:val="20"/>
          <w:lang w:val="en-US"/>
        </w:rPr>
        <w:t xml:space="preserve"> shall not be applied for dipped-beam headlamps with a light source or LED module(s) producing the principal dipped-beam and having an objective luminous flux </w:t>
      </w:r>
      <w:r w:rsidRPr="0013708B">
        <w:rPr>
          <w:rFonts w:eastAsia="Calibri"/>
          <w:b/>
          <w:sz w:val="20"/>
          <w:szCs w:val="20"/>
          <w:lang w:val="en-US"/>
        </w:rPr>
        <w:t>for each headlamp</w:t>
      </w:r>
      <w:r w:rsidRPr="0013708B">
        <w:rPr>
          <w:rFonts w:eastAsia="Calibri"/>
          <w:sz w:val="20"/>
          <w:szCs w:val="20"/>
          <w:lang w:val="en-US"/>
        </w:rPr>
        <w:t xml:space="preserve"> which exceeds 2,000 lumens.</w:t>
      </w:r>
    </w:p>
    <w:p w:rsidR="00EC7B53" w:rsidRPr="0013708B" w:rsidRDefault="00EC7B53" w:rsidP="00DA4090">
      <w:pPr>
        <w:spacing w:after="120" w:line="240" w:lineRule="atLeast"/>
        <w:ind w:left="2268" w:right="1467" w:hanging="1134"/>
        <w:jc w:val="both"/>
        <w:rPr>
          <w:rFonts w:eastAsia="Calibri"/>
          <w:sz w:val="20"/>
          <w:szCs w:val="20"/>
          <w:lang w:val="en-US"/>
        </w:rPr>
      </w:pPr>
      <w:r w:rsidRPr="0013708B">
        <w:rPr>
          <w:rFonts w:eastAsia="Calibri"/>
          <w:sz w:val="20"/>
          <w:szCs w:val="20"/>
          <w:lang w:val="en-US"/>
        </w:rPr>
        <w:tab/>
        <w:t>In the case of filament lamps for which more than one test voltage is specified, the objective luminous flux which produces the principal dipped-beam, as indicated in the communication form for the type approval of the device, is applied.</w:t>
      </w:r>
    </w:p>
    <w:p w:rsidR="00F01EF9" w:rsidRPr="0013708B" w:rsidRDefault="00EC7B53" w:rsidP="00DA4090">
      <w:pPr>
        <w:spacing w:after="120" w:line="240" w:lineRule="atLeast"/>
        <w:ind w:left="2268" w:right="1467" w:hanging="1134"/>
        <w:jc w:val="both"/>
        <w:rPr>
          <w:rFonts w:eastAsia="Calibri"/>
          <w:sz w:val="20"/>
          <w:szCs w:val="20"/>
          <w:lang w:val="en-US"/>
        </w:rPr>
      </w:pPr>
      <w:r w:rsidRPr="0013708B">
        <w:rPr>
          <w:rFonts w:eastAsia="Calibri"/>
          <w:sz w:val="20"/>
          <w:szCs w:val="20"/>
          <w:lang w:val="en-US"/>
        </w:rPr>
        <w:tab/>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rsidR="00EC7B53" w:rsidRPr="0013708B" w:rsidRDefault="00EC7B53" w:rsidP="00DA4090">
      <w:pPr>
        <w:spacing w:after="120" w:line="240" w:lineRule="atLeast"/>
        <w:ind w:left="2268" w:right="1467" w:hanging="1134"/>
        <w:jc w:val="both"/>
        <w:rPr>
          <w:rFonts w:eastAsia="Calibri"/>
          <w:sz w:val="20"/>
          <w:szCs w:val="20"/>
          <w:lang w:val="en-US"/>
        </w:rPr>
      </w:pPr>
      <w:r w:rsidRPr="0013708B">
        <w:rPr>
          <w:rFonts w:eastAsia="Calibri"/>
          <w:b/>
          <w:sz w:val="20"/>
          <w:szCs w:val="20"/>
          <w:lang w:val="en-US"/>
        </w:rPr>
        <w:t>6.2.9.4.</w:t>
      </w:r>
      <w:r w:rsidRPr="0013708B">
        <w:rPr>
          <w:rFonts w:eastAsia="Calibri"/>
          <w:sz w:val="20"/>
          <w:szCs w:val="20"/>
          <w:lang w:val="en-US"/>
        </w:rPr>
        <w:tab/>
        <w:t>Only dipped-beam headlamps according to Regulation Nos. 98 or 112 may be used to produce bend lighting.</w:t>
      </w:r>
    </w:p>
    <w:p w:rsidR="00EC7B53" w:rsidRPr="0013708B" w:rsidRDefault="00EC7B53" w:rsidP="00DA4090">
      <w:pPr>
        <w:spacing w:after="120" w:line="240" w:lineRule="atLeast"/>
        <w:ind w:left="2268" w:right="1467" w:hanging="1134"/>
        <w:jc w:val="both"/>
        <w:rPr>
          <w:rFonts w:eastAsia="Calibri"/>
          <w:sz w:val="20"/>
          <w:szCs w:val="20"/>
          <w:lang w:val="en-US"/>
        </w:rPr>
      </w:pPr>
      <w:r w:rsidRPr="0013708B">
        <w:rPr>
          <w:rFonts w:eastAsia="Calibri"/>
          <w:sz w:val="20"/>
          <w:szCs w:val="20"/>
          <w:lang w:val="en-US"/>
        </w:rPr>
        <w:tab/>
        <w:t>If bend lighting is produced by a horizontal movement of the whole beam or the kink of the elbow of the cut-off, it shall be activated only if the vehicle is in forward motion; this shall not apply if bend lighting is produced for a right turn in right hand traffic (left turn in left hand traffic).”</w:t>
      </w:r>
    </w:p>
    <w:p w:rsidR="00EC7B53" w:rsidRPr="0013708B" w:rsidRDefault="00EC7B53" w:rsidP="00DA4090">
      <w:pPr>
        <w:spacing w:after="120" w:line="240" w:lineRule="atLeast"/>
        <w:ind w:left="2268" w:right="1467" w:hanging="1134"/>
        <w:jc w:val="both"/>
        <w:rPr>
          <w:rFonts w:eastAsia="Calibri"/>
          <w:sz w:val="20"/>
          <w:szCs w:val="20"/>
          <w:lang w:val="en-US"/>
        </w:rPr>
      </w:pPr>
      <w:r w:rsidRPr="00401484">
        <w:rPr>
          <w:rFonts w:eastAsia="Calibri"/>
          <w:i/>
          <w:sz w:val="20"/>
          <w:szCs w:val="20"/>
          <w:lang w:val="en-US"/>
        </w:rPr>
        <w:t>Paragraph 6.3.6.1.2.1.</w:t>
      </w:r>
      <w:r w:rsidRPr="00401484">
        <w:rPr>
          <w:rFonts w:eastAsia="Calibri"/>
          <w:sz w:val="20"/>
          <w:szCs w:val="20"/>
          <w:lang w:val="en-US"/>
        </w:rPr>
        <w:t>,</w:t>
      </w:r>
      <w:r w:rsidRPr="0013708B">
        <w:rPr>
          <w:rFonts w:eastAsia="Calibri"/>
          <w:sz w:val="20"/>
          <w:szCs w:val="20"/>
          <w:lang w:val="en-US"/>
        </w:rPr>
        <w:t xml:space="preserve"> amend to read:</w:t>
      </w:r>
    </w:p>
    <w:p w:rsidR="00EC7B53" w:rsidRDefault="00EC7B53" w:rsidP="00DA4090">
      <w:pPr>
        <w:spacing w:after="120" w:line="240" w:lineRule="atLeast"/>
        <w:ind w:left="2268" w:right="1467" w:hanging="1134"/>
        <w:jc w:val="both"/>
        <w:rPr>
          <w:rFonts w:eastAsia="Calibri"/>
          <w:sz w:val="20"/>
          <w:szCs w:val="20"/>
          <w:lang w:val="en-US"/>
        </w:rPr>
      </w:pPr>
      <w:r w:rsidRPr="0013708B">
        <w:rPr>
          <w:rFonts w:eastAsia="Calibri"/>
          <w:sz w:val="20"/>
          <w:szCs w:val="20"/>
          <w:lang w:val="en-US"/>
        </w:rPr>
        <w:t>“6.3.6.1.2.1.</w:t>
      </w:r>
      <w:r w:rsidRPr="0013708B">
        <w:rPr>
          <w:rFonts w:eastAsia="Calibri"/>
          <w:sz w:val="20"/>
          <w:szCs w:val="20"/>
          <w:lang w:val="en-US"/>
        </w:rPr>
        <w:tab/>
        <w:t xml:space="preserve">When the total objective luminous flux of the light source </w:t>
      </w:r>
      <w:r w:rsidRPr="0013708B">
        <w:rPr>
          <w:rFonts w:eastAsia="Calibri"/>
          <w:b/>
          <w:sz w:val="20"/>
          <w:szCs w:val="20"/>
          <w:lang w:val="en-US"/>
        </w:rPr>
        <w:t>for each front fog lamp</w:t>
      </w:r>
      <w:r w:rsidRPr="0013708B">
        <w:rPr>
          <w:rFonts w:eastAsia="Calibri"/>
          <w:sz w:val="20"/>
          <w:szCs w:val="20"/>
          <w:lang w:val="en-US"/>
        </w:rPr>
        <w:t xml:space="preserve"> does not exceed 2,000 lumens:”</w:t>
      </w:r>
    </w:p>
    <w:p w:rsidR="005E7CF4" w:rsidRPr="0013708B" w:rsidRDefault="005E7CF4" w:rsidP="00DA4090">
      <w:pPr>
        <w:spacing w:after="120" w:line="240" w:lineRule="atLeast"/>
        <w:ind w:left="2268" w:right="1467" w:hanging="1134"/>
        <w:jc w:val="both"/>
        <w:rPr>
          <w:rFonts w:eastAsia="Calibri"/>
          <w:sz w:val="20"/>
          <w:szCs w:val="20"/>
          <w:lang w:val="en-US"/>
        </w:rPr>
      </w:pPr>
    </w:p>
    <w:p w:rsidR="00EC7B53" w:rsidRPr="0013708B" w:rsidRDefault="00EC7B53" w:rsidP="00DA4090">
      <w:pPr>
        <w:spacing w:after="120" w:line="240" w:lineRule="atLeast"/>
        <w:ind w:left="2268" w:right="1467" w:hanging="1134"/>
        <w:jc w:val="both"/>
        <w:rPr>
          <w:rFonts w:eastAsia="Calibri"/>
          <w:sz w:val="20"/>
          <w:szCs w:val="20"/>
          <w:lang w:val="en-US"/>
        </w:rPr>
      </w:pPr>
      <w:r w:rsidRPr="00401484">
        <w:rPr>
          <w:rFonts w:eastAsia="Calibri"/>
          <w:i/>
          <w:sz w:val="20"/>
          <w:szCs w:val="20"/>
          <w:lang w:val="en-US"/>
        </w:rPr>
        <w:t>Paragraph 6.3.6.1.2.2.</w:t>
      </w:r>
      <w:r w:rsidRPr="00401484">
        <w:rPr>
          <w:rFonts w:eastAsia="Calibri"/>
          <w:sz w:val="20"/>
          <w:szCs w:val="20"/>
          <w:lang w:val="en-US"/>
        </w:rPr>
        <w:t>,</w:t>
      </w:r>
      <w:r w:rsidRPr="0013708B">
        <w:rPr>
          <w:rFonts w:eastAsia="Calibri"/>
          <w:sz w:val="20"/>
          <w:szCs w:val="20"/>
          <w:lang w:val="en-US"/>
        </w:rPr>
        <w:t xml:space="preserve"> amend to read:</w:t>
      </w:r>
    </w:p>
    <w:p w:rsidR="00EC7B53" w:rsidRPr="0013708B" w:rsidRDefault="00EC7B53" w:rsidP="00DA4090">
      <w:pPr>
        <w:spacing w:after="120" w:line="240" w:lineRule="atLeast"/>
        <w:ind w:left="2268" w:right="1467" w:hanging="1134"/>
        <w:jc w:val="both"/>
        <w:rPr>
          <w:sz w:val="20"/>
          <w:szCs w:val="20"/>
          <w:lang w:val="en-US"/>
        </w:rPr>
      </w:pPr>
      <w:r w:rsidRPr="0013708B">
        <w:rPr>
          <w:rFonts w:eastAsia="Calibri"/>
          <w:sz w:val="20"/>
          <w:szCs w:val="20"/>
          <w:lang w:val="en-US"/>
        </w:rPr>
        <w:lastRenderedPageBreak/>
        <w:t>“6.3.6.1.2.2.</w:t>
      </w:r>
      <w:r w:rsidRPr="0013708B">
        <w:rPr>
          <w:rFonts w:eastAsia="Calibri"/>
          <w:sz w:val="20"/>
          <w:szCs w:val="20"/>
          <w:lang w:val="en-US"/>
        </w:rPr>
        <w:tab/>
        <w:t xml:space="preserve">When the total objective luminous flux of the light source </w:t>
      </w:r>
      <w:r w:rsidRPr="0013708B">
        <w:rPr>
          <w:rFonts w:eastAsia="Calibri"/>
          <w:b/>
          <w:sz w:val="20"/>
          <w:szCs w:val="20"/>
          <w:lang w:val="en-US"/>
        </w:rPr>
        <w:t>for each front fog lamp</w:t>
      </w:r>
      <w:r w:rsidRPr="0013708B">
        <w:rPr>
          <w:rFonts w:eastAsia="Calibri"/>
          <w:sz w:val="20"/>
          <w:szCs w:val="20"/>
          <w:lang w:val="en-US"/>
        </w:rPr>
        <w:t xml:space="preserve"> exceeds 2,000 lumens:”</w:t>
      </w:r>
    </w:p>
    <w:p w:rsidR="00EC7B53" w:rsidRPr="0013708B" w:rsidRDefault="00EC7B53" w:rsidP="00DA4090">
      <w:pPr>
        <w:spacing w:after="120" w:line="240" w:lineRule="atLeast"/>
        <w:ind w:left="2268" w:right="1467" w:hanging="1134"/>
        <w:jc w:val="both"/>
        <w:rPr>
          <w:rFonts w:eastAsia="Calibri"/>
          <w:sz w:val="20"/>
          <w:szCs w:val="20"/>
          <w:lang w:val="en-US"/>
        </w:rPr>
      </w:pPr>
      <w:r w:rsidRPr="00401484">
        <w:rPr>
          <w:rFonts w:eastAsia="Calibri"/>
          <w:i/>
          <w:sz w:val="20"/>
          <w:szCs w:val="20"/>
          <w:lang w:val="en-US"/>
        </w:rPr>
        <w:t>Paragraph 6.26.9.2.</w:t>
      </w:r>
      <w:r w:rsidRPr="00401484">
        <w:rPr>
          <w:rFonts w:eastAsia="Calibri"/>
          <w:sz w:val="20"/>
          <w:szCs w:val="20"/>
          <w:lang w:val="en-US"/>
        </w:rPr>
        <w:t>,</w:t>
      </w:r>
      <w:r w:rsidRPr="0013708B">
        <w:rPr>
          <w:rFonts w:eastAsia="Calibri"/>
          <w:sz w:val="20"/>
          <w:szCs w:val="20"/>
          <w:lang w:val="en-US"/>
        </w:rPr>
        <w:t xml:space="preserve"> amend to read:</w:t>
      </w:r>
    </w:p>
    <w:p w:rsidR="00EC7B53" w:rsidRPr="0013708B" w:rsidRDefault="00EC7B53" w:rsidP="00DA4090">
      <w:pPr>
        <w:tabs>
          <w:tab w:val="left" w:pos="3445"/>
        </w:tabs>
        <w:spacing w:after="120" w:line="240" w:lineRule="atLeast"/>
        <w:ind w:left="2268" w:right="1467" w:hanging="1134"/>
        <w:jc w:val="both"/>
        <w:rPr>
          <w:rFonts w:eastAsia="Calibri"/>
          <w:sz w:val="20"/>
          <w:szCs w:val="20"/>
          <w:lang w:val="en-US" w:eastAsia="en-US"/>
        </w:rPr>
      </w:pPr>
      <w:r w:rsidRPr="0013708B">
        <w:rPr>
          <w:rFonts w:eastAsia="Calibri"/>
          <w:sz w:val="20"/>
          <w:szCs w:val="20"/>
          <w:lang w:val="en-US" w:eastAsia="en-US"/>
        </w:rPr>
        <w:t xml:space="preserve">6.26.9.2. </w:t>
      </w:r>
      <w:r w:rsidRPr="0013708B">
        <w:rPr>
          <w:rFonts w:eastAsia="Calibri"/>
          <w:sz w:val="20"/>
          <w:szCs w:val="20"/>
          <w:lang w:val="en-US" w:eastAsia="en-US"/>
        </w:rPr>
        <w:tab/>
        <w:t xml:space="preserve">At the request of the applicant and with the consent of the Technical Service the requirement of 6.26.9.1 may be verified by a drawing or simulation or deemed be satisfied if the installation conditions comply with paragraph </w:t>
      </w:r>
      <w:r w:rsidRPr="0013708B">
        <w:rPr>
          <w:rFonts w:eastAsia="Calibri"/>
          <w:strike/>
          <w:sz w:val="20"/>
          <w:szCs w:val="20"/>
          <w:lang w:val="en-US" w:eastAsia="en-US"/>
        </w:rPr>
        <w:t>6.2.3.</w:t>
      </w:r>
      <w:r w:rsidRPr="0013708B">
        <w:rPr>
          <w:rFonts w:eastAsia="Calibri"/>
          <w:sz w:val="20"/>
          <w:szCs w:val="20"/>
          <w:lang w:val="en-US" w:eastAsia="en-US"/>
        </w:rPr>
        <w:t xml:space="preserve"> </w:t>
      </w:r>
      <w:r w:rsidRPr="0013708B">
        <w:rPr>
          <w:rFonts w:eastAsia="Calibri"/>
          <w:b/>
          <w:sz w:val="20"/>
          <w:szCs w:val="20"/>
          <w:lang w:val="en-US" w:eastAsia="en-US"/>
        </w:rPr>
        <w:t>6.2.2.</w:t>
      </w:r>
      <w:r w:rsidRPr="0013708B">
        <w:rPr>
          <w:rFonts w:eastAsia="Calibri"/>
          <w:sz w:val="20"/>
          <w:szCs w:val="20"/>
          <w:lang w:val="en-US" w:eastAsia="en-US"/>
        </w:rPr>
        <w:t xml:space="preserve"> of Regulation No. 23, as noticed in the communication document in Annex 1, paragraph 9. </w:t>
      </w:r>
    </w:p>
    <w:p w:rsidR="00EC7B53" w:rsidRPr="00F01EF9" w:rsidRDefault="00F01EF9" w:rsidP="00DA4090">
      <w:pPr>
        <w:tabs>
          <w:tab w:val="left" w:pos="709"/>
        </w:tabs>
        <w:spacing w:before="240" w:after="360" w:line="240" w:lineRule="atLeast"/>
        <w:ind w:left="1134" w:right="1467" w:hanging="1134"/>
        <w:jc w:val="both"/>
        <w:rPr>
          <w:rFonts w:eastAsia="Calibri"/>
          <w:b/>
          <w:sz w:val="28"/>
          <w:szCs w:val="28"/>
          <w:lang w:val="en-US" w:eastAsia="en-US"/>
        </w:rPr>
      </w:pPr>
      <w:r w:rsidRPr="00F01EF9">
        <w:rPr>
          <w:rFonts w:eastAsia="Calibri"/>
          <w:b/>
          <w:sz w:val="28"/>
          <w:szCs w:val="28"/>
          <w:lang w:val="en-US" w:eastAsia="en-US"/>
        </w:rPr>
        <w:tab/>
      </w:r>
      <w:r w:rsidR="00EC7B53" w:rsidRPr="00F01EF9">
        <w:rPr>
          <w:rFonts w:eastAsia="Calibri"/>
          <w:b/>
          <w:sz w:val="28"/>
          <w:szCs w:val="28"/>
          <w:lang w:val="en-US" w:eastAsia="en-US"/>
        </w:rPr>
        <w:t>II</w:t>
      </w:r>
      <w:r w:rsidR="00EC7B53" w:rsidRPr="00F01EF9">
        <w:rPr>
          <w:rFonts w:eastAsia="Calibri"/>
          <w:b/>
          <w:sz w:val="28"/>
          <w:szCs w:val="28"/>
          <w:lang w:val="en-US" w:eastAsia="en-US"/>
        </w:rPr>
        <w:tab/>
        <w:t>Justification:</w:t>
      </w:r>
    </w:p>
    <w:p w:rsidR="00EC7B53" w:rsidRPr="00401484" w:rsidRDefault="00EC7B53" w:rsidP="00DA4090">
      <w:pPr>
        <w:spacing w:after="120" w:line="240" w:lineRule="atLeast"/>
        <w:ind w:left="1134" w:right="1467"/>
        <w:jc w:val="both"/>
        <w:rPr>
          <w:sz w:val="20"/>
          <w:szCs w:val="20"/>
          <w:lang w:val="en-US"/>
        </w:rPr>
      </w:pPr>
      <w:r w:rsidRPr="00401484">
        <w:rPr>
          <w:sz w:val="20"/>
          <w:szCs w:val="20"/>
          <w:lang w:val="en-US"/>
        </w:rPr>
        <w:t xml:space="preserve">The aim of this proposal is to clarify </w:t>
      </w:r>
      <w:r w:rsidR="00F95263">
        <w:rPr>
          <w:sz w:val="20"/>
          <w:szCs w:val="20"/>
          <w:lang w:val="en-US"/>
        </w:rPr>
        <w:t xml:space="preserve">inconsistencies and </w:t>
      </w:r>
      <w:r w:rsidR="00DA4090">
        <w:rPr>
          <w:sz w:val="20"/>
          <w:szCs w:val="20"/>
          <w:lang w:val="en-US"/>
        </w:rPr>
        <w:t>unclear text</w:t>
      </w:r>
      <w:r w:rsidRPr="00401484">
        <w:rPr>
          <w:sz w:val="20"/>
          <w:szCs w:val="20"/>
          <w:lang w:val="en-US"/>
        </w:rPr>
        <w:t xml:space="preserve"> or to correct the terminology in Reg</w:t>
      </w:r>
      <w:r w:rsidR="00F95263">
        <w:rPr>
          <w:sz w:val="20"/>
          <w:szCs w:val="20"/>
          <w:lang w:val="en-US"/>
        </w:rPr>
        <w:t>ulation No. 48. It</w:t>
      </w:r>
      <w:r w:rsidRPr="00401484">
        <w:rPr>
          <w:sz w:val="20"/>
          <w:szCs w:val="20"/>
          <w:lang w:val="en-US"/>
        </w:rPr>
        <w:t xml:space="preserve"> is proposed to introdu</w:t>
      </w:r>
      <w:r w:rsidR="00F95263">
        <w:rPr>
          <w:sz w:val="20"/>
          <w:szCs w:val="20"/>
          <w:lang w:val="en-US"/>
        </w:rPr>
        <w:t>ce these clarifications into</w:t>
      </w:r>
      <w:r w:rsidRPr="00401484">
        <w:rPr>
          <w:sz w:val="20"/>
          <w:szCs w:val="20"/>
          <w:lang w:val="en-US"/>
        </w:rPr>
        <w:t xml:space="preserve"> the </w:t>
      </w:r>
      <w:r w:rsidR="00F95263" w:rsidRPr="00401484">
        <w:rPr>
          <w:sz w:val="20"/>
          <w:szCs w:val="20"/>
          <w:lang w:val="en-US"/>
        </w:rPr>
        <w:t xml:space="preserve">05 and 06 </w:t>
      </w:r>
      <w:r w:rsidRPr="00401484">
        <w:rPr>
          <w:sz w:val="20"/>
          <w:szCs w:val="20"/>
          <w:lang w:val="en-US"/>
        </w:rPr>
        <w:t>series of amendments</w:t>
      </w:r>
      <w:r w:rsidR="00F95263">
        <w:rPr>
          <w:sz w:val="20"/>
          <w:szCs w:val="20"/>
          <w:lang w:val="en-US"/>
        </w:rPr>
        <w:t>,</w:t>
      </w:r>
      <w:r w:rsidRPr="00401484">
        <w:rPr>
          <w:sz w:val="20"/>
          <w:szCs w:val="20"/>
          <w:lang w:val="en-US"/>
        </w:rPr>
        <w:t xml:space="preserve"> presently applicable to new type approvals, with a view to avoiding any different application of the paragraphs depending on</w:t>
      </w:r>
      <w:r w:rsidR="00F95263">
        <w:rPr>
          <w:sz w:val="20"/>
          <w:szCs w:val="20"/>
          <w:lang w:val="en-US"/>
        </w:rPr>
        <w:t xml:space="preserve"> the series of amendments used. </w:t>
      </w:r>
    </w:p>
    <w:p w:rsidR="00EC7B53" w:rsidRPr="00401484" w:rsidRDefault="00EC7B53" w:rsidP="00DA4090">
      <w:pPr>
        <w:spacing w:after="120" w:line="240" w:lineRule="atLeast"/>
        <w:ind w:left="2835" w:right="1467" w:hanging="1701"/>
        <w:jc w:val="both"/>
        <w:rPr>
          <w:rFonts w:eastAsia="Calibri"/>
          <w:sz w:val="20"/>
          <w:szCs w:val="20"/>
          <w:lang w:val="en-US" w:eastAsia="en-US"/>
        </w:rPr>
      </w:pPr>
      <w:r w:rsidRPr="00401484">
        <w:rPr>
          <w:rFonts w:eastAsia="Calibri"/>
          <w:sz w:val="20"/>
          <w:szCs w:val="20"/>
          <w:lang w:val="en-US" w:eastAsia="en-US"/>
        </w:rPr>
        <w:t>5.7.2.1.</w:t>
      </w:r>
      <w:r w:rsidRPr="00401484">
        <w:rPr>
          <w:rFonts w:eastAsia="Calibri"/>
          <w:sz w:val="20"/>
          <w:szCs w:val="20"/>
          <w:lang w:val="en-US" w:eastAsia="en-US"/>
        </w:rPr>
        <w:tab/>
        <w:t>Editorial; alignment of terminology to</w:t>
      </w:r>
      <w:r w:rsidR="00DA4090">
        <w:rPr>
          <w:rFonts w:eastAsia="Calibri"/>
          <w:sz w:val="20"/>
          <w:szCs w:val="20"/>
          <w:lang w:val="en-US" w:eastAsia="en-US"/>
        </w:rPr>
        <w:t xml:space="preserve"> the</w:t>
      </w:r>
      <w:r w:rsidRPr="00401484">
        <w:rPr>
          <w:rFonts w:eastAsia="Calibri"/>
          <w:sz w:val="20"/>
          <w:szCs w:val="20"/>
          <w:lang w:val="en-US" w:eastAsia="en-US"/>
        </w:rPr>
        <w:t xml:space="preserve"> present definition and other requirements.</w:t>
      </w:r>
    </w:p>
    <w:p w:rsidR="00EC7B53" w:rsidRPr="00401484" w:rsidRDefault="00EC7B53" w:rsidP="00DA4090">
      <w:pPr>
        <w:spacing w:after="120" w:line="240" w:lineRule="atLeast"/>
        <w:ind w:left="2835" w:right="1467" w:hanging="1701"/>
        <w:jc w:val="both"/>
        <w:rPr>
          <w:sz w:val="20"/>
          <w:szCs w:val="20"/>
          <w:lang w:val="en-GB"/>
        </w:rPr>
      </w:pPr>
      <w:r w:rsidRPr="00401484">
        <w:rPr>
          <w:rFonts w:eastAsia="Calibri"/>
          <w:sz w:val="20"/>
          <w:szCs w:val="20"/>
          <w:lang w:val="en-US" w:eastAsia="en-US"/>
        </w:rPr>
        <w:t>5.8</w:t>
      </w:r>
      <w:r w:rsidR="00DA4090">
        <w:rPr>
          <w:rFonts w:eastAsia="Calibri"/>
          <w:sz w:val="20"/>
          <w:szCs w:val="20"/>
          <w:lang w:val="en-US" w:eastAsia="en-US"/>
        </w:rPr>
        <w:t>.</w:t>
      </w:r>
      <w:r w:rsidR="00F01EF9" w:rsidRPr="00401484">
        <w:rPr>
          <w:rFonts w:eastAsia="Calibri"/>
          <w:sz w:val="20"/>
          <w:szCs w:val="20"/>
          <w:lang w:val="en-US" w:eastAsia="en-US"/>
        </w:rPr>
        <w:t xml:space="preserve"> (R48/05)</w:t>
      </w:r>
      <w:r w:rsidRPr="00401484">
        <w:rPr>
          <w:rFonts w:eastAsia="Calibri"/>
          <w:sz w:val="20"/>
          <w:szCs w:val="20"/>
          <w:lang w:val="en-US" w:eastAsia="en-US"/>
        </w:rPr>
        <w:tab/>
      </w:r>
      <w:proofErr w:type="gramStart"/>
      <w:r w:rsidRPr="00401484">
        <w:rPr>
          <w:rFonts w:eastAsia="Calibri"/>
          <w:sz w:val="20"/>
          <w:szCs w:val="20"/>
          <w:lang w:val="en-US" w:eastAsia="en-US"/>
        </w:rPr>
        <w:t>The</w:t>
      </w:r>
      <w:proofErr w:type="gramEnd"/>
      <w:r w:rsidRPr="00401484">
        <w:rPr>
          <w:rFonts w:eastAsia="Calibri"/>
          <w:sz w:val="20"/>
          <w:szCs w:val="20"/>
          <w:lang w:val="en-US" w:eastAsia="en-US"/>
        </w:rPr>
        <w:t xml:space="preserve"> present wording </w:t>
      </w:r>
      <w:r w:rsidRPr="00401484">
        <w:rPr>
          <w:sz w:val="20"/>
          <w:szCs w:val="20"/>
          <w:lang w:val="en-GB"/>
        </w:rPr>
        <w:t>“Effective outlet of the optical system” is not</w:t>
      </w:r>
      <w:r w:rsidR="00F01EF9" w:rsidRPr="00401484">
        <w:rPr>
          <w:rFonts w:eastAsia="Calibri"/>
          <w:sz w:val="20"/>
          <w:szCs w:val="20"/>
          <w:lang w:val="en-US" w:eastAsia="en-US"/>
        </w:rPr>
        <w:t xml:space="preserve"> </w:t>
      </w:r>
      <w:r w:rsidRPr="00401484">
        <w:rPr>
          <w:sz w:val="20"/>
          <w:szCs w:val="20"/>
          <w:lang w:val="en-GB"/>
        </w:rPr>
        <w:t>defined in UNECE-R48.</w:t>
      </w:r>
    </w:p>
    <w:p w:rsidR="00DA4090" w:rsidRDefault="00F01EF9" w:rsidP="00DA4090">
      <w:pPr>
        <w:spacing w:after="120" w:line="240" w:lineRule="atLeast"/>
        <w:ind w:left="2835" w:right="1467" w:hanging="1701"/>
        <w:jc w:val="both"/>
        <w:rPr>
          <w:sz w:val="20"/>
          <w:szCs w:val="20"/>
          <w:lang w:val="en-GB"/>
        </w:rPr>
      </w:pPr>
      <w:r w:rsidRPr="00401484">
        <w:rPr>
          <w:sz w:val="20"/>
          <w:szCs w:val="20"/>
          <w:lang w:val="en-GB"/>
        </w:rPr>
        <w:tab/>
        <w:t>The wording in</w:t>
      </w:r>
      <w:r w:rsidR="00DA4090">
        <w:rPr>
          <w:sz w:val="20"/>
          <w:szCs w:val="20"/>
          <w:lang w:val="en-GB"/>
        </w:rPr>
        <w:t xml:space="preserve"> paragraph 5.8</w:t>
      </w:r>
      <w:r w:rsidR="00EC7B53" w:rsidRPr="00401484">
        <w:rPr>
          <w:sz w:val="20"/>
          <w:szCs w:val="20"/>
          <w:lang w:val="en-GB"/>
        </w:rPr>
        <w:t xml:space="preserve"> is now aligned and coherent with the one used in the definitions of paragraph 2.9.1.</w:t>
      </w:r>
    </w:p>
    <w:p w:rsidR="00F01EF9" w:rsidRPr="00401484" w:rsidRDefault="00F01EF9" w:rsidP="00DA4090">
      <w:pPr>
        <w:spacing w:after="120" w:line="240" w:lineRule="atLeast"/>
        <w:ind w:left="2835" w:right="1467" w:hanging="1701"/>
        <w:jc w:val="both"/>
        <w:rPr>
          <w:sz w:val="20"/>
          <w:szCs w:val="20"/>
          <w:lang w:val="en-GB"/>
        </w:rPr>
      </w:pPr>
      <w:r w:rsidRPr="00401484">
        <w:rPr>
          <w:rFonts w:eastAsia="Calibri"/>
          <w:sz w:val="20"/>
          <w:szCs w:val="20"/>
          <w:lang w:val="en-US" w:eastAsia="en-US"/>
        </w:rPr>
        <w:t>5.8.2. (R48/06)</w:t>
      </w:r>
      <w:r w:rsidRPr="00401484">
        <w:rPr>
          <w:rFonts w:eastAsia="Calibri"/>
          <w:sz w:val="20"/>
          <w:szCs w:val="20"/>
          <w:lang w:val="en-US" w:eastAsia="en-US"/>
        </w:rPr>
        <w:tab/>
      </w:r>
      <w:proofErr w:type="gramStart"/>
      <w:r w:rsidRPr="00401484">
        <w:rPr>
          <w:rFonts w:eastAsia="Calibri"/>
          <w:sz w:val="20"/>
          <w:szCs w:val="20"/>
          <w:lang w:val="en-US" w:eastAsia="en-US"/>
        </w:rPr>
        <w:t>The</w:t>
      </w:r>
      <w:proofErr w:type="gramEnd"/>
      <w:r w:rsidRPr="00401484">
        <w:rPr>
          <w:rFonts w:eastAsia="Calibri"/>
          <w:sz w:val="20"/>
          <w:szCs w:val="20"/>
          <w:lang w:val="en-US" w:eastAsia="en-US"/>
        </w:rPr>
        <w:t xml:space="preserve"> present wording </w:t>
      </w:r>
      <w:r w:rsidRPr="00401484">
        <w:rPr>
          <w:sz w:val="20"/>
          <w:szCs w:val="20"/>
          <w:lang w:val="en-GB"/>
        </w:rPr>
        <w:t>“Effective outlet of the optical system” is not</w:t>
      </w:r>
      <w:r w:rsidRPr="00401484">
        <w:rPr>
          <w:rFonts w:eastAsia="Calibri"/>
          <w:sz w:val="20"/>
          <w:szCs w:val="20"/>
          <w:lang w:val="en-US" w:eastAsia="en-US"/>
        </w:rPr>
        <w:t xml:space="preserve"> </w:t>
      </w:r>
      <w:r w:rsidRPr="00401484">
        <w:rPr>
          <w:sz w:val="20"/>
          <w:szCs w:val="20"/>
          <w:lang w:val="en-GB"/>
        </w:rPr>
        <w:t>defined in UNECE-R48.</w:t>
      </w:r>
    </w:p>
    <w:p w:rsidR="00F01EF9" w:rsidRDefault="00F01EF9" w:rsidP="00DA4090">
      <w:pPr>
        <w:spacing w:after="120" w:line="240" w:lineRule="atLeast"/>
        <w:ind w:left="2835" w:right="1467" w:hanging="1701"/>
        <w:jc w:val="both"/>
        <w:rPr>
          <w:lang w:val="en-GB"/>
        </w:rPr>
      </w:pPr>
      <w:r w:rsidRPr="00401484">
        <w:rPr>
          <w:sz w:val="20"/>
          <w:szCs w:val="20"/>
          <w:lang w:val="en-GB"/>
        </w:rPr>
        <w:tab/>
        <w:t xml:space="preserve">The wording in </w:t>
      </w:r>
      <w:r w:rsidR="00DA4090">
        <w:rPr>
          <w:sz w:val="20"/>
          <w:szCs w:val="20"/>
          <w:lang w:val="en-GB"/>
        </w:rPr>
        <w:t>paragraph 5.8.2</w:t>
      </w:r>
      <w:r w:rsidRPr="00401484">
        <w:rPr>
          <w:sz w:val="20"/>
          <w:szCs w:val="20"/>
          <w:lang w:val="en-GB"/>
        </w:rPr>
        <w:t xml:space="preserve"> is now aligned and coherent with the one used in the</w:t>
      </w:r>
      <w:r w:rsidR="00DA4090">
        <w:rPr>
          <w:sz w:val="20"/>
          <w:szCs w:val="20"/>
          <w:lang w:val="en-GB"/>
        </w:rPr>
        <w:t xml:space="preserve"> definitions of paragraph 2.9.1</w:t>
      </w:r>
      <w:r w:rsidRPr="00401484">
        <w:rPr>
          <w:sz w:val="20"/>
          <w:szCs w:val="20"/>
          <w:lang w:val="en-GB"/>
        </w:rPr>
        <w:t>.</w:t>
      </w:r>
    </w:p>
    <w:p w:rsidR="00EC7B53" w:rsidRPr="00401484" w:rsidRDefault="00EC7B53" w:rsidP="00DA4090">
      <w:pPr>
        <w:spacing w:after="120" w:line="240" w:lineRule="atLeast"/>
        <w:ind w:left="2835" w:right="1467" w:hanging="1701"/>
        <w:jc w:val="both"/>
        <w:rPr>
          <w:rFonts w:eastAsia="Calibri"/>
          <w:sz w:val="20"/>
          <w:szCs w:val="20"/>
          <w:lang w:val="en-US" w:eastAsia="en-US"/>
        </w:rPr>
      </w:pPr>
      <w:r w:rsidRPr="00401484">
        <w:rPr>
          <w:rFonts w:eastAsia="Calibri"/>
          <w:sz w:val="20"/>
          <w:szCs w:val="20"/>
          <w:lang w:val="en-US" w:eastAsia="en-US"/>
        </w:rPr>
        <w:t>5.10.</w:t>
      </w:r>
      <w:r w:rsidR="00DA4090">
        <w:rPr>
          <w:rFonts w:eastAsia="Calibri"/>
          <w:sz w:val="20"/>
          <w:szCs w:val="20"/>
          <w:lang w:val="en-US" w:eastAsia="en-US"/>
        </w:rPr>
        <w:t>1. - 5.10.2.</w:t>
      </w:r>
      <w:r w:rsidR="00DA4090">
        <w:rPr>
          <w:rFonts w:eastAsia="Calibri"/>
          <w:sz w:val="20"/>
          <w:szCs w:val="20"/>
          <w:lang w:val="en-US" w:eastAsia="en-US"/>
        </w:rPr>
        <w:tab/>
      </w:r>
      <w:proofErr w:type="gramStart"/>
      <w:r w:rsidR="00DA4090" w:rsidRPr="00AA363D">
        <w:rPr>
          <w:rFonts w:eastAsia="Calibri"/>
          <w:sz w:val="20"/>
          <w:szCs w:val="20"/>
          <w:lang w:val="en-US" w:eastAsia="en-US"/>
        </w:rPr>
        <w:t xml:space="preserve">In the text of </w:t>
      </w:r>
      <w:r w:rsidR="00AA363D" w:rsidRPr="00AA363D">
        <w:rPr>
          <w:rFonts w:eastAsia="Calibri"/>
          <w:sz w:val="20"/>
          <w:szCs w:val="20"/>
          <w:lang w:val="en-US" w:eastAsia="en-US"/>
        </w:rPr>
        <w:t>paragraphs 5.10.1.</w:t>
      </w:r>
      <w:proofErr w:type="gramEnd"/>
      <w:r w:rsidR="00AA363D" w:rsidRPr="00AA363D">
        <w:rPr>
          <w:rFonts w:eastAsia="Calibri"/>
          <w:sz w:val="20"/>
          <w:szCs w:val="20"/>
          <w:lang w:val="en-US" w:eastAsia="en-US"/>
        </w:rPr>
        <w:t xml:space="preserve"> </w:t>
      </w:r>
      <w:proofErr w:type="gramStart"/>
      <w:r w:rsidR="00AA363D" w:rsidRPr="00AA363D">
        <w:rPr>
          <w:rFonts w:eastAsia="Calibri"/>
          <w:sz w:val="20"/>
          <w:szCs w:val="20"/>
          <w:lang w:val="en-US" w:eastAsia="en-US"/>
        </w:rPr>
        <w:t>and</w:t>
      </w:r>
      <w:proofErr w:type="gramEnd"/>
      <w:r w:rsidR="00AA363D" w:rsidRPr="00AA363D">
        <w:rPr>
          <w:rFonts w:eastAsia="Calibri"/>
          <w:sz w:val="20"/>
          <w:szCs w:val="20"/>
          <w:lang w:val="en-US" w:eastAsia="en-US"/>
        </w:rPr>
        <w:t xml:space="preserve"> 5.10.2., </w:t>
      </w:r>
      <w:r w:rsidRPr="00AA363D">
        <w:rPr>
          <w:rFonts w:eastAsia="Calibri"/>
          <w:sz w:val="20"/>
          <w:szCs w:val="20"/>
          <w:lang w:val="en-US" w:eastAsia="en-US"/>
        </w:rPr>
        <w:t xml:space="preserve">a reference to a </w:t>
      </w:r>
      <w:r w:rsidR="00FD5E9D">
        <w:rPr>
          <w:rFonts w:eastAsia="Calibri"/>
          <w:sz w:val="20"/>
          <w:szCs w:val="20"/>
          <w:lang w:val="en-US" w:eastAsia="en-US"/>
        </w:rPr>
        <w:t>“transverse p</w:t>
      </w:r>
      <w:r w:rsidRPr="00AA363D">
        <w:rPr>
          <w:rFonts w:eastAsia="Calibri"/>
          <w:sz w:val="20"/>
          <w:szCs w:val="20"/>
          <w:lang w:val="en-US" w:eastAsia="en-US"/>
        </w:rPr>
        <w:t>lane</w:t>
      </w:r>
      <w:r w:rsidR="00AA363D" w:rsidRPr="00AA363D">
        <w:rPr>
          <w:rFonts w:eastAsia="Calibri"/>
          <w:sz w:val="20"/>
          <w:szCs w:val="20"/>
          <w:lang w:val="en-US" w:eastAsia="en-US"/>
        </w:rPr>
        <w:t>”</w:t>
      </w:r>
      <w:r w:rsidRPr="00AA363D">
        <w:rPr>
          <w:rFonts w:eastAsia="Calibri"/>
          <w:sz w:val="20"/>
          <w:szCs w:val="20"/>
          <w:lang w:val="en-US" w:eastAsia="en-US"/>
        </w:rPr>
        <w:t xml:space="preserve"> existed, but it was removed from </w:t>
      </w:r>
      <w:r w:rsidR="00DA4090" w:rsidRPr="00AA363D">
        <w:rPr>
          <w:rFonts w:eastAsia="Calibri"/>
          <w:sz w:val="20"/>
          <w:szCs w:val="20"/>
          <w:lang w:val="en-US" w:eastAsia="en-US"/>
        </w:rPr>
        <w:t xml:space="preserve">paragraph </w:t>
      </w:r>
      <w:r w:rsidRPr="00AA363D">
        <w:rPr>
          <w:rFonts w:eastAsia="Calibri"/>
          <w:sz w:val="20"/>
          <w:szCs w:val="20"/>
          <w:lang w:val="en-US" w:eastAsia="en-US"/>
        </w:rPr>
        <w:t xml:space="preserve">5.10.1., probably with the </w:t>
      </w:r>
      <w:r w:rsidRPr="00AA363D">
        <w:rPr>
          <w:sz w:val="20"/>
          <w:szCs w:val="20"/>
          <w:lang w:val="en-US"/>
        </w:rPr>
        <w:t>Supplement 12 to the 02 series of amendments,</w:t>
      </w:r>
      <w:r w:rsidR="00DE1365" w:rsidRPr="00AA363D">
        <w:rPr>
          <w:sz w:val="20"/>
          <w:szCs w:val="20"/>
          <w:lang w:val="en-US"/>
        </w:rPr>
        <w:t xml:space="preserve"> although </w:t>
      </w:r>
      <w:r w:rsidR="00AA363D" w:rsidRPr="00AA363D">
        <w:rPr>
          <w:sz w:val="20"/>
          <w:szCs w:val="20"/>
          <w:lang w:val="en-US"/>
        </w:rPr>
        <w:t>a</w:t>
      </w:r>
      <w:r w:rsidRPr="00AA363D">
        <w:rPr>
          <w:rFonts w:eastAsia="Calibri"/>
          <w:sz w:val="20"/>
          <w:szCs w:val="20"/>
          <w:lang w:val="en-US" w:eastAsia="en-US"/>
        </w:rPr>
        <w:t xml:space="preserve"> document </w:t>
      </w:r>
      <w:r w:rsidR="00DE1365" w:rsidRPr="00AA363D">
        <w:rPr>
          <w:rFonts w:eastAsia="Calibri"/>
          <w:sz w:val="20"/>
          <w:szCs w:val="20"/>
          <w:lang w:val="en-US" w:eastAsia="en-US"/>
        </w:rPr>
        <w:t xml:space="preserve">covering this change </w:t>
      </w:r>
      <w:r w:rsidRPr="00AA363D">
        <w:rPr>
          <w:rFonts w:eastAsia="Calibri"/>
          <w:sz w:val="20"/>
          <w:szCs w:val="20"/>
          <w:lang w:val="en-US" w:eastAsia="en-US"/>
        </w:rPr>
        <w:t>on the WP.29 web site</w:t>
      </w:r>
      <w:r w:rsidR="00AA363D" w:rsidRPr="00AA363D">
        <w:rPr>
          <w:rFonts w:eastAsia="Calibri"/>
          <w:sz w:val="20"/>
          <w:szCs w:val="20"/>
          <w:lang w:val="en-US" w:eastAsia="en-US"/>
        </w:rPr>
        <w:t xml:space="preserve"> has not been found</w:t>
      </w:r>
      <w:r w:rsidRPr="00AA363D">
        <w:rPr>
          <w:rFonts w:eastAsia="Calibri"/>
          <w:sz w:val="20"/>
          <w:szCs w:val="20"/>
          <w:lang w:val="en-US" w:eastAsia="en-US"/>
        </w:rPr>
        <w:t>!</w:t>
      </w:r>
    </w:p>
    <w:p w:rsidR="00EC7B53" w:rsidRPr="00401484" w:rsidRDefault="00EC7B53" w:rsidP="00DA4090">
      <w:pPr>
        <w:spacing w:after="120" w:line="240" w:lineRule="atLeast"/>
        <w:ind w:left="2835" w:right="1467" w:hanging="1701"/>
        <w:jc w:val="both"/>
        <w:rPr>
          <w:rFonts w:eastAsia="Calibri"/>
          <w:sz w:val="20"/>
          <w:szCs w:val="20"/>
          <w:lang w:val="en-US" w:eastAsia="en-US"/>
        </w:rPr>
      </w:pPr>
      <w:r w:rsidRPr="00401484">
        <w:rPr>
          <w:rFonts w:eastAsia="Calibri"/>
          <w:sz w:val="20"/>
          <w:szCs w:val="20"/>
          <w:lang w:val="en-US" w:eastAsia="en-US"/>
        </w:rPr>
        <w:tab/>
        <w:t xml:space="preserve">Since the absence of the reference to the </w:t>
      </w:r>
      <w:r w:rsidR="00FD5E9D">
        <w:rPr>
          <w:rFonts w:eastAsia="Calibri"/>
          <w:sz w:val="20"/>
          <w:szCs w:val="20"/>
          <w:lang w:val="en-US" w:eastAsia="en-US"/>
        </w:rPr>
        <w:t>“</w:t>
      </w:r>
      <w:r w:rsidR="00FD5E9D" w:rsidRPr="00401484">
        <w:rPr>
          <w:rFonts w:eastAsia="Calibri"/>
          <w:sz w:val="20"/>
          <w:szCs w:val="20"/>
          <w:lang w:val="en-US" w:eastAsia="en-US"/>
        </w:rPr>
        <w:t>transverse</w:t>
      </w:r>
      <w:r w:rsidRPr="00401484">
        <w:rPr>
          <w:rFonts w:eastAsia="Calibri"/>
          <w:sz w:val="20"/>
          <w:szCs w:val="20"/>
          <w:lang w:val="en-US" w:eastAsia="en-US"/>
        </w:rPr>
        <w:t xml:space="preserve"> plane</w:t>
      </w:r>
      <w:r w:rsidR="00FD5E9D">
        <w:rPr>
          <w:rFonts w:eastAsia="Calibri"/>
          <w:sz w:val="20"/>
          <w:szCs w:val="20"/>
          <w:lang w:val="en-US" w:eastAsia="en-US"/>
        </w:rPr>
        <w:t>”</w:t>
      </w:r>
      <w:r w:rsidRPr="00401484">
        <w:rPr>
          <w:rFonts w:eastAsia="Calibri"/>
          <w:sz w:val="20"/>
          <w:szCs w:val="20"/>
          <w:lang w:val="en-US" w:eastAsia="en-US"/>
        </w:rPr>
        <w:t xml:space="preserve"> could give interpretation problems</w:t>
      </w:r>
      <w:r w:rsidR="00FD5E9D">
        <w:rPr>
          <w:rFonts w:eastAsia="Calibri"/>
          <w:sz w:val="20"/>
          <w:szCs w:val="20"/>
          <w:lang w:val="en-US" w:eastAsia="en-US"/>
        </w:rPr>
        <w:t>,</w:t>
      </w:r>
      <w:r w:rsidRPr="00401484">
        <w:rPr>
          <w:rFonts w:eastAsia="Calibri"/>
          <w:sz w:val="20"/>
          <w:szCs w:val="20"/>
          <w:lang w:val="en-US" w:eastAsia="en-US"/>
        </w:rPr>
        <w:t xml:space="preserve"> and no apparent reason requesting its deletion nor evidence of the origin of this change exists, it is proposed to reinstate the original text as far as the </w:t>
      </w:r>
      <w:r w:rsidR="00FD5E9D">
        <w:rPr>
          <w:rFonts w:eastAsia="Calibri"/>
          <w:sz w:val="20"/>
          <w:szCs w:val="20"/>
          <w:lang w:val="en-US" w:eastAsia="en-US"/>
        </w:rPr>
        <w:t>“</w:t>
      </w:r>
      <w:r w:rsidR="00FD5E9D" w:rsidRPr="00FD5E9D">
        <w:rPr>
          <w:rFonts w:eastAsia="Calibri"/>
          <w:sz w:val="20"/>
          <w:szCs w:val="20"/>
          <w:lang w:val="en-US" w:eastAsia="en-US"/>
        </w:rPr>
        <w:t>transverse</w:t>
      </w:r>
      <w:r w:rsidRPr="00401484">
        <w:rPr>
          <w:rFonts w:eastAsia="Calibri"/>
          <w:sz w:val="20"/>
          <w:szCs w:val="20"/>
          <w:lang w:val="en-US" w:eastAsia="en-US"/>
        </w:rPr>
        <w:t xml:space="preserve"> plane</w:t>
      </w:r>
      <w:r w:rsidR="00FD5E9D">
        <w:rPr>
          <w:rFonts w:eastAsia="Calibri"/>
          <w:sz w:val="20"/>
          <w:szCs w:val="20"/>
          <w:lang w:val="en-US" w:eastAsia="en-US"/>
        </w:rPr>
        <w:t>” is concerned, as currently</w:t>
      </w:r>
      <w:r w:rsidRPr="00401484">
        <w:rPr>
          <w:rFonts w:eastAsia="Calibri"/>
          <w:sz w:val="20"/>
          <w:szCs w:val="20"/>
          <w:lang w:val="en-US" w:eastAsia="en-US"/>
        </w:rPr>
        <w:t xml:space="preserve"> existing in paragraph 5.10.2</w:t>
      </w:r>
      <w:proofErr w:type="gramStart"/>
      <w:r w:rsidRPr="00401484">
        <w:rPr>
          <w:rFonts w:eastAsia="Calibri"/>
          <w:sz w:val="20"/>
          <w:szCs w:val="20"/>
          <w:lang w:val="en-US" w:eastAsia="en-US"/>
        </w:rPr>
        <w:t>..</w:t>
      </w:r>
      <w:proofErr w:type="gramEnd"/>
    </w:p>
    <w:p w:rsidR="00EC7B53" w:rsidRPr="00401484" w:rsidRDefault="00EC7B53" w:rsidP="00DA4090">
      <w:pPr>
        <w:spacing w:after="120" w:line="240" w:lineRule="atLeast"/>
        <w:ind w:left="2835" w:right="1467" w:hanging="1701"/>
        <w:jc w:val="both"/>
        <w:rPr>
          <w:rFonts w:eastAsia="Calibri"/>
          <w:sz w:val="20"/>
          <w:szCs w:val="20"/>
          <w:lang w:val="en-US" w:eastAsia="en-US"/>
        </w:rPr>
      </w:pPr>
      <w:r w:rsidRPr="00401484">
        <w:rPr>
          <w:rFonts w:eastAsia="Calibri"/>
          <w:sz w:val="20"/>
          <w:szCs w:val="20"/>
          <w:lang w:val="en-US" w:eastAsia="en-US"/>
        </w:rPr>
        <w:tab/>
        <w:t>For the total alignment of texts of the two paragraphs the small editorial change to paragraph 5.10.2.</w:t>
      </w:r>
      <w:r w:rsidR="00FD5E9D">
        <w:rPr>
          <w:rFonts w:eastAsia="Calibri"/>
          <w:sz w:val="20"/>
          <w:szCs w:val="20"/>
          <w:lang w:val="en-US" w:eastAsia="en-US"/>
        </w:rPr>
        <w:t>is proposed</w:t>
      </w:r>
      <w:r w:rsidRPr="00FD5E9D">
        <w:rPr>
          <w:rFonts w:eastAsia="Calibri"/>
          <w:sz w:val="20"/>
          <w:szCs w:val="20"/>
          <w:lang w:val="en-US" w:eastAsia="en-US"/>
        </w:rPr>
        <w:t>.</w:t>
      </w:r>
    </w:p>
    <w:p w:rsidR="00EC7B53" w:rsidRPr="00401484" w:rsidRDefault="00FD5E9D" w:rsidP="00DA4090">
      <w:pPr>
        <w:spacing w:after="120" w:line="240" w:lineRule="atLeast"/>
        <w:ind w:left="2835" w:right="1467" w:hanging="1701"/>
        <w:jc w:val="both"/>
        <w:rPr>
          <w:rFonts w:eastAsia="Calibri"/>
          <w:sz w:val="20"/>
          <w:szCs w:val="20"/>
          <w:lang w:val="en-US" w:eastAsia="en-US"/>
        </w:rPr>
      </w:pPr>
      <w:r>
        <w:rPr>
          <w:rFonts w:eastAsia="Calibri"/>
          <w:sz w:val="20"/>
          <w:szCs w:val="20"/>
          <w:lang w:val="en-US" w:eastAsia="en-US"/>
        </w:rPr>
        <w:t>6.2.9.</w:t>
      </w:r>
      <w:r>
        <w:rPr>
          <w:rFonts w:eastAsia="Calibri"/>
          <w:sz w:val="20"/>
          <w:szCs w:val="20"/>
          <w:lang w:val="en-US" w:eastAsia="en-US"/>
        </w:rPr>
        <w:tab/>
        <w:t>The c</w:t>
      </w:r>
      <w:r w:rsidR="00EC7B53" w:rsidRPr="00401484">
        <w:rPr>
          <w:rFonts w:eastAsia="Calibri"/>
          <w:sz w:val="20"/>
          <w:szCs w:val="20"/>
          <w:lang w:val="en-US" w:eastAsia="en-US"/>
        </w:rPr>
        <w:t xml:space="preserve">hanges proposed </w:t>
      </w:r>
      <w:r>
        <w:rPr>
          <w:rFonts w:eastAsia="Calibri"/>
          <w:sz w:val="20"/>
          <w:szCs w:val="20"/>
          <w:lang w:val="en-US" w:eastAsia="en-US"/>
        </w:rPr>
        <w:t xml:space="preserve">are intended </w:t>
      </w:r>
      <w:r w:rsidR="00EC7B53" w:rsidRPr="00401484">
        <w:rPr>
          <w:rFonts w:eastAsia="Calibri"/>
          <w:sz w:val="20"/>
          <w:szCs w:val="20"/>
          <w:lang w:val="en-US" w:eastAsia="en-US"/>
        </w:rPr>
        <w:t>to</w:t>
      </w:r>
      <w:r w:rsidR="00EC7B53" w:rsidRPr="00FD5E9D">
        <w:rPr>
          <w:rFonts w:eastAsia="Calibri"/>
          <w:sz w:val="20"/>
          <w:szCs w:val="20"/>
          <w:lang w:val="en-US" w:eastAsia="en-US"/>
        </w:rPr>
        <w:t xml:space="preserve"> ma</w:t>
      </w:r>
      <w:r w:rsidRPr="00FD5E9D">
        <w:rPr>
          <w:rFonts w:eastAsia="Calibri"/>
          <w:sz w:val="20"/>
          <w:szCs w:val="20"/>
          <w:lang w:val="en-US" w:eastAsia="en-US"/>
        </w:rPr>
        <w:t>ke</w:t>
      </w:r>
      <w:r w:rsidR="00EC7B53" w:rsidRPr="00401484">
        <w:rPr>
          <w:rFonts w:eastAsia="Calibri"/>
          <w:sz w:val="20"/>
          <w:szCs w:val="20"/>
          <w:lang w:val="en-US" w:eastAsia="en-US"/>
        </w:rPr>
        <w:t xml:space="preserve"> the interpretation of this paragraph</w:t>
      </w:r>
      <w:r>
        <w:rPr>
          <w:rFonts w:eastAsia="Calibri"/>
          <w:sz w:val="20"/>
          <w:szCs w:val="20"/>
          <w:lang w:val="en-US" w:eastAsia="en-US"/>
        </w:rPr>
        <w:t>,</w:t>
      </w:r>
      <w:r w:rsidR="00EC7B53" w:rsidRPr="00401484">
        <w:rPr>
          <w:rFonts w:eastAsia="Calibri"/>
          <w:sz w:val="20"/>
          <w:szCs w:val="20"/>
          <w:lang w:val="en-US" w:eastAsia="en-US"/>
        </w:rPr>
        <w:t xml:space="preserve"> as far as the 2000 lumen limit application is concerned</w:t>
      </w:r>
      <w:r>
        <w:rPr>
          <w:rFonts w:eastAsia="Calibri"/>
          <w:sz w:val="20"/>
          <w:szCs w:val="20"/>
          <w:lang w:val="en-US" w:eastAsia="en-US"/>
        </w:rPr>
        <w:t>, indisputable</w:t>
      </w:r>
      <w:r w:rsidR="00EC7B53" w:rsidRPr="00401484">
        <w:rPr>
          <w:rFonts w:eastAsia="Calibri"/>
          <w:sz w:val="20"/>
          <w:szCs w:val="20"/>
          <w:lang w:val="en-US" w:eastAsia="en-US"/>
        </w:rPr>
        <w:t>. In addition an editorial revisi</w:t>
      </w:r>
      <w:r w:rsidR="00F95263">
        <w:rPr>
          <w:rFonts w:eastAsia="Calibri"/>
          <w:sz w:val="20"/>
          <w:szCs w:val="20"/>
          <w:lang w:val="en-US" w:eastAsia="en-US"/>
        </w:rPr>
        <w:t>on of the paragraph is proposed</w:t>
      </w:r>
      <w:r w:rsidR="00EC7B53" w:rsidRPr="00401484">
        <w:rPr>
          <w:rFonts w:eastAsia="Calibri"/>
          <w:sz w:val="20"/>
          <w:szCs w:val="20"/>
          <w:lang w:val="en-US" w:eastAsia="en-US"/>
        </w:rPr>
        <w:t xml:space="preserve"> to separate the existing text</w:t>
      </w:r>
      <w:r w:rsidR="00F95263">
        <w:rPr>
          <w:rFonts w:eastAsia="Calibri"/>
          <w:sz w:val="20"/>
          <w:szCs w:val="20"/>
          <w:lang w:val="en-US" w:eastAsia="en-US"/>
        </w:rPr>
        <w:t xml:space="preserve"> </w:t>
      </w:r>
      <w:r w:rsidR="00F95263" w:rsidRPr="00401484">
        <w:rPr>
          <w:rFonts w:eastAsia="Calibri"/>
          <w:sz w:val="20"/>
          <w:szCs w:val="20"/>
          <w:lang w:val="en-US" w:eastAsia="en-US"/>
        </w:rPr>
        <w:t>i</w:t>
      </w:r>
      <w:r w:rsidR="00F95263">
        <w:rPr>
          <w:rFonts w:eastAsia="Calibri"/>
          <w:sz w:val="20"/>
          <w:szCs w:val="20"/>
          <w:lang w:val="en-US" w:eastAsia="en-US"/>
        </w:rPr>
        <w:t>nto</w:t>
      </w:r>
      <w:r w:rsidR="00F95263">
        <w:rPr>
          <w:rFonts w:eastAsia="Calibri"/>
          <w:i/>
          <w:color w:val="FF0000"/>
          <w:sz w:val="20"/>
          <w:szCs w:val="20"/>
          <w:lang w:val="en-US" w:eastAsia="en-US"/>
        </w:rPr>
        <w:t xml:space="preserve"> </w:t>
      </w:r>
      <w:r w:rsidR="00F95263" w:rsidRPr="00401484">
        <w:rPr>
          <w:rFonts w:eastAsia="Calibri"/>
          <w:sz w:val="20"/>
          <w:szCs w:val="20"/>
          <w:lang w:val="en-US" w:eastAsia="en-US"/>
        </w:rPr>
        <w:t>four sub-paragraphs</w:t>
      </w:r>
      <w:r w:rsidR="00EC7B53" w:rsidRPr="00401484">
        <w:rPr>
          <w:rFonts w:eastAsia="Calibri"/>
          <w:sz w:val="20"/>
          <w:szCs w:val="20"/>
          <w:lang w:val="en-US" w:eastAsia="en-US"/>
        </w:rPr>
        <w:t>, for better understanding.</w:t>
      </w:r>
    </w:p>
    <w:p w:rsidR="00EC7B53" w:rsidRPr="00401484" w:rsidRDefault="00EC7B53" w:rsidP="00F95263">
      <w:pPr>
        <w:spacing w:after="120" w:line="240" w:lineRule="atLeast"/>
        <w:ind w:left="2835" w:right="1469" w:hanging="1701"/>
        <w:contextualSpacing/>
        <w:jc w:val="both"/>
        <w:rPr>
          <w:sz w:val="20"/>
          <w:szCs w:val="20"/>
          <w:lang w:val="en-US"/>
        </w:rPr>
      </w:pPr>
      <w:r w:rsidRPr="00401484">
        <w:rPr>
          <w:sz w:val="20"/>
          <w:szCs w:val="20"/>
          <w:lang w:val="en-US"/>
        </w:rPr>
        <w:t>6.3.6.1.2.1.</w:t>
      </w:r>
      <w:r w:rsidRPr="00401484">
        <w:rPr>
          <w:sz w:val="20"/>
          <w:szCs w:val="20"/>
          <w:lang w:val="en-US"/>
        </w:rPr>
        <w:tab/>
        <w:t xml:space="preserve">As for paragraph 6.2.9. </w:t>
      </w:r>
      <w:proofErr w:type="gramStart"/>
      <w:r w:rsidRPr="00401484">
        <w:rPr>
          <w:sz w:val="20"/>
          <w:szCs w:val="20"/>
          <w:lang w:val="en-US"/>
        </w:rPr>
        <w:t>above</w:t>
      </w:r>
      <w:proofErr w:type="gramEnd"/>
      <w:r w:rsidRPr="00401484">
        <w:rPr>
          <w:sz w:val="20"/>
          <w:szCs w:val="20"/>
          <w:lang w:val="en-US"/>
        </w:rPr>
        <w:t>, changes are proposed to make</w:t>
      </w:r>
      <w:r w:rsidR="00F95263">
        <w:rPr>
          <w:sz w:val="20"/>
          <w:szCs w:val="20"/>
          <w:lang w:val="en-US"/>
        </w:rPr>
        <w:t xml:space="preserve"> the</w:t>
      </w:r>
    </w:p>
    <w:p w:rsidR="00EC7B53" w:rsidRPr="00401484" w:rsidRDefault="00F95263" w:rsidP="00F95263">
      <w:pPr>
        <w:spacing w:after="120" w:line="240" w:lineRule="atLeast"/>
        <w:ind w:left="2835" w:right="1469" w:hanging="1701"/>
        <w:jc w:val="both"/>
        <w:rPr>
          <w:sz w:val="20"/>
          <w:szCs w:val="20"/>
          <w:lang w:val="en-US"/>
        </w:rPr>
      </w:pPr>
      <w:proofErr w:type="gramStart"/>
      <w:r>
        <w:rPr>
          <w:sz w:val="20"/>
          <w:szCs w:val="20"/>
          <w:lang w:val="en-US"/>
        </w:rPr>
        <w:t>and</w:t>
      </w:r>
      <w:proofErr w:type="gramEnd"/>
      <w:r>
        <w:rPr>
          <w:sz w:val="20"/>
          <w:szCs w:val="20"/>
          <w:lang w:val="en-US"/>
        </w:rPr>
        <w:t xml:space="preserve"> 6.3.6.1.2.2.</w:t>
      </w:r>
      <w:r>
        <w:rPr>
          <w:sz w:val="20"/>
          <w:szCs w:val="20"/>
          <w:lang w:val="en-US"/>
        </w:rPr>
        <w:tab/>
      </w:r>
      <w:proofErr w:type="gramStart"/>
      <w:r w:rsidR="00EC7B53" w:rsidRPr="00401484">
        <w:rPr>
          <w:sz w:val="20"/>
          <w:szCs w:val="20"/>
          <w:lang w:val="en-US"/>
        </w:rPr>
        <w:t>interpretation</w:t>
      </w:r>
      <w:proofErr w:type="gramEnd"/>
      <w:r w:rsidR="00EC7B53" w:rsidRPr="00401484">
        <w:rPr>
          <w:sz w:val="20"/>
          <w:szCs w:val="20"/>
          <w:lang w:val="en-US"/>
        </w:rPr>
        <w:t xml:space="preserve"> of these paragraphs indisputable as far as the 2,000 lumen limit application is concerned.</w:t>
      </w:r>
    </w:p>
    <w:p w:rsidR="005E7CF4" w:rsidRDefault="00EC7B53" w:rsidP="005E7CF4">
      <w:pPr>
        <w:spacing w:before="120" w:after="120" w:line="240" w:lineRule="atLeast"/>
        <w:ind w:left="2835" w:right="1469" w:hanging="1701"/>
        <w:jc w:val="both"/>
        <w:rPr>
          <w:rFonts w:eastAsia="Calibri"/>
          <w:sz w:val="20"/>
          <w:szCs w:val="20"/>
          <w:lang w:val="en-US" w:eastAsia="en-US"/>
        </w:rPr>
      </w:pPr>
      <w:r w:rsidRPr="00401484">
        <w:rPr>
          <w:rFonts w:eastAsia="Calibri"/>
          <w:sz w:val="20"/>
          <w:szCs w:val="20"/>
          <w:lang w:val="en-US" w:eastAsia="en-US"/>
        </w:rPr>
        <w:t>6.26.9.2.</w:t>
      </w:r>
      <w:r w:rsidRPr="00401484">
        <w:rPr>
          <w:rFonts w:eastAsia="Calibri"/>
          <w:sz w:val="20"/>
          <w:szCs w:val="20"/>
          <w:lang w:val="en-US" w:eastAsia="en-US"/>
        </w:rPr>
        <w:tab/>
        <w:t>Correction of a wrong reference.</w:t>
      </w:r>
    </w:p>
    <w:p w:rsidR="00D553D2" w:rsidRPr="00F01EF9" w:rsidRDefault="00401484" w:rsidP="005E7CF4">
      <w:pPr>
        <w:spacing w:before="120" w:after="120" w:line="240" w:lineRule="atLeast"/>
        <w:ind w:left="2835" w:right="1469" w:hanging="1701"/>
        <w:jc w:val="center"/>
        <w:rPr>
          <w:lang w:val="en-US"/>
        </w:rPr>
      </w:pPr>
      <w:r>
        <w:rPr>
          <w:lang w:val="en-US"/>
        </w:rPr>
        <w:t>__________________</w:t>
      </w:r>
    </w:p>
    <w:sectPr w:rsidR="00D553D2" w:rsidRPr="00F01EF9" w:rsidSect="005E7CF4">
      <w:pgSz w:w="12240" w:h="15840"/>
      <w:pgMar w:top="1135" w:right="1134" w:bottom="993"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vide Puglisi" w:date="2017-08-25T17:34:00Z" w:initials="DP">
    <w:p w:rsidR="00373992" w:rsidRPr="00373992" w:rsidRDefault="00373992">
      <w:pPr>
        <w:pStyle w:val="CommentText"/>
        <w:rPr>
          <w:lang w:val="en-GB"/>
        </w:rPr>
      </w:pPr>
      <w:r>
        <w:rPr>
          <w:rStyle w:val="CommentReference"/>
        </w:rPr>
        <w:annotationRef/>
      </w:r>
      <w:r w:rsidRPr="00373992">
        <w:rPr>
          <w:lang w:val="en-GB"/>
        </w:rPr>
        <w:t xml:space="preserve">If the SLR proposal to amend the definitions will be adopted (see </w:t>
      </w:r>
      <w:r w:rsidR="00477656">
        <w:rPr>
          <w:lang w:val="en-GB"/>
        </w:rPr>
        <w:t>GRE/2017/10</w:t>
      </w:r>
      <w:r w:rsidRPr="00373992">
        <w:rPr>
          <w:lang w:val="en-GB"/>
        </w:rPr>
        <w:t>)</w:t>
      </w:r>
      <w:r>
        <w:rPr>
          <w:lang w:val="en-GB"/>
        </w:rPr>
        <w:t>,</w:t>
      </w:r>
      <w:r w:rsidRPr="00373992">
        <w:rPr>
          <w:lang w:val="en-GB"/>
        </w:rPr>
        <w:t xml:space="preserve"> </w:t>
      </w:r>
      <w:r>
        <w:rPr>
          <w:lang w:val="en-GB"/>
        </w:rPr>
        <w:t>t</w:t>
      </w:r>
      <w:r w:rsidRPr="00373992">
        <w:rPr>
          <w:lang w:val="en-GB"/>
        </w:rPr>
        <w:t xml:space="preserve">his reference </w:t>
      </w:r>
      <w:r>
        <w:rPr>
          <w:lang w:val="en-GB"/>
        </w:rPr>
        <w:t xml:space="preserve">will become </w:t>
      </w:r>
      <w:r w:rsidRPr="00373992">
        <w:rPr>
          <w:highlight w:val="yellow"/>
          <w:lang w:val="en-GB"/>
        </w:rPr>
        <w:t>2.4.11.1.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5F" w:rsidRDefault="00EE7F5F" w:rsidP="006C43F8">
      <w:r>
        <w:separator/>
      </w:r>
    </w:p>
  </w:endnote>
  <w:endnote w:type="continuationSeparator" w:id="0">
    <w:p w:rsidR="00EE7F5F" w:rsidRDefault="00EE7F5F" w:rsidP="006C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5F" w:rsidRDefault="00EE7F5F" w:rsidP="006C43F8">
      <w:r>
        <w:separator/>
      </w:r>
    </w:p>
  </w:footnote>
  <w:footnote w:type="continuationSeparator" w:id="0">
    <w:p w:rsidR="00EE7F5F" w:rsidRDefault="00EE7F5F" w:rsidP="006C4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68EC"/>
    <w:multiLevelType w:val="hybridMultilevel"/>
    <w:tmpl w:val="F2289B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53"/>
    <w:rsid w:val="0013708B"/>
    <w:rsid w:val="0014785C"/>
    <w:rsid w:val="00237CF2"/>
    <w:rsid w:val="00373992"/>
    <w:rsid w:val="0037642B"/>
    <w:rsid w:val="00401484"/>
    <w:rsid w:val="00477656"/>
    <w:rsid w:val="00523262"/>
    <w:rsid w:val="005E7CF4"/>
    <w:rsid w:val="0064436C"/>
    <w:rsid w:val="006C43F8"/>
    <w:rsid w:val="00935DFE"/>
    <w:rsid w:val="00AA363D"/>
    <w:rsid w:val="00AB20E4"/>
    <w:rsid w:val="00C87F00"/>
    <w:rsid w:val="00CE5950"/>
    <w:rsid w:val="00D553D2"/>
    <w:rsid w:val="00DA4090"/>
    <w:rsid w:val="00DE1365"/>
    <w:rsid w:val="00EC7B53"/>
    <w:rsid w:val="00EE7F5F"/>
    <w:rsid w:val="00F01EF9"/>
    <w:rsid w:val="00F728AE"/>
    <w:rsid w:val="00F95263"/>
    <w:rsid w:val="00FD5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53"/>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qFormat/>
    <w:rsid w:val="00EC7B53"/>
    <w:pPr>
      <w:suppressAutoHyphens/>
      <w:spacing w:after="120" w:line="240" w:lineRule="atLeast"/>
      <w:ind w:left="2268" w:right="1134" w:hanging="1134"/>
      <w:jc w:val="both"/>
    </w:pPr>
    <w:rPr>
      <w:sz w:val="20"/>
      <w:szCs w:val="20"/>
      <w:lang w:val="en-GB" w:eastAsia="en-US"/>
    </w:rPr>
  </w:style>
  <w:style w:type="character" w:customStyle="1" w:styleId="paraChar">
    <w:name w:val="para Char"/>
    <w:link w:val="para"/>
    <w:rsid w:val="00EC7B53"/>
    <w:rPr>
      <w:rFonts w:ascii="Times New Roman" w:eastAsia="Times New Roman" w:hAnsi="Times New Roman" w:cs="Times New Roman"/>
      <w:sz w:val="20"/>
      <w:szCs w:val="20"/>
      <w:lang w:val="en-GB"/>
    </w:rPr>
  </w:style>
  <w:style w:type="paragraph" w:customStyle="1" w:styleId="HChG">
    <w:name w:val="_ H _Ch_G"/>
    <w:basedOn w:val="Normal"/>
    <w:next w:val="Normal"/>
    <w:link w:val="HChGChar"/>
    <w:qFormat/>
    <w:rsid w:val="00F01EF9"/>
    <w:pPr>
      <w:keepNext/>
      <w:keepLines/>
      <w:tabs>
        <w:tab w:val="right" w:pos="851"/>
      </w:tabs>
      <w:suppressAutoHyphens/>
      <w:spacing w:before="360" w:after="240" w:line="300" w:lineRule="exact"/>
      <w:ind w:left="1134" w:right="1134" w:hanging="1134"/>
    </w:pPr>
    <w:rPr>
      <w:b/>
      <w:sz w:val="28"/>
      <w:szCs w:val="20"/>
      <w:lang w:val="en-GB" w:eastAsia="en-US"/>
    </w:rPr>
  </w:style>
  <w:style w:type="character" w:customStyle="1" w:styleId="HChGChar">
    <w:name w:val="_ H _Ch_G Char"/>
    <w:link w:val="HChG"/>
    <w:rsid w:val="00F01EF9"/>
    <w:rPr>
      <w:rFonts w:ascii="Times New Roman" w:eastAsia="Times New Roman" w:hAnsi="Times New Roman" w:cs="Times New Roman"/>
      <w:b/>
      <w:sz w:val="28"/>
      <w:szCs w:val="20"/>
      <w:lang w:val="en-GB"/>
    </w:rPr>
  </w:style>
  <w:style w:type="character" w:styleId="CommentReference">
    <w:name w:val="annotation reference"/>
    <w:basedOn w:val="DefaultParagraphFont"/>
    <w:uiPriority w:val="99"/>
    <w:semiHidden/>
    <w:unhideWhenUsed/>
    <w:rsid w:val="00373992"/>
    <w:rPr>
      <w:sz w:val="16"/>
      <w:szCs w:val="16"/>
    </w:rPr>
  </w:style>
  <w:style w:type="paragraph" w:styleId="CommentText">
    <w:name w:val="annotation text"/>
    <w:basedOn w:val="Normal"/>
    <w:link w:val="CommentTextChar"/>
    <w:uiPriority w:val="99"/>
    <w:semiHidden/>
    <w:unhideWhenUsed/>
    <w:rsid w:val="00373992"/>
    <w:rPr>
      <w:sz w:val="20"/>
      <w:szCs w:val="20"/>
    </w:rPr>
  </w:style>
  <w:style w:type="character" w:customStyle="1" w:styleId="CommentTextChar">
    <w:name w:val="Comment Text Char"/>
    <w:basedOn w:val="DefaultParagraphFont"/>
    <w:link w:val="CommentText"/>
    <w:uiPriority w:val="99"/>
    <w:semiHidden/>
    <w:rsid w:val="00373992"/>
    <w:rPr>
      <w:rFonts w:ascii="Times New Roman" w:eastAsia="Times New Roma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373992"/>
    <w:rPr>
      <w:b/>
      <w:bCs/>
    </w:rPr>
  </w:style>
  <w:style w:type="character" w:customStyle="1" w:styleId="CommentSubjectChar">
    <w:name w:val="Comment Subject Char"/>
    <w:basedOn w:val="CommentTextChar"/>
    <w:link w:val="CommentSubject"/>
    <w:uiPriority w:val="99"/>
    <w:semiHidden/>
    <w:rsid w:val="00373992"/>
    <w:rPr>
      <w:rFonts w:ascii="Times New Roman" w:eastAsia="Times New Roman" w:hAnsi="Times New Roman" w:cs="Times New Roman"/>
      <w:b/>
      <w:bCs/>
      <w:sz w:val="20"/>
      <w:szCs w:val="20"/>
      <w:lang w:val="it-IT" w:eastAsia="it-IT"/>
    </w:rPr>
  </w:style>
  <w:style w:type="paragraph" w:styleId="BalloonText">
    <w:name w:val="Balloon Text"/>
    <w:basedOn w:val="Normal"/>
    <w:link w:val="BalloonTextChar"/>
    <w:uiPriority w:val="99"/>
    <w:semiHidden/>
    <w:unhideWhenUsed/>
    <w:rsid w:val="00373992"/>
    <w:rPr>
      <w:rFonts w:ascii="Tahoma" w:hAnsi="Tahoma" w:cs="Tahoma"/>
      <w:sz w:val="16"/>
      <w:szCs w:val="16"/>
    </w:rPr>
  </w:style>
  <w:style w:type="character" w:customStyle="1" w:styleId="BalloonTextChar">
    <w:name w:val="Balloon Text Char"/>
    <w:basedOn w:val="DefaultParagraphFont"/>
    <w:link w:val="BalloonText"/>
    <w:uiPriority w:val="99"/>
    <w:semiHidden/>
    <w:rsid w:val="00373992"/>
    <w:rPr>
      <w:rFonts w:ascii="Tahoma" w:eastAsia="Times New Roman" w:hAnsi="Tahoma" w:cs="Tahoma"/>
      <w:sz w:val="16"/>
      <w:szCs w:val="16"/>
      <w:lang w:val="it-IT" w:eastAsia="it-IT"/>
    </w:rPr>
  </w:style>
  <w:style w:type="paragraph" w:styleId="ListParagraph">
    <w:name w:val="List Paragraph"/>
    <w:basedOn w:val="Normal"/>
    <w:uiPriority w:val="34"/>
    <w:qFormat/>
    <w:rsid w:val="00CE5950"/>
    <w:pPr>
      <w:ind w:left="720"/>
      <w:contextualSpacing/>
    </w:pPr>
    <w:rPr>
      <w:lang w:val="en-GB"/>
    </w:rPr>
  </w:style>
  <w:style w:type="paragraph" w:styleId="Header">
    <w:name w:val="header"/>
    <w:basedOn w:val="Normal"/>
    <w:link w:val="HeaderChar"/>
    <w:uiPriority w:val="99"/>
    <w:semiHidden/>
    <w:unhideWhenUsed/>
    <w:rsid w:val="006C43F8"/>
    <w:pPr>
      <w:tabs>
        <w:tab w:val="center" w:pos="4513"/>
        <w:tab w:val="right" w:pos="9026"/>
      </w:tabs>
    </w:pPr>
  </w:style>
  <w:style w:type="character" w:customStyle="1" w:styleId="HeaderChar">
    <w:name w:val="Header Char"/>
    <w:basedOn w:val="DefaultParagraphFont"/>
    <w:link w:val="Header"/>
    <w:uiPriority w:val="99"/>
    <w:semiHidden/>
    <w:rsid w:val="006C43F8"/>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semiHidden/>
    <w:unhideWhenUsed/>
    <w:rsid w:val="006C43F8"/>
    <w:pPr>
      <w:tabs>
        <w:tab w:val="center" w:pos="4513"/>
        <w:tab w:val="right" w:pos="9026"/>
      </w:tabs>
    </w:pPr>
  </w:style>
  <w:style w:type="character" w:customStyle="1" w:styleId="FooterChar">
    <w:name w:val="Footer Char"/>
    <w:basedOn w:val="DefaultParagraphFont"/>
    <w:link w:val="Footer"/>
    <w:uiPriority w:val="99"/>
    <w:semiHidden/>
    <w:rsid w:val="006C43F8"/>
    <w:rPr>
      <w:rFonts w:ascii="Times New Roman" w:eastAsia="Times New Roman" w:hAnsi="Times New Roman" w:cs="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53"/>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qFormat/>
    <w:rsid w:val="00EC7B53"/>
    <w:pPr>
      <w:suppressAutoHyphens/>
      <w:spacing w:after="120" w:line="240" w:lineRule="atLeast"/>
      <w:ind w:left="2268" w:right="1134" w:hanging="1134"/>
      <w:jc w:val="both"/>
    </w:pPr>
    <w:rPr>
      <w:sz w:val="20"/>
      <w:szCs w:val="20"/>
      <w:lang w:val="en-GB" w:eastAsia="en-US"/>
    </w:rPr>
  </w:style>
  <w:style w:type="character" w:customStyle="1" w:styleId="paraChar">
    <w:name w:val="para Char"/>
    <w:link w:val="para"/>
    <w:rsid w:val="00EC7B53"/>
    <w:rPr>
      <w:rFonts w:ascii="Times New Roman" w:eastAsia="Times New Roman" w:hAnsi="Times New Roman" w:cs="Times New Roman"/>
      <w:sz w:val="20"/>
      <w:szCs w:val="20"/>
      <w:lang w:val="en-GB"/>
    </w:rPr>
  </w:style>
  <w:style w:type="paragraph" w:customStyle="1" w:styleId="HChG">
    <w:name w:val="_ H _Ch_G"/>
    <w:basedOn w:val="Normal"/>
    <w:next w:val="Normal"/>
    <w:link w:val="HChGChar"/>
    <w:qFormat/>
    <w:rsid w:val="00F01EF9"/>
    <w:pPr>
      <w:keepNext/>
      <w:keepLines/>
      <w:tabs>
        <w:tab w:val="right" w:pos="851"/>
      </w:tabs>
      <w:suppressAutoHyphens/>
      <w:spacing w:before="360" w:after="240" w:line="300" w:lineRule="exact"/>
      <w:ind w:left="1134" w:right="1134" w:hanging="1134"/>
    </w:pPr>
    <w:rPr>
      <w:b/>
      <w:sz w:val="28"/>
      <w:szCs w:val="20"/>
      <w:lang w:val="en-GB" w:eastAsia="en-US"/>
    </w:rPr>
  </w:style>
  <w:style w:type="character" w:customStyle="1" w:styleId="HChGChar">
    <w:name w:val="_ H _Ch_G Char"/>
    <w:link w:val="HChG"/>
    <w:rsid w:val="00F01EF9"/>
    <w:rPr>
      <w:rFonts w:ascii="Times New Roman" w:eastAsia="Times New Roman" w:hAnsi="Times New Roman" w:cs="Times New Roman"/>
      <w:b/>
      <w:sz w:val="28"/>
      <w:szCs w:val="20"/>
      <w:lang w:val="en-GB"/>
    </w:rPr>
  </w:style>
  <w:style w:type="character" w:styleId="CommentReference">
    <w:name w:val="annotation reference"/>
    <w:basedOn w:val="DefaultParagraphFont"/>
    <w:uiPriority w:val="99"/>
    <w:semiHidden/>
    <w:unhideWhenUsed/>
    <w:rsid w:val="00373992"/>
    <w:rPr>
      <w:sz w:val="16"/>
      <w:szCs w:val="16"/>
    </w:rPr>
  </w:style>
  <w:style w:type="paragraph" w:styleId="CommentText">
    <w:name w:val="annotation text"/>
    <w:basedOn w:val="Normal"/>
    <w:link w:val="CommentTextChar"/>
    <w:uiPriority w:val="99"/>
    <w:semiHidden/>
    <w:unhideWhenUsed/>
    <w:rsid w:val="00373992"/>
    <w:rPr>
      <w:sz w:val="20"/>
      <w:szCs w:val="20"/>
    </w:rPr>
  </w:style>
  <w:style w:type="character" w:customStyle="1" w:styleId="CommentTextChar">
    <w:name w:val="Comment Text Char"/>
    <w:basedOn w:val="DefaultParagraphFont"/>
    <w:link w:val="CommentText"/>
    <w:uiPriority w:val="99"/>
    <w:semiHidden/>
    <w:rsid w:val="00373992"/>
    <w:rPr>
      <w:rFonts w:ascii="Times New Roman" w:eastAsia="Times New Roma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373992"/>
    <w:rPr>
      <w:b/>
      <w:bCs/>
    </w:rPr>
  </w:style>
  <w:style w:type="character" w:customStyle="1" w:styleId="CommentSubjectChar">
    <w:name w:val="Comment Subject Char"/>
    <w:basedOn w:val="CommentTextChar"/>
    <w:link w:val="CommentSubject"/>
    <w:uiPriority w:val="99"/>
    <w:semiHidden/>
    <w:rsid w:val="00373992"/>
    <w:rPr>
      <w:rFonts w:ascii="Times New Roman" w:eastAsia="Times New Roman" w:hAnsi="Times New Roman" w:cs="Times New Roman"/>
      <w:b/>
      <w:bCs/>
      <w:sz w:val="20"/>
      <w:szCs w:val="20"/>
      <w:lang w:val="it-IT" w:eastAsia="it-IT"/>
    </w:rPr>
  </w:style>
  <w:style w:type="paragraph" w:styleId="BalloonText">
    <w:name w:val="Balloon Text"/>
    <w:basedOn w:val="Normal"/>
    <w:link w:val="BalloonTextChar"/>
    <w:uiPriority w:val="99"/>
    <w:semiHidden/>
    <w:unhideWhenUsed/>
    <w:rsid w:val="00373992"/>
    <w:rPr>
      <w:rFonts w:ascii="Tahoma" w:hAnsi="Tahoma" w:cs="Tahoma"/>
      <w:sz w:val="16"/>
      <w:szCs w:val="16"/>
    </w:rPr>
  </w:style>
  <w:style w:type="character" w:customStyle="1" w:styleId="BalloonTextChar">
    <w:name w:val="Balloon Text Char"/>
    <w:basedOn w:val="DefaultParagraphFont"/>
    <w:link w:val="BalloonText"/>
    <w:uiPriority w:val="99"/>
    <w:semiHidden/>
    <w:rsid w:val="00373992"/>
    <w:rPr>
      <w:rFonts w:ascii="Tahoma" w:eastAsia="Times New Roman" w:hAnsi="Tahoma" w:cs="Tahoma"/>
      <w:sz w:val="16"/>
      <w:szCs w:val="16"/>
      <w:lang w:val="it-IT" w:eastAsia="it-IT"/>
    </w:rPr>
  </w:style>
  <w:style w:type="paragraph" w:styleId="ListParagraph">
    <w:name w:val="List Paragraph"/>
    <w:basedOn w:val="Normal"/>
    <w:uiPriority w:val="34"/>
    <w:qFormat/>
    <w:rsid w:val="00CE5950"/>
    <w:pPr>
      <w:ind w:left="720"/>
      <w:contextualSpacing/>
    </w:pPr>
    <w:rPr>
      <w:lang w:val="en-GB"/>
    </w:rPr>
  </w:style>
  <w:style w:type="paragraph" w:styleId="Header">
    <w:name w:val="header"/>
    <w:basedOn w:val="Normal"/>
    <w:link w:val="HeaderChar"/>
    <w:uiPriority w:val="99"/>
    <w:semiHidden/>
    <w:unhideWhenUsed/>
    <w:rsid w:val="006C43F8"/>
    <w:pPr>
      <w:tabs>
        <w:tab w:val="center" w:pos="4513"/>
        <w:tab w:val="right" w:pos="9026"/>
      </w:tabs>
    </w:pPr>
  </w:style>
  <w:style w:type="character" w:customStyle="1" w:styleId="HeaderChar">
    <w:name w:val="Header Char"/>
    <w:basedOn w:val="DefaultParagraphFont"/>
    <w:link w:val="Header"/>
    <w:uiPriority w:val="99"/>
    <w:semiHidden/>
    <w:rsid w:val="006C43F8"/>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semiHidden/>
    <w:unhideWhenUsed/>
    <w:rsid w:val="006C43F8"/>
    <w:pPr>
      <w:tabs>
        <w:tab w:val="center" w:pos="4513"/>
        <w:tab w:val="right" w:pos="9026"/>
      </w:tabs>
    </w:pPr>
  </w:style>
  <w:style w:type="character" w:customStyle="1" w:styleId="FooterChar">
    <w:name w:val="Footer Char"/>
    <w:basedOn w:val="DefaultParagraphFont"/>
    <w:link w:val="Footer"/>
    <w:uiPriority w:val="99"/>
    <w:semiHidden/>
    <w:rsid w:val="006C43F8"/>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1269</Words>
  <Characters>7237</Characters>
  <Application>Microsoft Office Word</Application>
  <DocSecurity>0</DocSecurity>
  <Lines>60</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FIATGROUP</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u070042</dc:creator>
  <cp:lastModifiedBy>Konstantin Glukhenkiy</cp:lastModifiedBy>
  <cp:revision>3</cp:revision>
  <dcterms:created xsi:type="dcterms:W3CDTF">2017-09-29T09:36:00Z</dcterms:created>
  <dcterms:modified xsi:type="dcterms:W3CDTF">2017-10-02T09:09:00Z</dcterms:modified>
</cp:coreProperties>
</file>