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B522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B5220" w:rsidP="009B5220">
            <w:pPr>
              <w:jc w:val="right"/>
            </w:pPr>
            <w:r w:rsidRPr="009B5220">
              <w:rPr>
                <w:sz w:val="40"/>
              </w:rPr>
              <w:t>ECE</w:t>
            </w:r>
            <w:r>
              <w:t>/TRANS/WP.29/GRE/78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B5220" w:rsidP="00C97039">
            <w:pPr>
              <w:spacing w:before="240"/>
            </w:pPr>
            <w:r>
              <w:t>Distr. générale</w:t>
            </w:r>
          </w:p>
          <w:p w:rsidR="009B5220" w:rsidRDefault="009B5220" w:rsidP="009B5220">
            <w:pPr>
              <w:spacing w:line="240" w:lineRule="exact"/>
            </w:pPr>
            <w:r>
              <w:t>20 novembre 2017</w:t>
            </w:r>
          </w:p>
          <w:p w:rsidR="009B5220" w:rsidRDefault="009B5220" w:rsidP="009B5220">
            <w:pPr>
              <w:spacing w:line="240" w:lineRule="exact"/>
            </w:pPr>
            <w:r>
              <w:t>Français</w:t>
            </w:r>
          </w:p>
          <w:p w:rsidR="009B5220" w:rsidRPr="00DB58B5" w:rsidRDefault="009B5220" w:rsidP="009B522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0672B" w:rsidRPr="00F65470" w:rsidRDefault="00D0672B" w:rsidP="00F65470">
      <w:pPr>
        <w:spacing w:before="120"/>
        <w:rPr>
          <w:b/>
          <w:sz w:val="24"/>
          <w:szCs w:val="24"/>
        </w:rPr>
      </w:pPr>
      <w:r w:rsidRPr="00F65470">
        <w:rPr>
          <w:b/>
          <w:sz w:val="24"/>
          <w:szCs w:val="24"/>
          <w:lang w:val="fr-FR"/>
        </w:rPr>
        <w:t xml:space="preserve">Forum mondial de l’harmonisation des Règlements </w:t>
      </w:r>
      <w:r w:rsidR="00F65470">
        <w:rPr>
          <w:b/>
          <w:sz w:val="24"/>
          <w:szCs w:val="24"/>
          <w:lang w:val="fr-FR"/>
        </w:rPr>
        <w:br/>
      </w:r>
      <w:r w:rsidRPr="00F65470">
        <w:rPr>
          <w:b/>
          <w:sz w:val="24"/>
          <w:szCs w:val="24"/>
          <w:lang w:val="fr-FR"/>
        </w:rPr>
        <w:t>concernant les véhicules</w:t>
      </w:r>
    </w:p>
    <w:p w:rsidR="00D0672B" w:rsidRPr="00F65470" w:rsidRDefault="00D0672B" w:rsidP="00F65470">
      <w:pPr>
        <w:spacing w:before="120"/>
        <w:rPr>
          <w:b/>
          <w:bCs/>
        </w:rPr>
      </w:pPr>
      <w:r w:rsidRPr="00F65470">
        <w:rPr>
          <w:b/>
          <w:lang w:val="fr-FR"/>
        </w:rPr>
        <w:t>Groupe de travail de l’éclairage et de la signalisation lumineuse</w:t>
      </w:r>
    </w:p>
    <w:p w:rsidR="00D0672B" w:rsidRPr="00F65470" w:rsidRDefault="00D0672B" w:rsidP="00F65470">
      <w:pPr>
        <w:spacing w:before="120"/>
        <w:rPr>
          <w:b/>
        </w:rPr>
      </w:pPr>
      <w:r w:rsidRPr="00F65470">
        <w:rPr>
          <w:b/>
          <w:lang w:val="fr-FR"/>
        </w:rPr>
        <w:t>Soixante-dix-huitième session</w:t>
      </w:r>
    </w:p>
    <w:p w:rsidR="00D0672B" w:rsidRPr="00F65470" w:rsidRDefault="00D0672B" w:rsidP="00D0672B">
      <w:r w:rsidRPr="00F65470">
        <w:rPr>
          <w:lang w:val="fr-FR"/>
        </w:rPr>
        <w:t>Genève, 24-27</w:t>
      </w:r>
      <w:r w:rsidR="00F65470">
        <w:rPr>
          <w:lang w:val="fr-FR"/>
        </w:rPr>
        <w:t> </w:t>
      </w:r>
      <w:r w:rsidRPr="00F65470">
        <w:rPr>
          <w:lang w:val="fr-FR"/>
        </w:rPr>
        <w:t>octobre 2017</w:t>
      </w:r>
    </w:p>
    <w:p w:rsidR="00D0672B" w:rsidRDefault="00D0672B" w:rsidP="00F65470">
      <w:pPr>
        <w:pStyle w:val="HChG"/>
        <w:rPr>
          <w:lang w:val="fr-FR"/>
        </w:rPr>
      </w:pPr>
      <w:r w:rsidRPr="00F65470">
        <w:rPr>
          <w:lang w:val="fr-FR"/>
        </w:rPr>
        <w:tab/>
      </w:r>
      <w:r w:rsidRPr="00F65470">
        <w:rPr>
          <w:lang w:val="fr-FR"/>
        </w:rPr>
        <w:tab/>
        <w:t xml:space="preserve">Rapport du Groupe de travail de l’éclairage </w:t>
      </w:r>
      <w:r w:rsidR="00F65470">
        <w:rPr>
          <w:lang w:val="fr-FR"/>
        </w:rPr>
        <w:br/>
      </w:r>
      <w:r w:rsidRPr="00F65470">
        <w:rPr>
          <w:lang w:val="fr-FR"/>
        </w:rPr>
        <w:t xml:space="preserve">et de la signalisation lumineuse </w:t>
      </w:r>
      <w:r w:rsidR="00F65470">
        <w:rPr>
          <w:lang w:val="fr-FR"/>
        </w:rPr>
        <w:br/>
      </w:r>
      <w:r w:rsidRPr="00F65470">
        <w:rPr>
          <w:lang w:val="fr-FR"/>
        </w:rPr>
        <w:t>sur sa soixante-dix-huitième session</w:t>
      </w:r>
      <w:bookmarkStart w:id="1" w:name="_Toc365898453"/>
      <w:bookmarkStart w:id="2" w:name="_Toc369772204"/>
      <w:bookmarkEnd w:id="1"/>
      <w:bookmarkEnd w:id="2"/>
    </w:p>
    <w:p w:rsidR="00F65470" w:rsidRPr="00F65470" w:rsidRDefault="00F65470" w:rsidP="00F65470">
      <w:pPr>
        <w:spacing w:before="360" w:after="120"/>
        <w:rPr>
          <w:sz w:val="28"/>
        </w:rPr>
      </w:pPr>
      <w:r w:rsidRPr="00F65470">
        <w:rPr>
          <w:sz w:val="28"/>
        </w:rPr>
        <w:t>Table des matières</w:t>
      </w:r>
    </w:p>
    <w:p w:rsidR="00F65470" w:rsidRPr="00F65470" w:rsidRDefault="00F65470" w:rsidP="00F65470">
      <w:pPr>
        <w:tabs>
          <w:tab w:val="right" w:pos="8929"/>
          <w:tab w:val="right" w:pos="9638"/>
        </w:tabs>
        <w:spacing w:after="120"/>
        <w:ind w:left="283"/>
        <w:rPr>
          <w:i/>
          <w:sz w:val="18"/>
        </w:rPr>
      </w:pPr>
      <w:r w:rsidRPr="00F65470">
        <w:rPr>
          <w:i/>
          <w:sz w:val="18"/>
        </w:rPr>
        <w:tab/>
        <w:t>Paragraphes</w:t>
      </w:r>
      <w:r w:rsidRPr="00F65470">
        <w:rPr>
          <w:i/>
          <w:sz w:val="18"/>
        </w:rPr>
        <w:tab/>
        <w:t>Page</w:t>
      </w:r>
    </w:p>
    <w:p w:rsidR="00F65470" w:rsidRDefault="00F65470" w:rsidP="00F65470">
      <w:pPr>
        <w:tabs>
          <w:tab w:val="right" w:pos="850"/>
          <w:tab w:val="right" w:leader="dot" w:pos="7654"/>
          <w:tab w:val="right" w:pos="8929"/>
          <w:tab w:val="right" w:pos="9638"/>
        </w:tabs>
        <w:spacing w:after="120"/>
        <w:ind w:left="1134" w:hanging="1134"/>
      </w:pPr>
      <w:r>
        <w:tab/>
        <w:t>I.</w:t>
      </w:r>
      <w:r>
        <w:tab/>
      </w:r>
      <w:r w:rsidR="008E05CD">
        <w:rPr>
          <w:lang w:val="fr-FR"/>
        </w:rPr>
        <w:t>Participation</w:t>
      </w:r>
      <w:r>
        <w:tab/>
      </w:r>
      <w:r>
        <w:tab/>
      </w:r>
      <w:r w:rsidR="008E05CD">
        <w:t>1</w:t>
      </w:r>
      <w:r>
        <w:tab/>
      </w:r>
      <w:r w:rsidR="00FE2475">
        <w:t>3</w:t>
      </w:r>
    </w:p>
    <w:p w:rsidR="00F65470" w:rsidRDefault="00F65470" w:rsidP="00F65470">
      <w:pPr>
        <w:tabs>
          <w:tab w:val="right" w:pos="850"/>
          <w:tab w:val="right" w:leader="dot" w:pos="7654"/>
          <w:tab w:val="right" w:pos="8929"/>
          <w:tab w:val="right" w:pos="9638"/>
        </w:tabs>
        <w:spacing w:after="120"/>
        <w:ind w:left="1134" w:hanging="1134"/>
      </w:pPr>
      <w:r>
        <w:tab/>
        <w:t>II.</w:t>
      </w:r>
      <w:r>
        <w:tab/>
      </w:r>
      <w:r w:rsidR="00FE2475">
        <w:rPr>
          <w:lang w:val="fr-FR"/>
        </w:rPr>
        <w:t>Adoption de l’ordre du jour (point 1 de l’ordre du jour)</w:t>
      </w:r>
      <w:r>
        <w:tab/>
      </w:r>
      <w:r>
        <w:tab/>
      </w:r>
      <w:r w:rsidR="008E05CD">
        <w:t>2−4</w:t>
      </w:r>
      <w:r>
        <w:tab/>
      </w:r>
      <w:r w:rsidR="00FE2475">
        <w:t>3</w:t>
      </w:r>
    </w:p>
    <w:p w:rsidR="00F65470" w:rsidRDefault="00F65470" w:rsidP="00F65470">
      <w:pPr>
        <w:tabs>
          <w:tab w:val="right" w:pos="850"/>
          <w:tab w:val="right" w:leader="dot" w:pos="7654"/>
          <w:tab w:val="right" w:pos="8929"/>
          <w:tab w:val="right" w:pos="9638"/>
        </w:tabs>
        <w:spacing w:after="120"/>
        <w:ind w:left="1134" w:hanging="1134"/>
      </w:pPr>
      <w:r>
        <w:tab/>
        <w:t>III.</w:t>
      </w:r>
      <w:r>
        <w:tab/>
      </w:r>
      <w:r w:rsidR="00FE2475">
        <w:rPr>
          <w:lang w:val="fr-FR"/>
        </w:rPr>
        <w:t xml:space="preserve">Accord de 1998 − Règlements techniques mondiaux : élaboration </w:t>
      </w:r>
      <w:r w:rsidR="00FE2475">
        <w:rPr>
          <w:lang w:val="fr-FR"/>
        </w:rPr>
        <w:br/>
        <w:t>(point 2 de l’ordre du jour)</w:t>
      </w:r>
      <w:r>
        <w:tab/>
      </w:r>
      <w:r>
        <w:tab/>
      </w:r>
      <w:r w:rsidR="008E05CD">
        <w:t>5</w:t>
      </w:r>
      <w:r>
        <w:tab/>
      </w:r>
      <w:r w:rsidR="00FE2475">
        <w:t>3</w:t>
      </w:r>
    </w:p>
    <w:p w:rsidR="00F65470" w:rsidRDefault="00F65470" w:rsidP="00F65470">
      <w:pPr>
        <w:tabs>
          <w:tab w:val="right" w:pos="850"/>
          <w:tab w:val="right" w:leader="dot" w:pos="7654"/>
          <w:tab w:val="right" w:pos="8929"/>
          <w:tab w:val="right" w:pos="9638"/>
        </w:tabs>
        <w:spacing w:after="120"/>
        <w:ind w:left="1134" w:hanging="1134"/>
      </w:pPr>
      <w:r>
        <w:tab/>
        <w:t>IV.</w:t>
      </w:r>
      <w:r>
        <w:tab/>
      </w:r>
      <w:r w:rsidR="00FE2475">
        <w:rPr>
          <w:lang w:val="fr-FR"/>
        </w:rPr>
        <w:t>Accord de 1997 − Règles : élaboration (point 3 de l’ordre du jour)</w:t>
      </w:r>
      <w:r>
        <w:tab/>
      </w:r>
      <w:r>
        <w:tab/>
      </w:r>
      <w:r w:rsidR="008E05CD">
        <w:t>6</w:t>
      </w:r>
      <w:r>
        <w:tab/>
      </w:r>
      <w:r w:rsidR="00FE2475">
        <w:t>3</w:t>
      </w:r>
    </w:p>
    <w:p w:rsidR="00F65470" w:rsidRDefault="00F65470" w:rsidP="00F65470">
      <w:pPr>
        <w:tabs>
          <w:tab w:val="right" w:pos="850"/>
          <w:tab w:val="right" w:leader="dot" w:pos="7654"/>
          <w:tab w:val="right" w:pos="8929"/>
          <w:tab w:val="right" w:pos="9638"/>
        </w:tabs>
        <w:spacing w:after="120"/>
        <w:ind w:left="1134" w:hanging="1134"/>
      </w:pPr>
      <w:r>
        <w:tab/>
        <w:t>V.</w:t>
      </w:r>
      <w:r>
        <w:tab/>
      </w:r>
      <w:r w:rsidR="00FE2475">
        <w:rPr>
          <w:lang w:val="fr-FR"/>
        </w:rPr>
        <w:t xml:space="preserve">Simplification des Règlements concernant l’éclairage et la signalisation </w:t>
      </w:r>
      <w:r w:rsidR="00FE2475">
        <w:rPr>
          <w:lang w:val="fr-FR"/>
        </w:rPr>
        <w:br/>
        <w:t>lumineuse (point 4 de l’ordre du jour)</w:t>
      </w:r>
      <w:r>
        <w:tab/>
      </w:r>
      <w:r>
        <w:tab/>
      </w:r>
      <w:r w:rsidR="008E05CD">
        <w:t>7−14</w:t>
      </w:r>
      <w:r>
        <w:tab/>
      </w:r>
      <w:r w:rsidR="00FE2475">
        <w:t>3</w:t>
      </w:r>
    </w:p>
    <w:p w:rsidR="00F65470" w:rsidRDefault="00F65470" w:rsidP="00F65470">
      <w:pPr>
        <w:tabs>
          <w:tab w:val="right" w:pos="850"/>
          <w:tab w:val="right" w:leader="dot" w:pos="7654"/>
          <w:tab w:val="right" w:pos="8929"/>
          <w:tab w:val="right" w:pos="9638"/>
        </w:tabs>
        <w:spacing w:after="120"/>
        <w:ind w:left="1134" w:hanging="1134"/>
      </w:pPr>
      <w:r>
        <w:tab/>
        <w:t>VI.</w:t>
      </w:r>
      <w:r>
        <w:tab/>
      </w:r>
      <w:r w:rsidR="00FE2475">
        <w:rPr>
          <w:lang w:val="fr-FR"/>
        </w:rPr>
        <w:t>Règlements n</w:t>
      </w:r>
      <w:r w:rsidR="00FE2475" w:rsidRPr="00D47123">
        <w:rPr>
          <w:vertAlign w:val="superscript"/>
          <w:lang w:val="fr-FR"/>
        </w:rPr>
        <w:t>os</w:t>
      </w:r>
      <w:r w:rsidR="00FE2475">
        <w:rPr>
          <w:lang w:val="fr-FR"/>
        </w:rPr>
        <w:t> 37 (Lampes à incandescence), 99 (Sources lumineuses à décharge),</w:t>
      </w:r>
      <w:r w:rsidR="00FE2475">
        <w:rPr>
          <w:lang w:val="fr-FR"/>
        </w:rPr>
        <w:br/>
        <w:t xml:space="preserve">128 (Sources lumineuses à diodes électroluminescentes) et Résolution </w:t>
      </w:r>
      <w:r w:rsidR="00FE2475">
        <w:rPr>
          <w:lang w:val="fr-FR"/>
        </w:rPr>
        <w:br/>
        <w:t xml:space="preserve">d’ensemble sur une spécification commune des catégories </w:t>
      </w:r>
      <w:r w:rsidR="00FE2475">
        <w:rPr>
          <w:lang w:val="fr-FR"/>
        </w:rPr>
        <w:br/>
        <w:t>de sources lumineuses (point 5 de l’ordre du jour)</w:t>
      </w:r>
      <w:r>
        <w:tab/>
      </w:r>
      <w:r>
        <w:tab/>
      </w:r>
      <w:r w:rsidR="008E05CD">
        <w:t>15−21</w:t>
      </w:r>
      <w:r>
        <w:tab/>
      </w:r>
      <w:r w:rsidR="00FE2475">
        <w:t>5</w:t>
      </w:r>
    </w:p>
    <w:p w:rsidR="00F65470" w:rsidRDefault="00F65470" w:rsidP="00F65470">
      <w:pPr>
        <w:tabs>
          <w:tab w:val="right" w:pos="850"/>
          <w:tab w:val="right" w:leader="dot" w:pos="7654"/>
          <w:tab w:val="right" w:pos="8929"/>
          <w:tab w:val="right" w:pos="9638"/>
        </w:tabs>
        <w:spacing w:after="120"/>
        <w:ind w:left="1134" w:hanging="1134"/>
      </w:pPr>
      <w:r>
        <w:tab/>
        <w:t>VII.</w:t>
      </w:r>
      <w:r>
        <w:tab/>
      </w:r>
      <w:r w:rsidR="00FE2475">
        <w:rPr>
          <w:lang w:val="fr-FR"/>
        </w:rPr>
        <w:t>Règlement n</w:t>
      </w:r>
      <w:r w:rsidR="00FE2475" w:rsidRPr="00551984">
        <w:rPr>
          <w:vertAlign w:val="superscript"/>
          <w:lang w:val="fr-FR"/>
        </w:rPr>
        <w:t>o</w:t>
      </w:r>
      <w:r w:rsidR="00FE2475">
        <w:rPr>
          <w:lang w:val="fr-FR"/>
        </w:rPr>
        <w:t xml:space="preserve"> 48 (Installation des dispositifs d’éclairage et de signalisation </w:t>
      </w:r>
      <w:r w:rsidR="00FE2475">
        <w:rPr>
          <w:lang w:val="fr-FR"/>
        </w:rPr>
        <w:br/>
        <w:t>lumineuse) (point 6 de l’ordre du jour)</w:t>
      </w:r>
      <w:r>
        <w:tab/>
      </w:r>
      <w:r>
        <w:tab/>
      </w:r>
      <w:r w:rsidR="008E05CD">
        <w:t>22−27</w:t>
      </w:r>
      <w:r>
        <w:tab/>
      </w:r>
      <w:r w:rsidR="00FE2475">
        <w:t>6</w:t>
      </w:r>
    </w:p>
    <w:p w:rsidR="00F65470" w:rsidRDefault="00F65470" w:rsidP="00F65470">
      <w:pPr>
        <w:tabs>
          <w:tab w:val="right" w:leader="dot" w:pos="7654"/>
          <w:tab w:val="right" w:pos="8929"/>
          <w:tab w:val="right" w:pos="9638"/>
        </w:tabs>
        <w:spacing w:after="120"/>
        <w:ind w:left="1559" w:hanging="425"/>
      </w:pPr>
      <w:r>
        <w:t>A.</w:t>
      </w:r>
      <w:r>
        <w:tab/>
      </w:r>
      <w:r w:rsidR="00FE2475">
        <w:rPr>
          <w:lang w:val="fr-FR"/>
        </w:rPr>
        <w:t>Propositions d’amendements aux séries 05 et 06 d’amendements</w:t>
      </w:r>
      <w:r>
        <w:tab/>
      </w:r>
      <w:r>
        <w:tab/>
      </w:r>
      <w:r w:rsidR="008E05CD">
        <w:t>22−24</w:t>
      </w:r>
      <w:r>
        <w:tab/>
      </w:r>
      <w:r w:rsidR="00FE2475">
        <w:t>6</w:t>
      </w:r>
    </w:p>
    <w:p w:rsidR="00F65470" w:rsidRDefault="00F65470" w:rsidP="00F65470">
      <w:pPr>
        <w:tabs>
          <w:tab w:val="right" w:leader="dot" w:pos="7654"/>
          <w:tab w:val="right" w:pos="8929"/>
          <w:tab w:val="right" w:pos="9638"/>
        </w:tabs>
        <w:spacing w:after="120"/>
        <w:ind w:left="1559" w:hanging="425"/>
      </w:pPr>
      <w:r>
        <w:t>B.</w:t>
      </w:r>
      <w:r>
        <w:tab/>
      </w:r>
      <w:r w:rsidR="00FE2475">
        <w:rPr>
          <w:lang w:val="fr-FR"/>
        </w:rPr>
        <w:t>Autres propositions d’amendements au Règlement n</w:t>
      </w:r>
      <w:r w:rsidR="00FE2475" w:rsidRPr="00B53341">
        <w:rPr>
          <w:vertAlign w:val="superscript"/>
          <w:lang w:val="fr-FR"/>
        </w:rPr>
        <w:t>o</w:t>
      </w:r>
      <w:r w:rsidR="00FE2475">
        <w:rPr>
          <w:lang w:val="fr-FR"/>
        </w:rPr>
        <w:t> 48</w:t>
      </w:r>
      <w:r>
        <w:tab/>
      </w:r>
      <w:r>
        <w:tab/>
      </w:r>
      <w:r w:rsidR="008E05CD">
        <w:t>25−27</w:t>
      </w:r>
      <w:r>
        <w:tab/>
      </w:r>
      <w:r w:rsidR="00FE2475">
        <w:t>7</w:t>
      </w:r>
    </w:p>
    <w:p w:rsidR="00F65470" w:rsidRDefault="00F65470" w:rsidP="00F65470">
      <w:pPr>
        <w:tabs>
          <w:tab w:val="right" w:pos="850"/>
          <w:tab w:val="right" w:leader="dot" w:pos="7654"/>
          <w:tab w:val="right" w:pos="8929"/>
          <w:tab w:val="right" w:pos="9638"/>
        </w:tabs>
        <w:spacing w:after="120"/>
        <w:ind w:left="1134" w:hanging="1134"/>
      </w:pPr>
      <w:r>
        <w:tab/>
        <w:t>VIII.</w:t>
      </w:r>
      <w:r>
        <w:tab/>
      </w:r>
      <w:r w:rsidR="00FE2475">
        <w:rPr>
          <w:lang w:val="fr-FR"/>
        </w:rPr>
        <w:t>Autres Règlements (point 7 de l’ordre du jour)</w:t>
      </w:r>
      <w:r>
        <w:tab/>
      </w:r>
      <w:r>
        <w:tab/>
      </w:r>
      <w:r w:rsidR="008E05CD">
        <w:t>28−31</w:t>
      </w:r>
      <w:r>
        <w:tab/>
      </w:r>
      <w:r w:rsidR="00FE2475">
        <w:t>7</w:t>
      </w:r>
    </w:p>
    <w:p w:rsidR="00F65470" w:rsidRDefault="00F65470" w:rsidP="00F65470">
      <w:pPr>
        <w:tabs>
          <w:tab w:val="right" w:leader="dot" w:pos="7654"/>
          <w:tab w:val="right" w:pos="8929"/>
          <w:tab w:val="right" w:pos="9638"/>
        </w:tabs>
        <w:spacing w:after="120"/>
        <w:ind w:left="1559" w:hanging="425"/>
      </w:pPr>
      <w:r>
        <w:t>A.</w:t>
      </w:r>
      <w:r>
        <w:tab/>
      </w:r>
      <w:r w:rsidR="00FE2475">
        <w:rPr>
          <w:lang w:val="fr-FR"/>
        </w:rPr>
        <w:t>Règlement n</w:t>
      </w:r>
      <w:r w:rsidR="00FE2475" w:rsidRPr="00B53341">
        <w:rPr>
          <w:vertAlign w:val="superscript"/>
          <w:lang w:val="fr-FR"/>
        </w:rPr>
        <w:t>o</w:t>
      </w:r>
      <w:r w:rsidR="00FE2475">
        <w:rPr>
          <w:lang w:val="fr-FR"/>
        </w:rPr>
        <w:t> 10 (Compatibilité électromagnétique)</w:t>
      </w:r>
      <w:r>
        <w:tab/>
      </w:r>
      <w:r>
        <w:tab/>
      </w:r>
      <w:r w:rsidR="008E05CD">
        <w:t>28−29</w:t>
      </w:r>
      <w:r>
        <w:tab/>
      </w:r>
      <w:r w:rsidR="00FE2475">
        <w:t>7</w:t>
      </w:r>
    </w:p>
    <w:p w:rsidR="00F65470" w:rsidRDefault="00F65470" w:rsidP="00F65470">
      <w:pPr>
        <w:tabs>
          <w:tab w:val="right" w:leader="dot" w:pos="7654"/>
          <w:tab w:val="right" w:pos="8929"/>
          <w:tab w:val="right" w:pos="9638"/>
        </w:tabs>
        <w:spacing w:after="120"/>
        <w:ind w:left="1559" w:hanging="425"/>
      </w:pPr>
      <w:r>
        <w:t>B.</w:t>
      </w:r>
      <w:r>
        <w:tab/>
      </w:r>
      <w:r w:rsidR="00FE2475">
        <w:rPr>
          <w:lang w:val="fr-FR"/>
        </w:rPr>
        <w:t>Règlement n</w:t>
      </w:r>
      <w:r w:rsidR="00FE2475" w:rsidRPr="00B53341">
        <w:rPr>
          <w:vertAlign w:val="superscript"/>
          <w:lang w:val="fr-FR"/>
        </w:rPr>
        <w:t>o</w:t>
      </w:r>
      <w:r w:rsidR="00FE2475">
        <w:rPr>
          <w:lang w:val="fr-FR"/>
        </w:rPr>
        <w:t xml:space="preserve"> 53 (Installation des dispositifs d’éclairage et de signalisation </w:t>
      </w:r>
      <w:r w:rsidR="00FE2475">
        <w:rPr>
          <w:lang w:val="fr-FR"/>
        </w:rPr>
        <w:br/>
        <w:t>lumineuse sur les véhicules de la catégorie L</w:t>
      </w:r>
      <w:r w:rsidR="00FE2475" w:rsidRPr="003703E9">
        <w:rPr>
          <w:vertAlign w:val="subscript"/>
          <w:lang w:val="fr-FR"/>
        </w:rPr>
        <w:t>3</w:t>
      </w:r>
      <w:r w:rsidR="00FE2475">
        <w:rPr>
          <w:lang w:val="fr-FR"/>
        </w:rPr>
        <w:t>)</w:t>
      </w:r>
      <w:r>
        <w:tab/>
      </w:r>
      <w:r>
        <w:tab/>
      </w:r>
      <w:r w:rsidR="008E05CD">
        <w:t>30−31</w:t>
      </w:r>
      <w:r>
        <w:tab/>
      </w:r>
      <w:r w:rsidR="00FE2475">
        <w:t>8</w:t>
      </w:r>
    </w:p>
    <w:p w:rsidR="00F65470" w:rsidRDefault="00F65470" w:rsidP="00FE2475">
      <w:pPr>
        <w:keepNext/>
        <w:tabs>
          <w:tab w:val="right" w:pos="850"/>
          <w:tab w:val="right" w:leader="dot" w:pos="7654"/>
          <w:tab w:val="right" w:pos="8929"/>
          <w:tab w:val="right" w:pos="9638"/>
        </w:tabs>
        <w:spacing w:after="120"/>
        <w:ind w:left="1134" w:hanging="1134"/>
      </w:pPr>
      <w:r>
        <w:lastRenderedPageBreak/>
        <w:tab/>
        <w:t>IX.</w:t>
      </w:r>
      <w:r>
        <w:tab/>
      </w:r>
      <w:r w:rsidR="00FE2475">
        <w:rPr>
          <w:lang w:val="fr-FR"/>
        </w:rPr>
        <w:t>Questions diverses (point 8 de l’ordre du jour)</w:t>
      </w:r>
      <w:r>
        <w:tab/>
      </w:r>
      <w:r>
        <w:tab/>
      </w:r>
      <w:r w:rsidR="008E05CD">
        <w:t>32−35</w:t>
      </w:r>
      <w:r>
        <w:tab/>
      </w:r>
      <w:r w:rsidR="00FE2475">
        <w:t>8</w:t>
      </w:r>
    </w:p>
    <w:p w:rsidR="00F65470" w:rsidRDefault="00F65470" w:rsidP="00F65470">
      <w:pPr>
        <w:tabs>
          <w:tab w:val="right" w:leader="dot" w:pos="7654"/>
          <w:tab w:val="right" w:pos="8929"/>
          <w:tab w:val="right" w:pos="9638"/>
        </w:tabs>
        <w:spacing w:after="120"/>
        <w:ind w:left="1559" w:hanging="425"/>
      </w:pPr>
      <w:r>
        <w:t>A.</w:t>
      </w:r>
      <w:r>
        <w:tab/>
      </w:r>
      <w:r w:rsidR="00FE2475">
        <w:rPr>
          <w:lang w:val="fr-FR"/>
        </w:rPr>
        <w:t>Amendements à la Convention sur la circulation routière (Vienne, 1968)</w:t>
      </w:r>
      <w:r>
        <w:tab/>
      </w:r>
      <w:r>
        <w:tab/>
      </w:r>
      <w:r w:rsidR="008E05CD">
        <w:t>32</w:t>
      </w:r>
      <w:r>
        <w:tab/>
      </w:r>
      <w:r w:rsidR="00FE2475">
        <w:t>8</w:t>
      </w:r>
    </w:p>
    <w:p w:rsidR="00F65470" w:rsidRDefault="00F65470" w:rsidP="00F65470">
      <w:pPr>
        <w:tabs>
          <w:tab w:val="right" w:leader="dot" w:pos="7654"/>
          <w:tab w:val="right" w:pos="8929"/>
          <w:tab w:val="right" w:pos="9638"/>
        </w:tabs>
        <w:spacing w:after="120"/>
        <w:ind w:left="1559" w:hanging="425"/>
      </w:pPr>
      <w:r>
        <w:t>B.</w:t>
      </w:r>
      <w:r>
        <w:tab/>
      </w:r>
      <w:r w:rsidR="00FE2475">
        <w:rPr>
          <w:lang w:val="fr-FR"/>
        </w:rPr>
        <w:t>Décennie d’action pour la sécurité routière 2011-2020</w:t>
      </w:r>
      <w:r>
        <w:tab/>
      </w:r>
      <w:r>
        <w:tab/>
      </w:r>
      <w:r w:rsidR="008E05CD">
        <w:t>33</w:t>
      </w:r>
      <w:r>
        <w:tab/>
      </w:r>
      <w:r w:rsidR="00FE2475">
        <w:t>8</w:t>
      </w:r>
    </w:p>
    <w:p w:rsidR="00F65470" w:rsidRDefault="00F65470" w:rsidP="00F65470">
      <w:pPr>
        <w:tabs>
          <w:tab w:val="right" w:leader="dot" w:pos="7654"/>
          <w:tab w:val="right" w:pos="8929"/>
          <w:tab w:val="right" w:pos="9638"/>
        </w:tabs>
        <w:spacing w:after="120"/>
        <w:ind w:left="1559" w:hanging="425"/>
      </w:pPr>
      <w:r>
        <w:t>C.</w:t>
      </w:r>
      <w:r>
        <w:tab/>
      </w:r>
      <w:r w:rsidR="00FE2475">
        <w:rPr>
          <w:lang w:val="fr-FR"/>
        </w:rPr>
        <w:t xml:space="preserve">Mise au point d’une homologation de type internationale </w:t>
      </w:r>
      <w:r w:rsidR="00FE2475">
        <w:rPr>
          <w:lang w:val="fr-FR"/>
        </w:rPr>
        <w:br/>
        <w:t>de l’ensemble du véhicule</w:t>
      </w:r>
      <w:r>
        <w:tab/>
      </w:r>
      <w:r>
        <w:tab/>
      </w:r>
      <w:r w:rsidR="008E05CD">
        <w:t>34</w:t>
      </w:r>
      <w:r>
        <w:tab/>
      </w:r>
      <w:r w:rsidR="00FE2475">
        <w:t>8</w:t>
      </w:r>
    </w:p>
    <w:p w:rsidR="00F65470" w:rsidRDefault="00F65470" w:rsidP="00F65470">
      <w:pPr>
        <w:tabs>
          <w:tab w:val="right" w:leader="dot" w:pos="7654"/>
          <w:tab w:val="right" w:pos="8929"/>
          <w:tab w:val="right" w:pos="9638"/>
        </w:tabs>
        <w:spacing w:after="120"/>
        <w:ind w:left="1559" w:hanging="425"/>
      </w:pPr>
      <w:r>
        <w:t>D.</w:t>
      </w:r>
      <w:r>
        <w:tab/>
      </w:r>
      <w:r w:rsidR="00FE2475">
        <w:rPr>
          <w:lang w:val="fr-FR"/>
        </w:rPr>
        <w:t>Phénomènes de lumière parasite et de dégradation des couleurs</w:t>
      </w:r>
      <w:r>
        <w:tab/>
      </w:r>
      <w:r>
        <w:tab/>
      </w:r>
      <w:r w:rsidR="008E05CD">
        <w:t>35</w:t>
      </w:r>
      <w:r>
        <w:tab/>
      </w:r>
      <w:r w:rsidR="00FE2475">
        <w:t>9</w:t>
      </w:r>
    </w:p>
    <w:p w:rsidR="00F65470" w:rsidRDefault="00F65470" w:rsidP="00F65470">
      <w:pPr>
        <w:tabs>
          <w:tab w:val="right" w:pos="850"/>
          <w:tab w:val="right" w:leader="dot" w:pos="7654"/>
          <w:tab w:val="right" w:pos="8929"/>
          <w:tab w:val="right" w:pos="9638"/>
        </w:tabs>
        <w:spacing w:after="120"/>
        <w:ind w:left="1134" w:hanging="1134"/>
      </w:pPr>
      <w:r>
        <w:tab/>
        <w:t>X.</w:t>
      </w:r>
      <w:r>
        <w:tab/>
      </w:r>
      <w:r w:rsidR="00FE2475">
        <w:rPr>
          <w:lang w:val="fr-FR"/>
        </w:rPr>
        <w:t>Nouvelles questions et soumissions tardives (point 9 de l’ordre du jour)</w:t>
      </w:r>
      <w:r>
        <w:tab/>
      </w:r>
      <w:r>
        <w:tab/>
      </w:r>
      <w:r w:rsidR="008E05CD">
        <w:t>36−39</w:t>
      </w:r>
      <w:r>
        <w:tab/>
      </w:r>
      <w:r w:rsidR="00FE2475">
        <w:t>9</w:t>
      </w:r>
    </w:p>
    <w:p w:rsidR="00F65470" w:rsidRDefault="00F65470" w:rsidP="00F65470">
      <w:pPr>
        <w:tabs>
          <w:tab w:val="right" w:pos="850"/>
          <w:tab w:val="right" w:leader="dot" w:pos="7654"/>
          <w:tab w:val="right" w:pos="8929"/>
          <w:tab w:val="right" w:pos="9638"/>
        </w:tabs>
        <w:spacing w:after="120"/>
        <w:ind w:left="1134" w:hanging="1134"/>
      </w:pPr>
      <w:r>
        <w:tab/>
        <w:t>XI.</w:t>
      </w:r>
      <w:r>
        <w:tab/>
      </w:r>
      <w:r w:rsidR="00FE2475">
        <w:rPr>
          <w:lang w:val="fr-FR"/>
        </w:rPr>
        <w:t xml:space="preserve">Orientation des travaux futurs du Groupe de travail </w:t>
      </w:r>
      <w:r w:rsidR="00FE2475">
        <w:rPr>
          <w:lang w:val="fr-FR"/>
        </w:rPr>
        <w:br/>
        <w:t>(point 10 de l’ordre du jour)</w:t>
      </w:r>
      <w:r>
        <w:tab/>
      </w:r>
      <w:r>
        <w:tab/>
      </w:r>
      <w:r w:rsidR="008E05CD">
        <w:t>40</w:t>
      </w:r>
      <w:r>
        <w:tab/>
      </w:r>
      <w:r w:rsidR="00FE2475">
        <w:t>9</w:t>
      </w:r>
    </w:p>
    <w:p w:rsidR="00F65470" w:rsidRDefault="00F65470" w:rsidP="00F65470">
      <w:pPr>
        <w:tabs>
          <w:tab w:val="right" w:pos="850"/>
          <w:tab w:val="right" w:leader="dot" w:pos="7654"/>
          <w:tab w:val="right" w:pos="8929"/>
          <w:tab w:val="right" w:pos="9638"/>
        </w:tabs>
        <w:spacing w:after="120"/>
        <w:ind w:left="1134" w:hanging="1134"/>
      </w:pPr>
      <w:r>
        <w:tab/>
        <w:t>XII.</w:t>
      </w:r>
      <w:r>
        <w:tab/>
      </w:r>
      <w:r w:rsidR="00FE2475">
        <w:rPr>
          <w:lang w:val="fr-FR"/>
        </w:rPr>
        <w:t>Ordre du jour provisoire de la session suivante (point 11 de l’ordre du jour)</w:t>
      </w:r>
      <w:r>
        <w:tab/>
      </w:r>
      <w:r>
        <w:tab/>
      </w:r>
      <w:r w:rsidR="008E05CD">
        <w:t>41−42</w:t>
      </w:r>
      <w:r>
        <w:tab/>
      </w:r>
      <w:r w:rsidR="00FE2475">
        <w:t>9</w:t>
      </w:r>
    </w:p>
    <w:p w:rsidR="00F65470" w:rsidRDefault="00F65470" w:rsidP="00F65470">
      <w:pPr>
        <w:tabs>
          <w:tab w:val="right" w:pos="850"/>
          <w:tab w:val="right" w:leader="dot" w:pos="7654"/>
          <w:tab w:val="right" w:pos="8929"/>
          <w:tab w:val="right" w:pos="9638"/>
        </w:tabs>
        <w:spacing w:after="120"/>
        <w:ind w:left="1134" w:hanging="1134"/>
      </w:pPr>
      <w:r>
        <w:tab/>
        <w:t>XIII.</w:t>
      </w:r>
      <w:r>
        <w:tab/>
      </w:r>
      <w:r w:rsidR="00FE2475">
        <w:rPr>
          <w:lang w:val="fr-FR"/>
        </w:rPr>
        <w:t>Élection du Bureau (point 12 de l’ordre du jour)</w:t>
      </w:r>
      <w:r>
        <w:tab/>
      </w:r>
      <w:r>
        <w:tab/>
      </w:r>
      <w:r w:rsidR="008E05CD">
        <w:t>43</w:t>
      </w:r>
      <w:r>
        <w:tab/>
      </w:r>
      <w:r w:rsidR="0032532F">
        <w:t>10</w:t>
      </w:r>
    </w:p>
    <w:p w:rsidR="00F65470" w:rsidRPr="00F65470" w:rsidRDefault="00F65470" w:rsidP="00F65470">
      <w:pPr>
        <w:tabs>
          <w:tab w:val="right" w:pos="850"/>
        </w:tabs>
        <w:spacing w:after="120"/>
      </w:pPr>
      <w:r>
        <w:tab/>
        <w:t>Annexes</w:t>
      </w:r>
    </w:p>
    <w:p w:rsidR="00F65470" w:rsidRDefault="00F65470" w:rsidP="00F65470">
      <w:pPr>
        <w:tabs>
          <w:tab w:val="right" w:pos="850"/>
          <w:tab w:val="right" w:leader="dot" w:pos="8929"/>
          <w:tab w:val="right" w:pos="9638"/>
        </w:tabs>
        <w:spacing w:after="120"/>
        <w:ind w:left="1134" w:hanging="1134"/>
      </w:pPr>
      <w:r>
        <w:tab/>
        <w:t>I.</w:t>
      </w:r>
      <w:r>
        <w:tab/>
      </w:r>
      <w:r w:rsidR="00FE2475">
        <w:rPr>
          <w:lang w:val="fr-FR"/>
        </w:rPr>
        <w:t>Liste des documents informels examinés pendant la session</w:t>
      </w:r>
      <w:r>
        <w:tab/>
      </w:r>
      <w:r>
        <w:tab/>
      </w:r>
      <w:r w:rsidR="0032532F">
        <w:t>11</w:t>
      </w:r>
    </w:p>
    <w:p w:rsidR="00F65470" w:rsidRDefault="00F65470" w:rsidP="00F65470">
      <w:pPr>
        <w:tabs>
          <w:tab w:val="right" w:pos="850"/>
          <w:tab w:val="right" w:leader="dot" w:pos="8929"/>
          <w:tab w:val="right" w:pos="9638"/>
        </w:tabs>
        <w:spacing w:after="120"/>
        <w:ind w:left="1134" w:hanging="1134"/>
      </w:pPr>
      <w:r>
        <w:tab/>
        <w:t>II.</w:t>
      </w:r>
      <w:r>
        <w:tab/>
      </w:r>
      <w:r w:rsidR="00FE2475">
        <w:rPr>
          <w:lang w:val="fr-FR"/>
        </w:rPr>
        <w:t>Amendements au Règlement n</w:t>
      </w:r>
      <w:r w:rsidR="00FE2475" w:rsidRPr="00B53341">
        <w:rPr>
          <w:vertAlign w:val="superscript"/>
          <w:lang w:val="fr-FR"/>
        </w:rPr>
        <w:t>o</w:t>
      </w:r>
      <w:r w:rsidR="00FE2475">
        <w:rPr>
          <w:lang w:val="fr-FR"/>
        </w:rPr>
        <w:t> 6 adoptés (par. 13 du rapport)</w:t>
      </w:r>
      <w:r>
        <w:tab/>
      </w:r>
      <w:r>
        <w:tab/>
      </w:r>
      <w:r w:rsidR="0032532F">
        <w:t>13</w:t>
      </w:r>
    </w:p>
    <w:p w:rsidR="00F65470" w:rsidRDefault="00F65470" w:rsidP="00F65470">
      <w:pPr>
        <w:tabs>
          <w:tab w:val="right" w:pos="850"/>
          <w:tab w:val="right" w:leader="dot" w:pos="8929"/>
          <w:tab w:val="right" w:pos="9638"/>
        </w:tabs>
        <w:spacing w:after="120"/>
        <w:ind w:left="1134" w:hanging="1134"/>
      </w:pPr>
      <w:r>
        <w:tab/>
        <w:t>III.</w:t>
      </w:r>
      <w:r>
        <w:tab/>
      </w:r>
      <w:r w:rsidR="00FE2475">
        <w:rPr>
          <w:lang w:val="fr-FR"/>
        </w:rPr>
        <w:t xml:space="preserve">Proposition d’amendements à la version originale de la Résolution d’ensemble </w:t>
      </w:r>
      <w:r w:rsidR="00FE2475">
        <w:rPr>
          <w:lang w:val="fr-FR"/>
        </w:rPr>
        <w:br/>
        <w:t xml:space="preserve">sur une spécification commune des catégories de sources </w:t>
      </w:r>
      <w:r w:rsidR="00FE2475">
        <w:rPr>
          <w:lang w:val="fr-FR"/>
        </w:rPr>
        <w:br/>
        <w:t>lumineuses (R.E.5) (par. 16 du rapport)</w:t>
      </w:r>
      <w:r>
        <w:tab/>
      </w:r>
      <w:r>
        <w:tab/>
      </w:r>
      <w:r w:rsidR="0032532F">
        <w:t>14</w:t>
      </w:r>
    </w:p>
    <w:p w:rsidR="00F65470" w:rsidRDefault="00F65470" w:rsidP="00F65470">
      <w:pPr>
        <w:tabs>
          <w:tab w:val="right" w:pos="850"/>
          <w:tab w:val="right" w:leader="dot" w:pos="8929"/>
          <w:tab w:val="right" w:pos="9638"/>
        </w:tabs>
        <w:spacing w:after="120"/>
        <w:ind w:left="1134" w:hanging="1134"/>
      </w:pPr>
      <w:r>
        <w:tab/>
        <w:t>IV.</w:t>
      </w:r>
      <w:r>
        <w:tab/>
      </w:r>
      <w:r w:rsidR="00FE2475" w:rsidRPr="00656DB8">
        <w:rPr>
          <w:lang w:val="fr-FR"/>
        </w:rPr>
        <w:t>Groupes informels du GRE</w:t>
      </w:r>
      <w:r>
        <w:tab/>
      </w:r>
      <w:r>
        <w:tab/>
      </w:r>
      <w:r w:rsidR="0032532F">
        <w:t>15</w:t>
      </w:r>
    </w:p>
    <w:p w:rsidR="00D0672B" w:rsidRPr="00A84E1A" w:rsidRDefault="008E05CD" w:rsidP="008E05CD">
      <w:pPr>
        <w:pStyle w:val="HChG"/>
      </w:pPr>
      <w:r>
        <w:br w:type="page"/>
      </w:r>
      <w:bookmarkStart w:id="3" w:name="_Toc360526240"/>
      <w:bookmarkStart w:id="4" w:name="_Toc360526836"/>
      <w:bookmarkStart w:id="5" w:name="_Toc369772205"/>
      <w:r w:rsidR="00D0672B">
        <w:rPr>
          <w:lang w:val="fr-FR"/>
        </w:rPr>
        <w:lastRenderedPageBreak/>
        <w:tab/>
        <w:t>I.</w:t>
      </w:r>
      <w:r w:rsidR="00D0672B">
        <w:rPr>
          <w:lang w:val="fr-FR"/>
        </w:rPr>
        <w:tab/>
        <w:t>Participation</w:t>
      </w:r>
      <w:bookmarkEnd w:id="3"/>
      <w:bookmarkEnd w:id="4"/>
      <w:bookmarkEnd w:id="5"/>
    </w:p>
    <w:p w:rsidR="00D0672B" w:rsidRPr="00A84E1A" w:rsidRDefault="00D0672B" w:rsidP="00FF28A4">
      <w:pPr>
        <w:pStyle w:val="SingleTxtG"/>
      </w:pPr>
      <w:r>
        <w:rPr>
          <w:lang w:val="fr-FR"/>
        </w:rPr>
        <w:t>1.</w:t>
      </w:r>
      <w:r>
        <w:rPr>
          <w:lang w:val="fr-FR"/>
        </w:rPr>
        <w:tab/>
        <w:t>Le Groupe de travail de l’éclairage et de la signalisation lumineuse (GRE) a tenu sa soixante-dix-huitième session du 24 au 27</w:t>
      </w:r>
      <w:r w:rsidR="000C3905">
        <w:rPr>
          <w:lang w:val="fr-FR"/>
        </w:rPr>
        <w:t> </w:t>
      </w:r>
      <w:r>
        <w:rPr>
          <w:lang w:val="fr-FR"/>
        </w:rPr>
        <w:t>octobre 2017 à Genève, sous la présidence de M.</w:t>
      </w:r>
      <w:r w:rsidR="000C3905">
        <w:rPr>
          <w:lang w:val="fr-FR"/>
        </w:rPr>
        <w:t> </w:t>
      </w:r>
      <w:r>
        <w:rPr>
          <w:lang w:val="fr-FR"/>
        </w:rPr>
        <w:t>Loccufier (Belgique). Conformément à l’</w:t>
      </w:r>
      <w:r w:rsidR="000C3905">
        <w:rPr>
          <w:lang w:val="fr-FR"/>
        </w:rPr>
        <w:t>article </w:t>
      </w:r>
      <w:r>
        <w:rPr>
          <w:lang w:val="fr-FR"/>
        </w:rPr>
        <w:t>1</w:t>
      </w:r>
      <w:r w:rsidR="000C3905">
        <w:rPr>
          <w:lang w:val="fr-FR"/>
        </w:rPr>
        <w:t> </w:t>
      </w:r>
      <w:r>
        <w:rPr>
          <w:lang w:val="fr-FR"/>
        </w:rPr>
        <w:t xml:space="preserve">a) du Règlement intérieur (TRANS/WP.29/690, </w:t>
      </w:r>
      <w:r w:rsidR="00337EC1">
        <w:rPr>
          <w:lang w:val="fr-FR"/>
        </w:rPr>
        <w:t>ECE/</w:t>
      </w:r>
      <w:r>
        <w:rPr>
          <w:lang w:val="fr-FR"/>
        </w:rPr>
        <w:t>TRANS/WP.29/690/Amend.1 et 2) du Forum mondial de l’harmonisation des Règlements concernant les véhicules (WP.29), des experts des pay</w:t>
      </w:r>
      <w:r w:rsidR="002C582E">
        <w:rPr>
          <w:lang w:val="fr-FR"/>
        </w:rPr>
        <w:t>s ci</w:t>
      </w:r>
      <w:r w:rsidR="002C582E">
        <w:rPr>
          <w:lang w:val="fr-FR"/>
        </w:rPr>
        <w:noBreakHyphen/>
      </w:r>
      <w:r>
        <w:rPr>
          <w:lang w:val="fr-FR"/>
        </w:rPr>
        <w:t>après ont participé à ses travaux</w:t>
      </w:r>
      <w:r w:rsidR="00B448D0">
        <w:rPr>
          <w:lang w:val="fr-FR"/>
        </w:rPr>
        <w:t> </w:t>
      </w:r>
      <w:r>
        <w:rPr>
          <w:lang w:val="fr-FR"/>
        </w:rPr>
        <w:t>: Allemagne, Autriche, Chine, Espagne, Finlande, France, Hongrie, Inde, Italie, Japon, Lettonie, Luxembourg, Norvège, Pays-Bas, Pologne, République de Corée, République tchèque, Royaume-Uni de Grande-Bretagne et d’Irlande du Nord et Viet</w:t>
      </w:r>
      <w:r w:rsidR="00337EC1">
        <w:rPr>
          <w:lang w:val="fr-FR"/>
        </w:rPr>
        <w:t> </w:t>
      </w:r>
      <w:r>
        <w:rPr>
          <w:lang w:val="fr-FR"/>
        </w:rPr>
        <w:t>Nam. Un expert de la Commission européenne (CE) y a également participé. Les organisations non gouvernementales suivantes étaient aussi représentées</w:t>
      </w:r>
      <w:r w:rsidR="002C582E">
        <w:rPr>
          <w:lang w:val="fr-FR"/>
        </w:rPr>
        <w:t> </w:t>
      </w:r>
      <w:r>
        <w:rPr>
          <w:lang w:val="fr-FR"/>
        </w:rPr>
        <w:t>: Association européenne des fournisseurs de l’automobile (CLEPA)</w:t>
      </w:r>
      <w:r w:rsidR="002C582E">
        <w:rPr>
          <w:lang w:val="fr-FR"/>
        </w:rPr>
        <w:t> </w:t>
      </w:r>
      <w:r>
        <w:rPr>
          <w:lang w:val="fr-FR"/>
        </w:rPr>
        <w:t xml:space="preserve">; Groupe de travail </w:t>
      </w:r>
      <w:r w:rsidRPr="002C582E">
        <w:rPr>
          <w:spacing w:val="-2"/>
          <w:lang w:val="fr-FR"/>
        </w:rPr>
        <w:t>«</w:t>
      </w:r>
      <w:r w:rsidR="002C582E" w:rsidRPr="002C582E">
        <w:rPr>
          <w:spacing w:val="-2"/>
          <w:lang w:val="fr-FR"/>
        </w:rPr>
        <w:t> </w:t>
      </w:r>
      <w:r w:rsidRPr="002C582E">
        <w:rPr>
          <w:spacing w:val="-2"/>
          <w:lang w:val="fr-FR"/>
        </w:rPr>
        <w:t>Bruxelles 1952</w:t>
      </w:r>
      <w:r w:rsidR="002C582E" w:rsidRPr="002C582E">
        <w:rPr>
          <w:spacing w:val="-2"/>
          <w:lang w:val="fr-FR"/>
        </w:rPr>
        <w:t> </w:t>
      </w:r>
      <w:r w:rsidRPr="002C582E">
        <w:rPr>
          <w:spacing w:val="-2"/>
          <w:lang w:val="fr-FR"/>
        </w:rPr>
        <w:t>» (GTB)</w:t>
      </w:r>
      <w:r w:rsidR="002C582E" w:rsidRPr="002C582E">
        <w:rPr>
          <w:spacing w:val="-2"/>
          <w:lang w:val="fr-FR"/>
        </w:rPr>
        <w:t> </w:t>
      </w:r>
      <w:r w:rsidRPr="002C582E">
        <w:rPr>
          <w:spacing w:val="-2"/>
          <w:lang w:val="fr-FR"/>
        </w:rPr>
        <w:t>; Commission électrotechnique internationale (CEI)</w:t>
      </w:r>
      <w:r w:rsidR="002C582E" w:rsidRPr="002C582E">
        <w:rPr>
          <w:spacing w:val="-2"/>
          <w:lang w:val="fr-FR"/>
        </w:rPr>
        <w:t> </w:t>
      </w:r>
      <w:r w:rsidRPr="002C582E">
        <w:rPr>
          <w:spacing w:val="-2"/>
          <w:lang w:val="fr-FR"/>
        </w:rPr>
        <w:t>; Association internationale des constructeurs de motocycles (IMMA)</w:t>
      </w:r>
      <w:r w:rsidR="002C582E" w:rsidRPr="002C582E">
        <w:rPr>
          <w:spacing w:val="-2"/>
          <w:lang w:val="fr-FR"/>
        </w:rPr>
        <w:t> </w:t>
      </w:r>
      <w:r w:rsidRPr="002C582E">
        <w:rPr>
          <w:spacing w:val="-2"/>
          <w:lang w:val="fr-FR"/>
        </w:rPr>
        <w:t>; Organisation internationale des constructeurs automobiles (OICA)</w:t>
      </w:r>
      <w:r w:rsidR="002C582E" w:rsidRPr="002C582E">
        <w:rPr>
          <w:spacing w:val="-2"/>
          <w:lang w:val="fr-FR"/>
        </w:rPr>
        <w:t> </w:t>
      </w:r>
      <w:r w:rsidRPr="002C582E">
        <w:rPr>
          <w:spacing w:val="-2"/>
          <w:lang w:val="fr-FR"/>
        </w:rPr>
        <w:t>; Society of Automotive Engineering (SAE).</w:t>
      </w:r>
    </w:p>
    <w:p w:rsidR="00D0672B" w:rsidRPr="00A84E1A" w:rsidRDefault="00D0672B" w:rsidP="00FF28A4">
      <w:pPr>
        <w:pStyle w:val="HChG"/>
      </w:pPr>
      <w:r>
        <w:rPr>
          <w:lang w:val="fr-FR"/>
        </w:rPr>
        <w:tab/>
        <w:t>II.</w:t>
      </w:r>
      <w:r>
        <w:rPr>
          <w:lang w:val="fr-FR"/>
        </w:rPr>
        <w:tab/>
        <w:t>Adoption de l’ordre du jour (point 1 de l’ordre du jour)</w:t>
      </w:r>
      <w:bookmarkStart w:id="6" w:name="_Toc360525455"/>
      <w:bookmarkStart w:id="7" w:name="_Toc360526241"/>
      <w:bookmarkStart w:id="8" w:name="_Toc360526837"/>
      <w:bookmarkStart w:id="9" w:name="_Toc369772206"/>
      <w:bookmarkEnd w:id="6"/>
      <w:bookmarkEnd w:id="7"/>
      <w:bookmarkEnd w:id="8"/>
      <w:bookmarkEnd w:id="9"/>
    </w:p>
    <w:p w:rsidR="00D0672B" w:rsidRPr="00E4723D" w:rsidRDefault="00D0672B" w:rsidP="00FF28A4">
      <w:pPr>
        <w:pStyle w:val="SingleTxtG"/>
        <w:tabs>
          <w:tab w:val="left" w:pos="2552"/>
        </w:tabs>
        <w:ind w:left="2552" w:hanging="1418"/>
      </w:pPr>
      <w:r>
        <w:rPr>
          <w:i/>
          <w:iCs/>
          <w:lang w:val="fr-FR"/>
        </w:rPr>
        <w:t>Document(s)</w:t>
      </w:r>
      <w:r w:rsidR="002C582E">
        <w:rPr>
          <w:i/>
          <w:iCs/>
          <w:lang w:val="fr-FR"/>
        </w:rPr>
        <w:t> </w:t>
      </w:r>
      <w:r w:rsidRPr="00FF28A4">
        <w:rPr>
          <w:iCs/>
          <w:lang w:val="fr-FR"/>
        </w:rPr>
        <w:t>:</w:t>
      </w:r>
      <w:r>
        <w:rPr>
          <w:lang w:val="fr-FR"/>
        </w:rPr>
        <w:tab/>
        <w:t>ECE/TRANS/WP.29/GRE/2017/8</w:t>
      </w:r>
      <w:r w:rsidR="00337EC1">
        <w:rPr>
          <w:lang w:val="fr-FR"/>
        </w:rPr>
        <w:t> ;</w:t>
      </w:r>
      <w:r>
        <w:rPr>
          <w:lang w:val="fr-FR"/>
        </w:rPr>
        <w:t xml:space="preserve"> </w:t>
      </w:r>
      <w:r w:rsidR="00FF28A4">
        <w:rPr>
          <w:lang w:val="fr-FR"/>
        </w:rPr>
        <w:br/>
      </w:r>
      <w:r w:rsidR="00337EC1">
        <w:rPr>
          <w:lang w:val="fr-FR"/>
        </w:rPr>
        <w:t xml:space="preserve">Documents </w:t>
      </w:r>
      <w:r>
        <w:rPr>
          <w:lang w:val="fr-FR"/>
        </w:rPr>
        <w:t>informels GRE-78-08</w:t>
      </w:r>
      <w:r w:rsidR="00FF28A4">
        <w:rPr>
          <w:lang w:val="fr-FR"/>
        </w:rPr>
        <w:t>-01, GRE-78-08</w:t>
      </w:r>
      <w:r>
        <w:rPr>
          <w:lang w:val="fr-FR"/>
        </w:rPr>
        <w:t xml:space="preserve"> et GRE-78-16</w:t>
      </w:r>
      <w:r w:rsidR="00FF28A4">
        <w:rPr>
          <w:lang w:val="fr-FR"/>
        </w:rPr>
        <w:t>.</w:t>
      </w:r>
    </w:p>
    <w:p w:rsidR="00D0672B" w:rsidRDefault="00D0672B" w:rsidP="000C3905">
      <w:pPr>
        <w:pStyle w:val="SingleTxtG"/>
      </w:pPr>
      <w:r>
        <w:rPr>
          <w:lang w:val="fr-FR"/>
        </w:rPr>
        <w:t>2.</w:t>
      </w:r>
      <w:r>
        <w:rPr>
          <w:lang w:val="fr-FR"/>
        </w:rPr>
        <w:tab/>
        <w:t>Le Groupe de travail a examiné et adopté l’ordre du jour (ECE/TRANS/WP.29/GRE/2017/8), tel qu’il est reprodui</w:t>
      </w:r>
      <w:r w:rsidR="00271F61">
        <w:rPr>
          <w:lang w:val="fr-FR"/>
        </w:rPr>
        <w:t>t dans le document GRE-78-01 (y</w:t>
      </w:r>
      <w:r w:rsidR="002C582E">
        <w:rPr>
          <w:lang w:val="fr-FR"/>
        </w:rPr>
        <w:t> </w:t>
      </w:r>
      <w:r>
        <w:rPr>
          <w:lang w:val="fr-FR"/>
        </w:rPr>
        <w:t>compris les documents informels distribués pendant la session). Il a aussi pris acte de l’ordre d’examen des divers points proposé par le Président (GRE-78-08).</w:t>
      </w:r>
    </w:p>
    <w:p w:rsidR="00D0672B" w:rsidRPr="00A84E1A" w:rsidRDefault="00D0672B" w:rsidP="000C3905">
      <w:pPr>
        <w:pStyle w:val="SingleTxtG"/>
        <w:rPr>
          <w:bCs/>
        </w:rPr>
      </w:pPr>
      <w:r>
        <w:rPr>
          <w:lang w:val="fr-FR"/>
        </w:rPr>
        <w:t>3.</w:t>
      </w:r>
      <w:r>
        <w:rPr>
          <w:lang w:val="fr-FR"/>
        </w:rPr>
        <w:tab/>
        <w:t>La liste des documents informels figure à l’annexe</w:t>
      </w:r>
      <w:r w:rsidR="002C582E">
        <w:rPr>
          <w:lang w:val="fr-FR"/>
        </w:rPr>
        <w:t> </w:t>
      </w:r>
      <w:r>
        <w:rPr>
          <w:lang w:val="fr-FR"/>
        </w:rPr>
        <w:t>I du rapport. La liste des groupes informels du GRE est reproduite à l’annexe</w:t>
      </w:r>
      <w:r w:rsidR="002C582E">
        <w:rPr>
          <w:lang w:val="fr-FR"/>
        </w:rPr>
        <w:t> </w:t>
      </w:r>
      <w:r>
        <w:rPr>
          <w:lang w:val="fr-FR"/>
        </w:rPr>
        <w:t>IV.</w:t>
      </w:r>
    </w:p>
    <w:p w:rsidR="00D0672B" w:rsidRPr="00A84E1A" w:rsidRDefault="00D0672B" w:rsidP="000C3905">
      <w:pPr>
        <w:pStyle w:val="SingleTxtG"/>
        <w:rPr>
          <w:strike/>
        </w:rPr>
      </w:pPr>
      <w:r>
        <w:rPr>
          <w:lang w:val="fr-FR"/>
        </w:rPr>
        <w:t>4.</w:t>
      </w:r>
      <w:r>
        <w:rPr>
          <w:lang w:val="fr-FR"/>
        </w:rPr>
        <w:tab/>
        <w:t>Le Groupe de travail a pris note des principaux points évoqués à la session de juin 2017 du WP.29 et de la date limite officielle du 26</w:t>
      </w:r>
      <w:r w:rsidR="002C582E">
        <w:rPr>
          <w:lang w:val="fr-FR"/>
        </w:rPr>
        <w:t> </w:t>
      </w:r>
      <w:r>
        <w:rPr>
          <w:lang w:val="fr-FR"/>
        </w:rPr>
        <w:t>janvier 2018 pour soumettre des documents en vue de la session d’avril 2018 du GRE (GRE-78-16).</w:t>
      </w:r>
    </w:p>
    <w:p w:rsidR="00D0672B" w:rsidRPr="00A84E1A" w:rsidRDefault="00D0672B" w:rsidP="002C582E">
      <w:pPr>
        <w:pStyle w:val="HChG"/>
      </w:pPr>
      <w:r>
        <w:rPr>
          <w:lang w:val="fr-FR"/>
        </w:rPr>
        <w:tab/>
        <w:t>III.</w:t>
      </w:r>
      <w:r>
        <w:rPr>
          <w:lang w:val="fr-FR"/>
        </w:rPr>
        <w:tab/>
        <w:t xml:space="preserve">Accord de 1998 </w:t>
      </w:r>
      <w:r w:rsidR="002C582E">
        <w:rPr>
          <w:lang w:val="fr-FR"/>
        </w:rPr>
        <w:t>−</w:t>
      </w:r>
      <w:r>
        <w:rPr>
          <w:lang w:val="fr-FR"/>
        </w:rPr>
        <w:t xml:space="preserve"> Règlements techniques mondiaux</w:t>
      </w:r>
      <w:r w:rsidR="002C582E">
        <w:rPr>
          <w:lang w:val="fr-FR"/>
        </w:rPr>
        <w:t> </w:t>
      </w:r>
      <w:r>
        <w:rPr>
          <w:lang w:val="fr-FR"/>
        </w:rPr>
        <w:t>: élaboration (point 2 de l’ordre du jour)</w:t>
      </w:r>
      <w:bookmarkStart w:id="10" w:name="_Toc369772207"/>
      <w:bookmarkEnd w:id="10"/>
    </w:p>
    <w:p w:rsidR="00D0672B" w:rsidRDefault="00D0672B" w:rsidP="002C582E">
      <w:pPr>
        <w:pStyle w:val="SingleTxtG"/>
      </w:pPr>
      <w:r>
        <w:rPr>
          <w:lang w:val="fr-FR"/>
        </w:rPr>
        <w:t>5.</w:t>
      </w:r>
      <w:r>
        <w:rPr>
          <w:lang w:val="fr-FR"/>
        </w:rPr>
        <w:tab/>
        <w:t>Aucune information n’a été communiquée au titre de ce point de l’ordre du jour.</w:t>
      </w:r>
    </w:p>
    <w:p w:rsidR="00D0672B" w:rsidRPr="00A84E1A" w:rsidRDefault="00D0672B" w:rsidP="002C582E">
      <w:pPr>
        <w:pStyle w:val="HChG"/>
      </w:pPr>
      <w:r>
        <w:rPr>
          <w:lang w:val="fr-FR"/>
        </w:rPr>
        <w:tab/>
        <w:t>IV.</w:t>
      </w:r>
      <w:r>
        <w:rPr>
          <w:lang w:val="fr-FR"/>
        </w:rPr>
        <w:tab/>
        <w:t xml:space="preserve">Accord de 1997 </w:t>
      </w:r>
      <w:r w:rsidR="002C582E">
        <w:rPr>
          <w:lang w:val="fr-FR"/>
        </w:rPr>
        <w:t>−</w:t>
      </w:r>
      <w:r>
        <w:rPr>
          <w:lang w:val="fr-FR"/>
        </w:rPr>
        <w:t xml:space="preserve"> Règles</w:t>
      </w:r>
      <w:r w:rsidR="002C582E">
        <w:rPr>
          <w:lang w:val="fr-FR"/>
        </w:rPr>
        <w:t> </w:t>
      </w:r>
      <w:r>
        <w:rPr>
          <w:lang w:val="fr-FR"/>
        </w:rPr>
        <w:t xml:space="preserve">: élaboration </w:t>
      </w:r>
      <w:r w:rsidR="002C582E">
        <w:rPr>
          <w:lang w:val="fr-FR"/>
        </w:rPr>
        <w:br/>
      </w:r>
      <w:r>
        <w:rPr>
          <w:lang w:val="fr-FR"/>
        </w:rPr>
        <w:t>(point 3 de l’ordre du jour)</w:t>
      </w:r>
    </w:p>
    <w:p w:rsidR="00D0672B" w:rsidRPr="00A84E1A" w:rsidRDefault="00D0672B" w:rsidP="002C582E">
      <w:pPr>
        <w:pStyle w:val="SingleTxtG"/>
        <w:tabs>
          <w:tab w:val="left" w:pos="2552"/>
        </w:tabs>
        <w:ind w:left="2552" w:hanging="1418"/>
        <w:jc w:val="left"/>
      </w:pPr>
      <w:r>
        <w:rPr>
          <w:i/>
          <w:iCs/>
          <w:lang w:val="fr-FR"/>
        </w:rPr>
        <w:t>Document(s)</w:t>
      </w:r>
      <w:r w:rsidR="002C582E">
        <w:rPr>
          <w:i/>
          <w:iCs/>
          <w:lang w:val="fr-FR"/>
        </w:rPr>
        <w:t> </w:t>
      </w:r>
      <w:r w:rsidRPr="002C582E">
        <w:rPr>
          <w:iCs/>
          <w:lang w:val="fr-FR"/>
        </w:rPr>
        <w:t>:</w:t>
      </w:r>
      <w:r>
        <w:rPr>
          <w:lang w:val="fr-FR"/>
        </w:rPr>
        <w:tab/>
        <w:t>ECE/TRANS/WP.29/2017/90 et ECE/TRANS/WP.29/2017/91</w:t>
      </w:r>
      <w:r w:rsidR="00337EC1">
        <w:rPr>
          <w:lang w:val="fr-FR"/>
        </w:rPr>
        <w:t>.</w:t>
      </w:r>
    </w:p>
    <w:p w:rsidR="00D0672B" w:rsidRDefault="002C582E" w:rsidP="002C582E">
      <w:pPr>
        <w:pStyle w:val="SingleTxtG"/>
      </w:pPr>
      <w:r>
        <w:rPr>
          <w:lang w:val="fr-FR"/>
        </w:rPr>
        <w:t>6.</w:t>
      </w:r>
      <w:r w:rsidR="00D0672B">
        <w:rPr>
          <w:lang w:val="fr-FR"/>
        </w:rPr>
        <w:tab/>
        <w:t>Le GRE a noté que le Comité d’administration de l’Accord de 1997, à sa session de juin 2017, avait adopté des amendements aux Règles n</w:t>
      </w:r>
      <w:r w:rsidR="00D0672B" w:rsidRPr="00B53341">
        <w:rPr>
          <w:vertAlign w:val="superscript"/>
          <w:lang w:val="fr-FR"/>
        </w:rPr>
        <w:t>o</w:t>
      </w:r>
      <w:r w:rsidR="00337EC1">
        <w:rPr>
          <w:vertAlign w:val="superscript"/>
          <w:lang w:val="fr-FR"/>
        </w:rPr>
        <w:t>s</w:t>
      </w:r>
      <w:r>
        <w:rPr>
          <w:lang w:val="fr-FR"/>
        </w:rPr>
        <w:t> </w:t>
      </w:r>
      <w:r w:rsidR="00D0672B">
        <w:rPr>
          <w:lang w:val="fr-FR"/>
        </w:rPr>
        <w:t>1 et 2 (ECE/TRANS/WP.29/</w:t>
      </w:r>
      <w:r>
        <w:rPr>
          <w:lang w:val="fr-FR"/>
        </w:rPr>
        <w:t xml:space="preserve"> </w:t>
      </w:r>
      <w:r w:rsidR="00D0672B">
        <w:rPr>
          <w:lang w:val="fr-FR"/>
        </w:rPr>
        <w:t>2017/90 et ECE/TRANS/WP.29/2017/91).</w:t>
      </w:r>
    </w:p>
    <w:p w:rsidR="00D0672B" w:rsidRPr="00A84E1A" w:rsidRDefault="00D0672B" w:rsidP="002C582E">
      <w:pPr>
        <w:pStyle w:val="HChG"/>
      </w:pPr>
      <w:r>
        <w:rPr>
          <w:lang w:val="fr-FR"/>
        </w:rPr>
        <w:tab/>
        <w:t>V.</w:t>
      </w:r>
      <w:r>
        <w:rPr>
          <w:lang w:val="fr-FR"/>
        </w:rPr>
        <w:tab/>
        <w:t xml:space="preserve">Simplification des Règlements concernant l’éclairage </w:t>
      </w:r>
      <w:r w:rsidR="009D03EC">
        <w:rPr>
          <w:lang w:val="fr-FR"/>
        </w:rPr>
        <w:br/>
      </w:r>
      <w:r>
        <w:rPr>
          <w:lang w:val="fr-FR"/>
        </w:rPr>
        <w:t>et la signalisation lumineuse (point 4 de l’ordre du jour)</w:t>
      </w:r>
    </w:p>
    <w:p w:rsidR="00D0672B" w:rsidRPr="00A84E1A" w:rsidRDefault="00D0672B" w:rsidP="002C582E">
      <w:pPr>
        <w:pStyle w:val="SingleTxtG"/>
        <w:tabs>
          <w:tab w:val="left" w:pos="2552"/>
        </w:tabs>
        <w:ind w:left="2552" w:hanging="1418"/>
        <w:jc w:val="left"/>
      </w:pPr>
      <w:r>
        <w:rPr>
          <w:i/>
          <w:iCs/>
          <w:lang w:val="fr-FR"/>
        </w:rPr>
        <w:t>Document(s)</w:t>
      </w:r>
      <w:r w:rsidR="002C582E">
        <w:rPr>
          <w:i/>
          <w:iCs/>
          <w:lang w:val="fr-FR"/>
        </w:rPr>
        <w:t> </w:t>
      </w:r>
      <w:r w:rsidRPr="002C582E">
        <w:rPr>
          <w:iCs/>
          <w:lang w:val="fr-FR"/>
        </w:rPr>
        <w:t>:</w:t>
      </w:r>
      <w:r>
        <w:rPr>
          <w:lang w:val="fr-FR"/>
        </w:rPr>
        <w:tab/>
        <w:t>ECE/TRANS/WP.29/GRE/2017/9, ECE/TRANS/WP.29/GRE/2017/10, ECE/TRANS/WP.29/GRE/2017/11, ECE/TRANS/WP.29/GRE/2017/13, ECE/TRANS/WP.29/GRE/2017/</w:t>
      </w:r>
      <w:r w:rsidR="009D03EC">
        <w:rPr>
          <w:lang w:val="fr-FR"/>
        </w:rPr>
        <w:t>14, ECE/TRANS/WP.29/GRE/2017/15 ;</w:t>
      </w:r>
      <w:r>
        <w:rPr>
          <w:lang w:val="fr-FR"/>
        </w:rPr>
        <w:t xml:space="preserve"> </w:t>
      </w:r>
      <w:r w:rsidR="009D03EC">
        <w:rPr>
          <w:lang w:val="fr-FR"/>
        </w:rPr>
        <w:t xml:space="preserve">Documents </w:t>
      </w:r>
      <w:r>
        <w:rPr>
          <w:lang w:val="fr-FR"/>
        </w:rPr>
        <w:t xml:space="preserve">informels GRE-78-04, GRE-78-06, GRE-78-11, GRE-78-12, </w:t>
      </w:r>
      <w:r>
        <w:rPr>
          <w:lang w:val="fr-FR"/>
        </w:rPr>
        <w:lastRenderedPageBreak/>
        <w:t xml:space="preserve">GRE-78-13, GRE-78-14, GRE-78-15, GRE-78-20, GRE-78-26, </w:t>
      </w:r>
      <w:r w:rsidR="002C582E">
        <w:rPr>
          <w:lang w:val="fr-FR"/>
        </w:rPr>
        <w:br/>
      </w:r>
      <w:r>
        <w:rPr>
          <w:lang w:val="fr-FR"/>
        </w:rPr>
        <w:t>GRE-78-27, GRE-78-31, GRE-78-34, GRE-78-35 et Rev.1</w:t>
      </w:r>
      <w:r w:rsidR="009D03EC">
        <w:rPr>
          <w:lang w:val="fr-FR"/>
        </w:rPr>
        <w:t>.</w:t>
      </w:r>
    </w:p>
    <w:p w:rsidR="00D0672B" w:rsidRDefault="00D0672B" w:rsidP="00250E04">
      <w:pPr>
        <w:pStyle w:val="SingleTxtG"/>
      </w:pPr>
      <w:r>
        <w:rPr>
          <w:lang w:val="fr-FR"/>
        </w:rPr>
        <w:t>7.</w:t>
      </w:r>
      <w:r>
        <w:rPr>
          <w:lang w:val="fr-FR"/>
        </w:rPr>
        <w:tab/>
      </w:r>
      <w:r w:rsidRPr="00250E04">
        <w:t>Au</w:t>
      </w:r>
      <w:r w:rsidRPr="005A3924">
        <w:t xml:space="preserve"> nom du </w:t>
      </w:r>
      <w:r>
        <w:t>g</w:t>
      </w:r>
      <w:r w:rsidRPr="005A3924">
        <w:t>roupe de travail informel chargé de la simplification des Règlements relatifs à l</w:t>
      </w:r>
      <w:r>
        <w:t>’</w:t>
      </w:r>
      <w:r w:rsidRPr="005A3924">
        <w:t>éclairage et à la signalisation lumineuse (SLR), l</w:t>
      </w:r>
      <w:r>
        <w:t>’</w:t>
      </w:r>
      <w:r w:rsidRPr="005A3924">
        <w:t>expert du GTB a rendu compte de l</w:t>
      </w:r>
      <w:r>
        <w:t>’</w:t>
      </w:r>
      <w:r w:rsidRPr="005A3924">
        <w:t>état d</w:t>
      </w:r>
      <w:r>
        <w:t>’</w:t>
      </w:r>
      <w:r w:rsidRPr="005A3924">
        <w:t>avancement et du calendrier des travaux du groupe (GRE-77-34) concernant l</w:t>
      </w:r>
      <w:r>
        <w:t>’</w:t>
      </w:r>
      <w:r w:rsidRPr="005A3924">
        <w:rPr>
          <w:lang w:val="fr-FR"/>
        </w:rPr>
        <w:t>élaboration</w:t>
      </w:r>
      <w:r>
        <w:rPr>
          <w:lang w:val="fr-FR"/>
        </w:rPr>
        <w:t xml:space="preserve"> des trois nouveaux Règlements simplifiés sur les dispositifs de signalisation lumineuse, les dispositifs d’éclairage de la route et les dispositifs rétroréfléchissants. Il a présenté un projet de règlement sur les dispositifs de signalisation lumineuse (ECE/TRANS/WP.29/GRE/2017/9), des amendements aux Règlements n</w:t>
      </w:r>
      <w:r w:rsidRPr="00B53341">
        <w:rPr>
          <w:vertAlign w:val="superscript"/>
          <w:lang w:val="fr-FR"/>
        </w:rPr>
        <w:t>o</w:t>
      </w:r>
      <w:r>
        <w:rPr>
          <w:vertAlign w:val="superscript"/>
          <w:lang w:val="fr-FR"/>
        </w:rPr>
        <w:t>s</w:t>
      </w:r>
      <w:r w:rsidR="002C582E">
        <w:rPr>
          <w:lang w:val="fr-FR"/>
        </w:rPr>
        <w:t> </w:t>
      </w:r>
      <w:r>
        <w:rPr>
          <w:lang w:val="fr-FR"/>
        </w:rPr>
        <w:t>48, 53, 74 et 86 qui regroupent les définitions et introduisent des références aux nouveaux Règlements simplifiés (ECE/TRANS/WP.29/GRE/2017/10, E</w:t>
      </w:r>
      <w:r w:rsidR="002C582E">
        <w:rPr>
          <w:lang w:val="fr-FR"/>
        </w:rPr>
        <w:t>CE/TRANS/WP.29/GRE/2017/11, GRE</w:t>
      </w:r>
      <w:r w:rsidR="002C582E">
        <w:rPr>
          <w:lang w:val="fr-FR"/>
        </w:rPr>
        <w:noBreakHyphen/>
      </w:r>
      <w:r>
        <w:rPr>
          <w:lang w:val="fr-FR"/>
        </w:rPr>
        <w:t>78-11, GRE-78-12, GRE-78-13, GRE-78-14, GRE-78-15 et GRE-78-20) et les nouvelles dispositions transitoires des Règlements n</w:t>
      </w:r>
      <w:r w:rsidRPr="00B53341">
        <w:rPr>
          <w:vertAlign w:val="superscript"/>
          <w:lang w:val="fr-FR"/>
        </w:rPr>
        <w:t>o</w:t>
      </w:r>
      <w:r>
        <w:rPr>
          <w:vertAlign w:val="superscript"/>
          <w:lang w:val="fr-FR"/>
        </w:rPr>
        <w:t>s</w:t>
      </w:r>
      <w:r w:rsidR="002C582E">
        <w:rPr>
          <w:lang w:val="fr-FR"/>
        </w:rPr>
        <w:t> </w:t>
      </w:r>
      <w:r>
        <w:rPr>
          <w:lang w:val="fr-FR"/>
        </w:rPr>
        <w:t>3, 4, 6, 7, 19, 23, 27, 38, 50, 69, 70, 77, 87, 91, 98, 104, 112, 113, 119 et 123 (ECE/TRANS/WP.29/GRE/2017/13). L’expert de l’Inde a fait des observations concernant les propositions du groupe de travail informel (GRE-78-26).</w:t>
      </w:r>
    </w:p>
    <w:p w:rsidR="00D0672B" w:rsidRDefault="00D0672B" w:rsidP="002C582E">
      <w:pPr>
        <w:pStyle w:val="SingleTxtG"/>
      </w:pPr>
      <w:r>
        <w:rPr>
          <w:lang w:val="fr-FR"/>
        </w:rPr>
        <w:t>8.</w:t>
      </w:r>
      <w:r>
        <w:rPr>
          <w:lang w:val="fr-FR"/>
        </w:rPr>
        <w:tab/>
        <w:t>Le GRE a décidé que les nouveaux Règlements et les amendements nécessaires aux</w:t>
      </w:r>
      <w:r w:rsidR="002C582E">
        <w:rPr>
          <w:lang w:val="fr-FR"/>
        </w:rPr>
        <w:t> </w:t>
      </w:r>
      <w:r>
        <w:rPr>
          <w:lang w:val="fr-FR"/>
        </w:rPr>
        <w:t>Règlements existants devraient être adoptés en bloc, éventuellement à la session suivante. Il a estimé que toutes les définitions devraient être regroupées en un seul endroit et que le Règlement n</w:t>
      </w:r>
      <w:r w:rsidRPr="00B53341">
        <w:rPr>
          <w:vertAlign w:val="superscript"/>
          <w:lang w:val="fr-FR"/>
        </w:rPr>
        <w:t>o</w:t>
      </w:r>
      <w:r w:rsidR="002C582E">
        <w:rPr>
          <w:lang w:val="fr-FR"/>
        </w:rPr>
        <w:t> </w:t>
      </w:r>
      <w:r>
        <w:rPr>
          <w:lang w:val="fr-FR"/>
        </w:rPr>
        <w:t>48 serait le meilleur choix à cette fin, en dépit du fait que ce</w:t>
      </w:r>
      <w:r w:rsidR="002C582E">
        <w:rPr>
          <w:lang w:val="fr-FR"/>
        </w:rPr>
        <w:t> </w:t>
      </w:r>
      <w:r>
        <w:rPr>
          <w:lang w:val="fr-FR"/>
        </w:rPr>
        <w:t>Règlement n’était pas appliqué par toutes les Parties contractantes à l’Accord de 1958. Le GRE a en outre décidé, en principe, que la période de transition pour commencer l’application des nouveaux Règlements devrait être de vingt-quatre mois, comme proposé par le groupe de travail informel dans le projet de dispositions transitoires. Il a décidé de reprendre l’examen de cette question lorsque le calendrier de l’entrée en vigueur du nouveau Règlement serait connu, ce qui dépendait de l’avancement des travaux du groupe de travail informel.</w:t>
      </w:r>
    </w:p>
    <w:p w:rsidR="00D0672B" w:rsidRDefault="00D0672B" w:rsidP="00250E04">
      <w:pPr>
        <w:pStyle w:val="SingleTxtG"/>
      </w:pPr>
      <w:r>
        <w:rPr>
          <w:lang w:val="fr-FR"/>
        </w:rPr>
        <w:t>9.</w:t>
      </w:r>
      <w:r>
        <w:rPr>
          <w:lang w:val="fr-FR"/>
        </w:rPr>
        <w:tab/>
        <w:t xml:space="preserve">L’expert de l’Allemagne a attiré l’attention du GRE sur le fait que la base de données électronique pour l’échange de renseignements sur les homologations de type (DETA) et l’identifiant unique ne seraient pas disponibles au moment de l’entrée en vigueur des nouveaux Règlements (GRE-78-27). Cela pourrait créer des difficultés pour l’application des marques d’homologation et empêcherait de tirer pleinement profit </w:t>
      </w:r>
      <w:r w:rsidRPr="005E25D7">
        <w:rPr>
          <w:szCs w:val="24"/>
          <w:lang w:val="fr-FR"/>
        </w:rPr>
        <w:t>d</w:t>
      </w:r>
      <w:r>
        <w:rPr>
          <w:szCs w:val="24"/>
          <w:lang w:val="fr-FR"/>
        </w:rPr>
        <w:t>e la simplification des R</w:t>
      </w:r>
      <w:r w:rsidRPr="005E25D7">
        <w:rPr>
          <w:szCs w:val="24"/>
          <w:lang w:val="fr-FR"/>
        </w:rPr>
        <w:t>èglement</w:t>
      </w:r>
      <w:r>
        <w:rPr>
          <w:szCs w:val="24"/>
          <w:lang w:val="fr-FR"/>
        </w:rPr>
        <w:t>s relatifs à l’éclairage et à la signalisation lumineuse</w:t>
      </w:r>
      <w:r w:rsidRPr="005E25D7">
        <w:rPr>
          <w:szCs w:val="24"/>
          <w:lang w:val="fr-FR"/>
        </w:rPr>
        <w:t>. Le</w:t>
      </w:r>
      <w:r>
        <w:rPr>
          <w:lang w:val="fr-FR"/>
        </w:rPr>
        <w:t xml:space="preserve"> GRE a décidé que les nouveaux Règlements devraient autoriser l’utilisation </w:t>
      </w:r>
      <w:r w:rsidR="009D03EC">
        <w:rPr>
          <w:lang w:val="fr-FR"/>
        </w:rPr>
        <w:t xml:space="preserve">de marques d’homologation quasi </w:t>
      </w:r>
      <w:r>
        <w:rPr>
          <w:lang w:val="fr-FR"/>
        </w:rPr>
        <w:t>traditionnelles</w:t>
      </w:r>
      <w:r>
        <w:t xml:space="preserve"> comme solution de remplacement</w:t>
      </w:r>
      <w:r>
        <w:rPr>
          <w:lang w:val="fr-FR"/>
        </w:rPr>
        <w:t>, en attendant que l’identifiant unique soit disponible.</w:t>
      </w:r>
    </w:p>
    <w:p w:rsidR="00D0672B" w:rsidRDefault="00D0672B" w:rsidP="00250E04">
      <w:pPr>
        <w:pStyle w:val="SingleTxtG"/>
      </w:pPr>
      <w:r>
        <w:rPr>
          <w:lang w:val="fr-FR"/>
        </w:rPr>
        <w:t>10.</w:t>
      </w:r>
      <w:r>
        <w:rPr>
          <w:lang w:val="fr-FR"/>
        </w:rPr>
        <w:tab/>
        <w:t xml:space="preserve">Au nom du </w:t>
      </w:r>
      <w:r>
        <w:rPr>
          <w:color w:val="000000"/>
          <w:szCs w:val="24"/>
        </w:rPr>
        <w:t>g</w:t>
      </w:r>
      <w:r w:rsidRPr="005A3924">
        <w:rPr>
          <w:color w:val="000000"/>
          <w:szCs w:val="24"/>
        </w:rPr>
        <w:t>roupe de travail informel chargé de la simplification des Règlements relatifs à l</w:t>
      </w:r>
      <w:r>
        <w:rPr>
          <w:color w:val="000000"/>
          <w:szCs w:val="24"/>
        </w:rPr>
        <w:t>’</w:t>
      </w:r>
      <w:r w:rsidRPr="005A3924">
        <w:rPr>
          <w:color w:val="000000"/>
          <w:szCs w:val="24"/>
        </w:rPr>
        <w:t>éclairage et à la signalisation lumineuse</w:t>
      </w:r>
      <w:r>
        <w:rPr>
          <w:lang w:val="fr-FR"/>
        </w:rPr>
        <w:t>, l’expert du GTB a présenté un nouveau concept d’«</w:t>
      </w:r>
      <w:r w:rsidR="00B448D0">
        <w:rPr>
          <w:lang w:val="fr-FR"/>
        </w:rPr>
        <w:t> </w:t>
      </w:r>
      <w:r>
        <w:rPr>
          <w:lang w:val="fr-FR"/>
        </w:rPr>
        <w:t>indice de modification</w:t>
      </w:r>
      <w:r w:rsidR="00B448D0">
        <w:rPr>
          <w:lang w:val="fr-FR"/>
        </w:rPr>
        <w:t> </w:t>
      </w:r>
      <w:r>
        <w:rPr>
          <w:lang w:val="fr-FR"/>
        </w:rPr>
        <w:t>» qui vise à adapter et à simplifier les marques d’homologation traditionnelles dans le contexte du nouveau Règlement relatif aux dispositifs de signalisation lumineuse (GRE-78-35 et Rev.1). En particulier, il a proposé un tableau qui énumère tous les dispositifs visés par ce Règlement et indique la série d’amendements avec les conditions les plus strictes s’appliquant à chaque dispositif. Après une discussion approfondie, le GRE a estimé qu’avoir, dans la marque d’homologation, les deux séries d’amendements en plus de l’indice serait superflu. Un certain nombre d’experts se sont prononcés en faveur d’une simple mention des séries d’amendements, précédées du numéro du Règlement. L’expert du Royaume-Uni a souligné la nécessité d’étudier la manière dont la solution proposée pourrait être appliquée à l’extension des homologations de type. Le Président a prié le groupe de travail informel de traiter cette question et a invité l’expert du Royaume-Uni à y apporter sa contribution.</w:t>
      </w:r>
    </w:p>
    <w:p w:rsidR="00D0672B" w:rsidRDefault="00D0672B" w:rsidP="00250E04">
      <w:pPr>
        <w:pStyle w:val="SingleTxtG"/>
      </w:pPr>
      <w:r>
        <w:rPr>
          <w:lang w:val="fr-FR"/>
        </w:rPr>
        <w:t>11.</w:t>
      </w:r>
      <w:r>
        <w:rPr>
          <w:lang w:val="fr-FR"/>
        </w:rPr>
        <w:tab/>
        <w:t xml:space="preserve">Le GRE a prié le </w:t>
      </w:r>
      <w:r>
        <w:rPr>
          <w:color w:val="000000"/>
          <w:szCs w:val="24"/>
        </w:rPr>
        <w:t>g</w:t>
      </w:r>
      <w:r w:rsidRPr="005A3924">
        <w:rPr>
          <w:color w:val="000000"/>
          <w:szCs w:val="24"/>
        </w:rPr>
        <w:t>roupe de travail informel chargé de la simplification des</w:t>
      </w:r>
      <w:r w:rsidR="00250E04">
        <w:rPr>
          <w:color w:val="000000"/>
          <w:szCs w:val="24"/>
        </w:rPr>
        <w:t> </w:t>
      </w:r>
      <w:r w:rsidRPr="005A3924">
        <w:rPr>
          <w:color w:val="000000"/>
          <w:szCs w:val="24"/>
        </w:rPr>
        <w:t>Règlements relatifs à l</w:t>
      </w:r>
      <w:r>
        <w:rPr>
          <w:color w:val="000000"/>
          <w:szCs w:val="24"/>
        </w:rPr>
        <w:t>’</w:t>
      </w:r>
      <w:r w:rsidRPr="005A3924">
        <w:rPr>
          <w:color w:val="000000"/>
          <w:szCs w:val="24"/>
        </w:rPr>
        <w:t>éclairage et à la signalisation lumineuse</w:t>
      </w:r>
      <w:r>
        <w:rPr>
          <w:lang w:val="fr-FR"/>
        </w:rPr>
        <w:t xml:space="preserve"> de consulter le Comité européen des groupements de constructeurs du machinisme agricole (CEMA) au sujet des projets d’amendements au Règlement n</w:t>
      </w:r>
      <w:r w:rsidRPr="00B53341">
        <w:rPr>
          <w:vertAlign w:val="superscript"/>
          <w:lang w:val="fr-FR"/>
        </w:rPr>
        <w:t>o</w:t>
      </w:r>
      <w:r w:rsidR="00250E04">
        <w:rPr>
          <w:lang w:val="fr-FR"/>
        </w:rPr>
        <w:t> </w:t>
      </w:r>
      <w:r>
        <w:rPr>
          <w:lang w:val="fr-FR"/>
        </w:rPr>
        <w:t>86. Il a également noté que le groupe de travail informel consulterait le groupe de travail informel de l’homologation de type internationale de l’ensemble du véhicule (IWVTA) concernant les marques d’homologation pour le nouveau Règlement sur les dispositifs de signalisation lumineuse.</w:t>
      </w:r>
    </w:p>
    <w:p w:rsidR="00D0672B" w:rsidRDefault="00D0672B" w:rsidP="00250E04">
      <w:pPr>
        <w:pStyle w:val="SingleTxtG"/>
      </w:pPr>
      <w:r>
        <w:rPr>
          <w:lang w:val="fr-FR"/>
        </w:rPr>
        <w:lastRenderedPageBreak/>
        <w:t>12.</w:t>
      </w:r>
      <w:r>
        <w:rPr>
          <w:lang w:val="fr-FR"/>
        </w:rPr>
        <w:tab/>
        <w:t>Le GRE a pris note d’un premier projet de règlement sur les dispositifs d’éclairage de la route (GRE-78-31) et a invité les experts à adresser leurs observations au groupe de travail informel d’ici à décembre 2017.</w:t>
      </w:r>
    </w:p>
    <w:p w:rsidR="00D0672B" w:rsidRPr="00A84E1A" w:rsidRDefault="00D0672B" w:rsidP="00250E04">
      <w:pPr>
        <w:pStyle w:val="SingleTxtG"/>
      </w:pPr>
      <w:r>
        <w:rPr>
          <w:lang w:val="fr-FR"/>
        </w:rPr>
        <w:t>13.</w:t>
      </w:r>
      <w:r>
        <w:rPr>
          <w:lang w:val="fr-FR"/>
        </w:rPr>
        <w:tab/>
        <w:t>Étant donné la période actuelle d’inactivité en ce qui concerne les Règlements existants (stade 1 du processus de simplification), l’expert de la Finlande a sollicité l’accord du GRE pour corriger une erreur dans le complément 28</w:t>
      </w:r>
      <w:r w:rsidR="00250E04">
        <w:rPr>
          <w:lang w:val="fr-FR"/>
        </w:rPr>
        <w:t xml:space="preserve"> à la série 01 d’amendements au </w:t>
      </w:r>
      <w:r>
        <w:rPr>
          <w:lang w:val="fr-FR"/>
        </w:rPr>
        <w:t>Règlement n</w:t>
      </w:r>
      <w:r w:rsidRPr="00B53341">
        <w:rPr>
          <w:vertAlign w:val="superscript"/>
          <w:lang w:val="fr-FR"/>
        </w:rPr>
        <w:t>o</w:t>
      </w:r>
      <w:r w:rsidR="00250E04">
        <w:rPr>
          <w:lang w:val="fr-FR"/>
        </w:rPr>
        <w:t> </w:t>
      </w:r>
      <w:r>
        <w:rPr>
          <w:lang w:val="fr-FR"/>
        </w:rPr>
        <w:t>6 (GRE-78-06). Le GRE a donné son accord (voir annexe II) et a demandé au secrétariat de soumettre le rectificatif, dans la forme juridique appropriée, au WP.29 et au Comité d’administration de l’Accord de 1958 (AC.1) pour examen et mise aux voix à leurs sessions de mars 2018.</w:t>
      </w:r>
    </w:p>
    <w:p w:rsidR="00D0672B" w:rsidRDefault="00D0672B" w:rsidP="00250E04">
      <w:pPr>
        <w:pStyle w:val="SingleTxtG"/>
      </w:pPr>
      <w:r>
        <w:rPr>
          <w:lang w:val="fr-FR"/>
        </w:rPr>
        <w:t>14.</w:t>
      </w:r>
      <w:r>
        <w:rPr>
          <w:lang w:val="fr-FR"/>
        </w:rPr>
        <w:tab/>
        <w:t>En attendant les résultats de la discussion sur les sources lumineuses à diodes électroluminescentes (DEL) de substitution (voir par.</w:t>
      </w:r>
      <w:r w:rsidR="00250E04">
        <w:rPr>
          <w:lang w:val="fr-FR"/>
        </w:rPr>
        <w:t> </w:t>
      </w:r>
      <w:r>
        <w:rPr>
          <w:lang w:val="fr-FR"/>
        </w:rPr>
        <w:t>17 à 19 ci-dessous), le GRE a décidé de reporter l’examen des documents ECE/TRANS/WP.29/GRE/2017/14, ECE/TRANS/WP.2</w:t>
      </w:r>
      <w:r w:rsidR="009D03EC">
        <w:rPr>
          <w:lang w:val="fr-FR"/>
        </w:rPr>
        <w:t>9/GRE/2017/15 et GRE-</w:t>
      </w:r>
      <w:r>
        <w:rPr>
          <w:lang w:val="fr-FR"/>
        </w:rPr>
        <w:t>78-04.</w:t>
      </w:r>
    </w:p>
    <w:p w:rsidR="00D0672B" w:rsidRPr="00A84E1A" w:rsidRDefault="00D0672B" w:rsidP="00250E04">
      <w:pPr>
        <w:pStyle w:val="HChG"/>
      </w:pPr>
      <w:r>
        <w:rPr>
          <w:lang w:val="fr-FR"/>
        </w:rPr>
        <w:tab/>
        <w:t>VI.</w:t>
      </w:r>
      <w:r>
        <w:rPr>
          <w:lang w:val="fr-FR"/>
        </w:rPr>
        <w:tab/>
        <w:t>Règlements n</w:t>
      </w:r>
      <w:r w:rsidRPr="00D47123">
        <w:rPr>
          <w:vertAlign w:val="superscript"/>
          <w:lang w:val="fr-FR"/>
        </w:rPr>
        <w:t>os</w:t>
      </w:r>
      <w:r w:rsidR="00250E04">
        <w:rPr>
          <w:lang w:val="fr-FR"/>
        </w:rPr>
        <w:t> </w:t>
      </w:r>
      <w:r>
        <w:rPr>
          <w:lang w:val="fr-FR"/>
        </w:rPr>
        <w:t>37 (Lampes à incandescence), 99 (Sources lumineuses à décharge), 128 (Sources lumineuses à diodes électroluminescentes) et Résolution d’ensemble sur une spécification commune des catégories de sources lumineuses (point 5 de l’ordre du jour)</w:t>
      </w:r>
    </w:p>
    <w:p w:rsidR="00D0672B" w:rsidRDefault="00D0672B" w:rsidP="00250E04">
      <w:pPr>
        <w:pStyle w:val="SingleTxtG"/>
        <w:tabs>
          <w:tab w:val="left" w:pos="2552"/>
        </w:tabs>
        <w:ind w:left="2552" w:hanging="1418"/>
        <w:jc w:val="left"/>
      </w:pPr>
      <w:r>
        <w:rPr>
          <w:i/>
          <w:iCs/>
          <w:lang w:val="fr-FR"/>
        </w:rPr>
        <w:t>Document(s)</w:t>
      </w:r>
      <w:r w:rsidR="00250E04">
        <w:rPr>
          <w:i/>
          <w:iCs/>
          <w:lang w:val="fr-FR"/>
        </w:rPr>
        <w:t> </w:t>
      </w:r>
      <w:r w:rsidRPr="00250E04">
        <w:rPr>
          <w:iCs/>
          <w:lang w:val="fr-FR"/>
        </w:rPr>
        <w:t>:</w:t>
      </w:r>
      <w:r>
        <w:rPr>
          <w:lang w:val="fr-FR"/>
        </w:rPr>
        <w:tab/>
        <w:t>ECE/TRANS/WP.29/GRE/2017/16, ECE/TRANS/WP.29/GRE/2017/17, ECE/TRANS/WP.29/GRE/2017/18, ECE/TRANS/WP.29/GRE/2017/19, ECE/TRANS/WP.29/GRE/2017/20, ECE/TRANS/WP.29/GRE/2017/</w:t>
      </w:r>
      <w:r w:rsidR="009D03EC">
        <w:rPr>
          <w:lang w:val="fr-FR"/>
        </w:rPr>
        <w:t>21, ECE/TRANS/WP.29/GRE/2017/22 ;</w:t>
      </w:r>
      <w:r>
        <w:rPr>
          <w:lang w:val="fr-FR"/>
        </w:rPr>
        <w:t xml:space="preserve"> </w:t>
      </w:r>
      <w:r w:rsidR="00250E04">
        <w:rPr>
          <w:lang w:val="fr-FR"/>
        </w:rPr>
        <w:br/>
        <w:t>D</w:t>
      </w:r>
      <w:r>
        <w:rPr>
          <w:lang w:val="fr-FR"/>
        </w:rPr>
        <w:t xml:space="preserve">ocuments informels GRE-78-02, GRE-78-18, GRE-78-19, </w:t>
      </w:r>
      <w:r w:rsidR="00250E04">
        <w:rPr>
          <w:lang w:val="fr-FR"/>
        </w:rPr>
        <w:br/>
      </w:r>
      <w:r>
        <w:rPr>
          <w:lang w:val="fr-FR"/>
        </w:rPr>
        <w:t>GRE-78-28, GRE-78-33</w:t>
      </w:r>
      <w:r w:rsidR="00250E04">
        <w:rPr>
          <w:lang w:val="fr-FR"/>
        </w:rPr>
        <w:t>.</w:t>
      </w:r>
    </w:p>
    <w:p w:rsidR="00D0672B" w:rsidRPr="00A84E1A" w:rsidRDefault="00D0672B" w:rsidP="00250E04">
      <w:pPr>
        <w:pStyle w:val="SingleTxtG"/>
      </w:pPr>
      <w:r>
        <w:rPr>
          <w:lang w:val="fr-FR"/>
        </w:rPr>
        <w:t>15.</w:t>
      </w:r>
      <w:r>
        <w:rPr>
          <w:lang w:val="fr-FR"/>
        </w:rPr>
        <w:tab/>
        <w:t>L’expert du GTB a proposé un amendement au Règlement n</w:t>
      </w:r>
      <w:r w:rsidRPr="00B53341">
        <w:rPr>
          <w:vertAlign w:val="superscript"/>
          <w:lang w:val="fr-FR"/>
        </w:rPr>
        <w:t>o</w:t>
      </w:r>
      <w:r w:rsidR="00250E04">
        <w:rPr>
          <w:lang w:val="fr-FR"/>
        </w:rPr>
        <w:t> </w:t>
      </w:r>
      <w:r>
        <w:rPr>
          <w:lang w:val="fr-FR"/>
        </w:rPr>
        <w:t>37, qui vise à corriger une erreur et à harmoniser un terme avec le Règlement n</w:t>
      </w:r>
      <w:r w:rsidRPr="00B53341">
        <w:rPr>
          <w:vertAlign w:val="superscript"/>
          <w:lang w:val="fr-FR"/>
        </w:rPr>
        <w:t>o</w:t>
      </w:r>
      <w:r w:rsidR="00250E04">
        <w:rPr>
          <w:lang w:val="fr-FR"/>
        </w:rPr>
        <w:t> </w:t>
      </w:r>
      <w:r>
        <w:rPr>
          <w:lang w:val="fr-FR"/>
        </w:rPr>
        <w:t>128 (ECE/TRANS/WP.29/GRE/2017/19). Le GRE a adopté l’amendement en tant que projet de complément 46 à la série 03 d’amendements et prié le secrétariat de le soumettre au WP.29 et à l’AC.1 pour examen et mise aux voix à leurs sessions de mars 2018.</w:t>
      </w:r>
    </w:p>
    <w:p w:rsidR="00D0672B" w:rsidRDefault="00D0672B" w:rsidP="00250E04">
      <w:pPr>
        <w:pStyle w:val="SingleTxtG"/>
      </w:pPr>
      <w:r>
        <w:rPr>
          <w:lang w:val="fr-FR"/>
        </w:rPr>
        <w:t>16.</w:t>
      </w:r>
      <w:r>
        <w:rPr>
          <w:lang w:val="fr-FR"/>
        </w:rPr>
        <w:tab/>
        <w:t>L’expert du GTB a proposé de corriger et de modifier certaines spécifications de la</w:t>
      </w:r>
      <w:r w:rsidR="00250E04">
        <w:rPr>
          <w:lang w:val="fr-FR"/>
        </w:rPr>
        <w:t> </w:t>
      </w:r>
      <w:r>
        <w:rPr>
          <w:lang w:val="fr-FR"/>
        </w:rPr>
        <w:t>Résolution d’ensemble sur une spécification commune des catégories de sources lumineuses (R.E.5) (ECE/TRANS/WP.29/2017/18). L’expert de la CEI a proposé une autre correction à la R.E.5 (GRE-78-19 et annexe III). Le GRE a adopté ces propositions et a demandé au secrétariat de les soumettre au WP.29 pour examen et adoption à sa session de mars 2018, en tant que projet d’amendement 1 à la version originale de la R.E.5.</w:t>
      </w:r>
    </w:p>
    <w:p w:rsidR="00D0672B" w:rsidRDefault="00D0672B" w:rsidP="00250E04">
      <w:pPr>
        <w:pStyle w:val="SingleTxtG"/>
      </w:pPr>
      <w:r>
        <w:rPr>
          <w:lang w:val="fr-FR"/>
        </w:rPr>
        <w:t>17.</w:t>
      </w:r>
      <w:r>
        <w:rPr>
          <w:lang w:val="fr-FR"/>
        </w:rPr>
        <w:tab/>
        <w:t>L’expert du GTB a présenté des propositions d’amendements révisées au Règlement n</w:t>
      </w:r>
      <w:r w:rsidRPr="00B53341">
        <w:rPr>
          <w:vertAlign w:val="superscript"/>
          <w:lang w:val="fr-FR"/>
        </w:rPr>
        <w:t>o</w:t>
      </w:r>
      <w:r w:rsidR="00250E04">
        <w:rPr>
          <w:lang w:val="fr-FR"/>
        </w:rPr>
        <w:t> </w:t>
      </w:r>
      <w:r>
        <w:rPr>
          <w:lang w:val="fr-FR"/>
        </w:rPr>
        <w:t>128 et à la R.E.5 qui visent à introduire des prescriptions, des spécifications d’essai et de nouvelles catégories pour les sources lumineuses à diodes élect</w:t>
      </w:r>
      <w:r w:rsidR="009D03EC">
        <w:rPr>
          <w:lang w:val="fr-FR"/>
        </w:rPr>
        <w:t>roluminescentes de substitution</w:t>
      </w:r>
      <w:r>
        <w:rPr>
          <w:lang w:val="fr-FR"/>
        </w:rPr>
        <w:t xml:space="preserve"> (ECE/TRANS/WP.29/GRE/2017/17 et ECE/TRANS/WP.29/GRE/2017/21). Les propositions comprenaient également des amendements collectifs aux Règlements n</w:t>
      </w:r>
      <w:r w:rsidRPr="00B53341">
        <w:rPr>
          <w:vertAlign w:val="superscript"/>
          <w:lang w:val="fr-FR"/>
        </w:rPr>
        <w:t>o</w:t>
      </w:r>
      <w:r>
        <w:rPr>
          <w:vertAlign w:val="superscript"/>
          <w:lang w:val="fr-FR"/>
        </w:rPr>
        <w:t>s</w:t>
      </w:r>
      <w:r w:rsidR="00250E04">
        <w:rPr>
          <w:lang w:val="fr-FR"/>
        </w:rPr>
        <w:t> </w:t>
      </w:r>
      <w:r>
        <w:rPr>
          <w:lang w:val="fr-FR"/>
        </w:rPr>
        <w:t>48, 53, 74 et 86 (ECE/TRANS/WP.29/GRE/2017/22 et GRE-78-02). Les experts de l’Italie et de l’OICA ont présenté des observations écrites sur ces propositions (GRE-78-33 et GRE-78-28).</w:t>
      </w:r>
    </w:p>
    <w:p w:rsidR="00D0672B" w:rsidRDefault="00D0672B" w:rsidP="00250E04">
      <w:pPr>
        <w:pStyle w:val="SingleTxtG"/>
        <w:rPr>
          <w:szCs w:val="24"/>
        </w:rPr>
      </w:pPr>
      <w:r>
        <w:rPr>
          <w:lang w:val="fr-FR"/>
        </w:rPr>
        <w:t>18.</w:t>
      </w:r>
      <w:r>
        <w:rPr>
          <w:lang w:val="fr-FR"/>
        </w:rPr>
        <w:tab/>
        <w:t xml:space="preserve">Le GRE a noté que, par rapport aux propositions initiales du GTB qui avaient été examinées à la session précédente, les propositions révisées prévoyaient des garanties contre la possible utilisation impropre des sources lumineuses à DEL de substitution comme ampoules de remplacement dans les feux et/ou les véhicules qui n’étaient pas homologués pour l’utilisation de ces sources lumineuses. Un certain nombre d’experts ont estimé que les mesures proposées, telles que l’avertissement au consommateur sur les emballages et un site Web comportant une liste des modèles de véhicules compatibles, n’étaient pas suffisantes et ont réitéré les préoccupations qu’ils avaient soulevées lors de la </w:t>
      </w:r>
      <w:r>
        <w:rPr>
          <w:lang w:val="fr-FR"/>
        </w:rPr>
        <w:lastRenderedPageBreak/>
        <w:t>session précédente. L’expert de l’OICA a souligné que, pour éviter toute responsabilité dans l’utilisation abusive des sources à DEL de substitution lorsque celles-ci sont installées sur des types de véhicules anciens, il aurait fallu imposer aux constructeurs de procéder à des extensions d’homologations de type conformément à la précédente série d’amendements au Règlement n</w:t>
      </w:r>
      <w:r w:rsidRPr="00B53341">
        <w:rPr>
          <w:vertAlign w:val="superscript"/>
          <w:lang w:val="fr-FR"/>
        </w:rPr>
        <w:t>o</w:t>
      </w:r>
      <w:r w:rsidR="00250E04">
        <w:rPr>
          <w:lang w:val="fr-FR"/>
        </w:rPr>
        <w:t> </w:t>
      </w:r>
      <w:r>
        <w:rPr>
          <w:lang w:val="fr-FR"/>
        </w:rPr>
        <w:t>48 (GRE-78-28). Le GRE a reconnu le problème et a noté que les dispositions du Règlement n</w:t>
      </w:r>
      <w:r w:rsidRPr="00B53341">
        <w:rPr>
          <w:vertAlign w:val="superscript"/>
          <w:lang w:val="fr-FR"/>
        </w:rPr>
        <w:t>o</w:t>
      </w:r>
      <w:r w:rsidR="00250E04">
        <w:rPr>
          <w:lang w:val="fr-FR"/>
        </w:rPr>
        <w:t> </w:t>
      </w:r>
      <w:r>
        <w:rPr>
          <w:lang w:val="fr-FR"/>
        </w:rPr>
        <w:t>48 relatives à la détection des défaillances devraient être révisées. Certains experts ont préconisé l’idée d’un détrompeur qui serait matérialisé sur les culots d’ampoules DEL pour prévenir l’installation d’ampoules de rechange non autorisées.</w:t>
      </w:r>
    </w:p>
    <w:p w:rsidR="00D0672B" w:rsidRPr="00A84E1A" w:rsidRDefault="00D0672B" w:rsidP="00C9523A">
      <w:pPr>
        <w:pStyle w:val="SingleTxtG"/>
        <w:rPr>
          <w:szCs w:val="24"/>
        </w:rPr>
      </w:pPr>
      <w:r>
        <w:rPr>
          <w:lang w:val="fr-FR"/>
        </w:rPr>
        <w:t>19.</w:t>
      </w:r>
      <w:r>
        <w:rPr>
          <w:lang w:val="fr-FR"/>
        </w:rPr>
        <w:tab/>
        <w:t>Le GRE a noté que le débat avait abordé deux questions différentes mais interdépendantes</w:t>
      </w:r>
      <w:r w:rsidR="00C9523A">
        <w:rPr>
          <w:lang w:val="fr-FR"/>
        </w:rPr>
        <w:t> </w:t>
      </w:r>
      <w:r>
        <w:rPr>
          <w:lang w:val="fr-FR"/>
        </w:rPr>
        <w:t>: a)</w:t>
      </w:r>
      <w:r w:rsidR="00C9523A">
        <w:rPr>
          <w:lang w:val="fr-FR"/>
        </w:rPr>
        <w:t> </w:t>
      </w:r>
      <w:r>
        <w:rPr>
          <w:lang w:val="fr-FR"/>
        </w:rPr>
        <w:t>l’autorisation des sources lumineuses à DEL de substitution pour les nouvelles homologations de type, au niveau des fabricants et fournisseurs de matériel d’origine</w:t>
      </w:r>
      <w:r w:rsidR="00C9523A">
        <w:rPr>
          <w:lang w:val="fr-FR"/>
        </w:rPr>
        <w:t> ;</w:t>
      </w:r>
      <w:r>
        <w:rPr>
          <w:lang w:val="fr-FR"/>
        </w:rPr>
        <w:t xml:space="preserve"> et b)</w:t>
      </w:r>
      <w:r w:rsidR="00C9523A">
        <w:rPr>
          <w:lang w:val="fr-FR"/>
        </w:rPr>
        <w:t> </w:t>
      </w:r>
      <w:r>
        <w:rPr>
          <w:lang w:val="fr-FR"/>
        </w:rPr>
        <w:t>l’utilisation des lampes DEL en tant qu’ampoules de rechange sur les types de véhicules anciens. Certains experts étaient d’avis que les deux questions ne pouvaient être traitées séparément. Afin de faire avancer les choses, le GRE a décidé de créer une équipe spéciale. L’expert de l’Allemagne a indiqué qu’un autre expert de son pays agirait en qualité de Président de l’équipe spéciale, tandis que l’expert du Royaume-Uni a accepté d’en devenir Coprésident provisoirement. L’expert de la CEI a offert de fournir des services de secrétariat.</w:t>
      </w:r>
    </w:p>
    <w:p w:rsidR="00D0672B" w:rsidRDefault="00D0672B" w:rsidP="00C9523A">
      <w:pPr>
        <w:pStyle w:val="SingleTxtG"/>
      </w:pPr>
      <w:r>
        <w:rPr>
          <w:lang w:val="fr-FR"/>
        </w:rPr>
        <w:t>20.</w:t>
      </w:r>
      <w:r>
        <w:rPr>
          <w:lang w:val="fr-FR"/>
        </w:rPr>
        <w:tab/>
        <w:t>L’expert du GTB a présenté des propositions révisées d’amendements au Règlement n</w:t>
      </w:r>
      <w:r w:rsidRPr="00B53341">
        <w:rPr>
          <w:vertAlign w:val="superscript"/>
          <w:lang w:val="fr-FR"/>
        </w:rPr>
        <w:t>o</w:t>
      </w:r>
      <w:r w:rsidR="00C9523A">
        <w:rPr>
          <w:lang w:val="fr-FR"/>
        </w:rPr>
        <w:t> </w:t>
      </w:r>
      <w:r>
        <w:rPr>
          <w:lang w:val="fr-FR"/>
        </w:rPr>
        <w:t>128 et à la Résolution d’ensemble (R.E.5) qui visent à introduire des prescriptions, des spécifications d’essai et une nouvelle catégorie pour les sources lumineuses d’éclairage avant à diodes électroluminescentes de substitution (ECE/TRANS/WP.29/GRE/2017/16 et ECE/TRANS/WP.29/GRE/2017/20). Le GRE a adopté les amendements et prié le secrétariat de les soumettre au WP.29 et à l’AC.1 (Règlement n</w:t>
      </w:r>
      <w:r w:rsidRPr="00B53341">
        <w:rPr>
          <w:vertAlign w:val="superscript"/>
          <w:lang w:val="fr-FR"/>
        </w:rPr>
        <w:t>o</w:t>
      </w:r>
      <w:r w:rsidR="00C9523A">
        <w:rPr>
          <w:lang w:val="fr-FR"/>
        </w:rPr>
        <w:t> </w:t>
      </w:r>
      <w:r>
        <w:rPr>
          <w:lang w:val="fr-FR"/>
        </w:rPr>
        <w:t>128 seulement) pour examen et mise aux voix à leurs sessions de mars 2018. Il a noté que, s’il était adopté, l’amendement à la R.E.5 entrerait en vigueur le même jour que le complément au</w:t>
      </w:r>
      <w:r w:rsidR="00C9523A">
        <w:rPr>
          <w:lang w:val="fr-FR"/>
        </w:rPr>
        <w:t> </w:t>
      </w:r>
      <w:r>
        <w:rPr>
          <w:lang w:val="fr-FR"/>
        </w:rPr>
        <w:t>Règlement n</w:t>
      </w:r>
      <w:r w:rsidRPr="00B53341">
        <w:rPr>
          <w:vertAlign w:val="superscript"/>
          <w:lang w:val="fr-FR"/>
        </w:rPr>
        <w:t>o</w:t>
      </w:r>
      <w:r w:rsidR="00C9523A">
        <w:rPr>
          <w:lang w:val="fr-FR"/>
        </w:rPr>
        <w:t> </w:t>
      </w:r>
      <w:r>
        <w:rPr>
          <w:lang w:val="fr-FR"/>
        </w:rPr>
        <w:t>128 correspondant.</w:t>
      </w:r>
    </w:p>
    <w:p w:rsidR="00D0672B" w:rsidRDefault="00D0672B" w:rsidP="005567F4">
      <w:pPr>
        <w:pStyle w:val="SingleTxtG"/>
      </w:pPr>
      <w:r>
        <w:rPr>
          <w:lang w:val="fr-FR"/>
        </w:rPr>
        <w:t>21.</w:t>
      </w:r>
      <w:r>
        <w:rPr>
          <w:lang w:val="fr-FR"/>
        </w:rPr>
        <w:tab/>
        <w:t>L’expert de la CEI a fait observer que les Règlements n</w:t>
      </w:r>
      <w:r w:rsidRPr="00B53341">
        <w:rPr>
          <w:vertAlign w:val="superscript"/>
          <w:lang w:val="fr-FR"/>
        </w:rPr>
        <w:t>o</w:t>
      </w:r>
      <w:r>
        <w:rPr>
          <w:vertAlign w:val="superscript"/>
          <w:lang w:val="fr-FR"/>
        </w:rPr>
        <w:t>s</w:t>
      </w:r>
      <w:r w:rsidR="005567F4">
        <w:rPr>
          <w:lang w:val="fr-FR"/>
        </w:rPr>
        <w:t> </w:t>
      </w:r>
      <w:r>
        <w:rPr>
          <w:lang w:val="fr-FR"/>
        </w:rPr>
        <w:t>37, 99 et 128 prescrivent un code d’homologation pour le marquage des sources lumineuses. Dans certains cas, cependant, le libellé «</w:t>
      </w:r>
      <w:r w:rsidR="005567F4">
        <w:rPr>
          <w:lang w:val="fr-FR"/>
        </w:rPr>
        <w:t> </w:t>
      </w:r>
      <w:r>
        <w:rPr>
          <w:lang w:val="fr-FR"/>
        </w:rPr>
        <w:t>numéro d’homologation</w:t>
      </w:r>
      <w:r w:rsidR="005567F4">
        <w:rPr>
          <w:lang w:val="fr-FR"/>
        </w:rPr>
        <w:t> </w:t>
      </w:r>
      <w:r>
        <w:rPr>
          <w:lang w:val="fr-FR"/>
        </w:rPr>
        <w:t>» est utilisé. Il a proposé de corriger ces incohérences, précisément parce que l’annexe 4 de l’Accord de 1958 révisé établit une distinction entre le numéro d’homologation et le code d’homologation (GRE-78-18). L’expert des Pays-Bas s’est porté volontaire pour collaborer avec la CEI en vue de trouver une meilleure solution pour la fiche de communication figurant à l’annexe</w:t>
      </w:r>
      <w:r w:rsidR="005567F4">
        <w:rPr>
          <w:lang w:val="fr-FR"/>
        </w:rPr>
        <w:t> </w:t>
      </w:r>
      <w:r>
        <w:rPr>
          <w:lang w:val="fr-FR"/>
        </w:rPr>
        <w:t>1 des</w:t>
      </w:r>
      <w:r w:rsidR="005567F4">
        <w:rPr>
          <w:lang w:val="fr-FR"/>
        </w:rPr>
        <w:t> </w:t>
      </w:r>
      <w:r>
        <w:rPr>
          <w:lang w:val="fr-FR"/>
        </w:rPr>
        <w:t>Règlements susmentionnés et d’établir un document officiel pour la prochaine session du GRE.</w:t>
      </w:r>
    </w:p>
    <w:p w:rsidR="00D0672B" w:rsidRPr="00A84E1A" w:rsidRDefault="00D0672B" w:rsidP="005567F4">
      <w:pPr>
        <w:pStyle w:val="HChG"/>
      </w:pPr>
      <w:r>
        <w:rPr>
          <w:lang w:val="fr-FR"/>
        </w:rPr>
        <w:tab/>
        <w:t>VII.</w:t>
      </w:r>
      <w:r>
        <w:rPr>
          <w:lang w:val="fr-FR"/>
        </w:rPr>
        <w:tab/>
        <w:t>Règlement n</w:t>
      </w:r>
      <w:r w:rsidRPr="00551984">
        <w:rPr>
          <w:vertAlign w:val="superscript"/>
          <w:lang w:val="fr-FR"/>
        </w:rPr>
        <w:t>o</w:t>
      </w:r>
      <w:r w:rsidR="005567F4">
        <w:rPr>
          <w:lang w:val="fr-FR"/>
        </w:rPr>
        <w:t> </w:t>
      </w:r>
      <w:r>
        <w:rPr>
          <w:lang w:val="fr-FR"/>
        </w:rPr>
        <w:t xml:space="preserve">48 (Installation des dispositifs d’éclairage </w:t>
      </w:r>
      <w:r w:rsidR="005567F4">
        <w:rPr>
          <w:lang w:val="fr-FR"/>
        </w:rPr>
        <w:br/>
      </w:r>
      <w:r>
        <w:rPr>
          <w:lang w:val="fr-FR"/>
        </w:rPr>
        <w:t>et de signalisation lumineuse) (point 6 de l’ordre du jour)</w:t>
      </w:r>
    </w:p>
    <w:p w:rsidR="00D0672B" w:rsidRPr="00A84E1A" w:rsidRDefault="00D0672B" w:rsidP="005567F4">
      <w:pPr>
        <w:pStyle w:val="H1G"/>
      </w:pPr>
      <w:r>
        <w:rPr>
          <w:lang w:val="fr-FR"/>
        </w:rPr>
        <w:tab/>
        <w:t>A.</w:t>
      </w:r>
      <w:r>
        <w:rPr>
          <w:lang w:val="fr-FR"/>
        </w:rPr>
        <w:tab/>
        <w:t>Propositions d’amendements aux séries 05 et 06 d’amendements</w:t>
      </w:r>
    </w:p>
    <w:p w:rsidR="00D0672B" w:rsidRPr="00E4723D" w:rsidRDefault="00D0672B" w:rsidP="005567F4">
      <w:pPr>
        <w:pStyle w:val="SingleTxtG"/>
        <w:tabs>
          <w:tab w:val="left" w:pos="2552"/>
        </w:tabs>
        <w:ind w:left="2552" w:hanging="1418"/>
        <w:jc w:val="left"/>
      </w:pPr>
      <w:r>
        <w:rPr>
          <w:i/>
          <w:iCs/>
          <w:lang w:val="fr-FR"/>
        </w:rPr>
        <w:t>Document(s)</w:t>
      </w:r>
      <w:r w:rsidR="005567F4">
        <w:rPr>
          <w:i/>
          <w:iCs/>
          <w:lang w:val="fr-FR"/>
        </w:rPr>
        <w:t> </w:t>
      </w:r>
      <w:r w:rsidRPr="005567F4">
        <w:rPr>
          <w:iCs/>
          <w:lang w:val="fr-FR"/>
        </w:rPr>
        <w:t>:</w:t>
      </w:r>
      <w:r w:rsidRPr="005567F4">
        <w:rPr>
          <w:lang w:val="fr-FR"/>
        </w:rPr>
        <w:t xml:space="preserve"> </w:t>
      </w:r>
      <w:r>
        <w:rPr>
          <w:lang w:val="fr-FR"/>
        </w:rPr>
        <w:tab/>
        <w:t>ECE/TRANS/WP.29/GRE/2017/23, ECE/TRANS/WP.29/GRE/2017/</w:t>
      </w:r>
      <w:r w:rsidR="005567F4">
        <w:rPr>
          <w:lang w:val="fr-FR"/>
        </w:rPr>
        <w:t>24 ;</w:t>
      </w:r>
      <w:r>
        <w:rPr>
          <w:lang w:val="fr-FR"/>
        </w:rPr>
        <w:t xml:space="preserve"> </w:t>
      </w:r>
      <w:r w:rsidR="005567F4">
        <w:rPr>
          <w:lang w:val="fr-FR"/>
        </w:rPr>
        <w:t xml:space="preserve">Documents </w:t>
      </w:r>
      <w:r>
        <w:rPr>
          <w:lang w:val="fr-FR"/>
        </w:rPr>
        <w:t xml:space="preserve">informels GRE-77-25, GRE-78-05, GRE-78-21-Rev.1, </w:t>
      </w:r>
      <w:r w:rsidR="005567F4">
        <w:rPr>
          <w:lang w:val="fr-FR"/>
        </w:rPr>
        <w:br/>
      </w:r>
      <w:r>
        <w:rPr>
          <w:lang w:val="fr-FR"/>
        </w:rPr>
        <w:t>GRE-78-29 et GRE-78-30</w:t>
      </w:r>
      <w:r w:rsidR="005567F4">
        <w:rPr>
          <w:lang w:val="fr-FR"/>
        </w:rPr>
        <w:t>.</w:t>
      </w:r>
    </w:p>
    <w:p w:rsidR="00D0672B" w:rsidRDefault="00D0672B" w:rsidP="00DE3B57">
      <w:pPr>
        <w:pStyle w:val="SingleTxtG"/>
        <w:rPr>
          <w:color w:val="000000"/>
        </w:rPr>
      </w:pPr>
      <w:r>
        <w:rPr>
          <w:lang w:val="fr-FR"/>
        </w:rPr>
        <w:t>22.</w:t>
      </w:r>
      <w:r>
        <w:rPr>
          <w:lang w:val="fr-FR"/>
        </w:rPr>
        <w:tab/>
        <w:t>L’expert des Pays-Bas a fait rapport sur les activités de l’Équipe spéciale sur l’allumage des projecteurs (HS). Il a présenté un premier projet de propositions d’amendements à la série 06 d’amendements au Règlement n</w:t>
      </w:r>
      <w:r w:rsidRPr="00B53341">
        <w:rPr>
          <w:vertAlign w:val="superscript"/>
          <w:lang w:val="fr-FR"/>
        </w:rPr>
        <w:t>o</w:t>
      </w:r>
      <w:r w:rsidR="00DE3B57">
        <w:rPr>
          <w:lang w:val="fr-FR"/>
        </w:rPr>
        <w:t> </w:t>
      </w:r>
      <w:r>
        <w:rPr>
          <w:lang w:val="fr-FR"/>
        </w:rPr>
        <w:t>48 (GRE-78-21-Rev.1) et un aperçu de nouvelles corrections de forme qui pourraient être nécessaires (GRE-78-30). Le</w:t>
      </w:r>
      <w:r w:rsidR="00DE3B57">
        <w:rPr>
          <w:lang w:val="fr-FR"/>
        </w:rPr>
        <w:t> </w:t>
      </w:r>
      <w:r>
        <w:rPr>
          <w:lang w:val="fr-FR"/>
        </w:rPr>
        <w:t>GRE a décidé que ces documents devraient être publiés sous une cote officielle pour la prochaine session.</w:t>
      </w:r>
    </w:p>
    <w:p w:rsidR="00D0672B" w:rsidRDefault="00D0672B" w:rsidP="00DE3B57">
      <w:pPr>
        <w:pStyle w:val="SingleTxtG"/>
        <w:rPr>
          <w:color w:val="000000"/>
        </w:rPr>
      </w:pPr>
      <w:r>
        <w:rPr>
          <w:lang w:val="fr-FR"/>
        </w:rPr>
        <w:t>23.</w:t>
      </w:r>
      <w:r>
        <w:rPr>
          <w:lang w:val="fr-FR"/>
        </w:rPr>
        <w:tab/>
        <w:t>L’expert du Japon a fourni une interprétation des dispositions de la série 06 d’amendements au Règlement n</w:t>
      </w:r>
      <w:r w:rsidRPr="00B53341">
        <w:rPr>
          <w:vertAlign w:val="superscript"/>
          <w:lang w:val="fr-FR"/>
        </w:rPr>
        <w:t>o</w:t>
      </w:r>
      <w:r w:rsidR="00DE3B57">
        <w:rPr>
          <w:lang w:val="fr-FR"/>
        </w:rPr>
        <w:t> </w:t>
      </w:r>
      <w:r>
        <w:rPr>
          <w:lang w:val="fr-FR"/>
        </w:rPr>
        <w:t xml:space="preserve">48 concernant l’allumage automatique des feux de croisement et des feux de circulation diurne en fonction de la luminosité ambiante et </w:t>
      </w:r>
      <w:r>
        <w:rPr>
          <w:lang w:val="fr-FR"/>
        </w:rPr>
        <w:lastRenderedPageBreak/>
        <w:t>souligné leur</w:t>
      </w:r>
      <w:r w:rsidR="009D03EC">
        <w:rPr>
          <w:lang w:val="fr-FR"/>
        </w:rPr>
        <w:t>s</w:t>
      </w:r>
      <w:r>
        <w:rPr>
          <w:lang w:val="fr-FR"/>
        </w:rPr>
        <w:t xml:space="preserve"> incidences positives sur la sécurité routière (GRE-78-29). Toutefois, le GRE et l’Équipe spéciale sur l’allumage des projecteurs ont noté les inquiétudes du Japon concernant les possibilités de désactivation manuelle de ces feux et ont décidé de revenir sur cette question à la prochaine session.</w:t>
      </w:r>
    </w:p>
    <w:p w:rsidR="00D0672B" w:rsidRPr="00A84E1A" w:rsidRDefault="00D0672B" w:rsidP="00DE3B57">
      <w:pPr>
        <w:pStyle w:val="SingleTxtG"/>
      </w:pPr>
      <w:r>
        <w:rPr>
          <w:lang w:val="fr-FR"/>
        </w:rPr>
        <w:t>24.</w:t>
      </w:r>
      <w:r>
        <w:rPr>
          <w:lang w:val="fr-FR"/>
        </w:rPr>
        <w:tab/>
        <w:t>Faute de temps, le Groupe de travail n’a pas pu examiner les documents ECE/TRANS/WP.29/GRE/2017/23, ECE/TRANS/WP.29/GRE/2017/24, GRE-77-25 et GRE-78-05.</w:t>
      </w:r>
    </w:p>
    <w:p w:rsidR="00D0672B" w:rsidRPr="00A84E1A" w:rsidRDefault="00D0672B" w:rsidP="00DE3B57">
      <w:pPr>
        <w:pStyle w:val="H1G"/>
      </w:pPr>
      <w:r>
        <w:rPr>
          <w:lang w:val="fr-FR"/>
        </w:rPr>
        <w:tab/>
        <w:t>B.</w:t>
      </w:r>
      <w:r>
        <w:rPr>
          <w:lang w:val="fr-FR"/>
        </w:rPr>
        <w:tab/>
        <w:t>Autres propositions d’amendements au Règlement n</w:t>
      </w:r>
      <w:r w:rsidRPr="00B53341">
        <w:rPr>
          <w:vertAlign w:val="superscript"/>
          <w:lang w:val="fr-FR"/>
        </w:rPr>
        <w:t>o</w:t>
      </w:r>
      <w:r w:rsidR="00DE3B57">
        <w:rPr>
          <w:lang w:val="fr-FR"/>
        </w:rPr>
        <w:t> </w:t>
      </w:r>
      <w:r>
        <w:rPr>
          <w:lang w:val="fr-FR"/>
        </w:rPr>
        <w:t>48</w:t>
      </w:r>
    </w:p>
    <w:p w:rsidR="00D0672B" w:rsidRPr="00E4723D" w:rsidRDefault="00D0672B" w:rsidP="00DE3B57">
      <w:pPr>
        <w:pStyle w:val="SingleTxtG"/>
        <w:tabs>
          <w:tab w:val="left" w:pos="2552"/>
        </w:tabs>
        <w:ind w:left="2552" w:hanging="1418"/>
        <w:jc w:val="left"/>
      </w:pPr>
      <w:r>
        <w:rPr>
          <w:i/>
          <w:iCs/>
          <w:lang w:val="fr-FR"/>
        </w:rPr>
        <w:t>Document(s)</w:t>
      </w:r>
      <w:r w:rsidR="00DE3B57">
        <w:rPr>
          <w:i/>
          <w:iCs/>
          <w:lang w:val="fr-FR"/>
        </w:rPr>
        <w:t> </w:t>
      </w:r>
      <w:r w:rsidRPr="00DE3B57">
        <w:rPr>
          <w:iCs/>
          <w:lang w:val="fr-FR"/>
        </w:rPr>
        <w:t>:</w:t>
      </w:r>
      <w:r>
        <w:rPr>
          <w:lang w:val="fr-FR"/>
        </w:rPr>
        <w:tab/>
        <w:t>Documents informels GRE-78-23-Rev.1, GRE-78-32, GRE-78-36</w:t>
      </w:r>
      <w:r w:rsidR="00DE3B57">
        <w:rPr>
          <w:lang w:val="fr-FR"/>
        </w:rPr>
        <w:t>.</w:t>
      </w:r>
    </w:p>
    <w:p w:rsidR="00D0672B" w:rsidRPr="00A84E1A" w:rsidRDefault="00D0672B" w:rsidP="00DE3B57">
      <w:pPr>
        <w:pStyle w:val="SingleTxtG"/>
      </w:pPr>
      <w:r>
        <w:rPr>
          <w:lang w:val="fr-FR"/>
        </w:rPr>
        <w:t>25.</w:t>
      </w:r>
      <w:r>
        <w:rPr>
          <w:lang w:val="fr-FR"/>
        </w:rPr>
        <w:tab/>
        <w:t>L’expert de la Pologne, en sa qualité de Président du groupe de travail informel chargé de la visibilité, de l’éblouissement et du réglage (VGL), a rendu compte des activités de son groupe (GRE-78-36). Il a présenté une proposition et une justification concernant un diagramme qui définirait les limites d’une nouvelle orientation des feux de croisement (GRE</w:t>
      </w:r>
      <w:r w:rsidR="009D03EC">
        <w:rPr>
          <w:lang w:val="fr-FR"/>
        </w:rPr>
        <w:noBreakHyphen/>
      </w:r>
      <w:r>
        <w:rPr>
          <w:lang w:val="fr-FR"/>
        </w:rPr>
        <w:t>78</w:t>
      </w:r>
      <w:r w:rsidR="009D03EC">
        <w:rPr>
          <w:lang w:val="fr-FR"/>
        </w:rPr>
        <w:noBreakHyphen/>
      </w:r>
      <w:r>
        <w:rPr>
          <w:lang w:val="fr-FR"/>
        </w:rPr>
        <w:t>23-Rev.1) par des lignes. Il a également proposé de supprimer le critère de 2</w:t>
      </w:r>
      <w:r w:rsidR="00DE3B57">
        <w:rPr>
          <w:lang w:val="fr-FR"/>
        </w:rPr>
        <w:t> </w:t>
      </w:r>
      <w:r>
        <w:rPr>
          <w:lang w:val="fr-FR"/>
        </w:rPr>
        <w:t>000</w:t>
      </w:r>
      <w:r w:rsidR="00DE3B57">
        <w:rPr>
          <w:lang w:val="fr-FR"/>
        </w:rPr>
        <w:t> </w:t>
      </w:r>
      <w:r>
        <w:rPr>
          <w:lang w:val="fr-FR"/>
        </w:rPr>
        <w:t>lm (GRE-78-32).</w:t>
      </w:r>
    </w:p>
    <w:p w:rsidR="00D0672B" w:rsidRDefault="00D0672B" w:rsidP="00DE3B57">
      <w:pPr>
        <w:pStyle w:val="SingleTxtG"/>
      </w:pPr>
      <w:r>
        <w:rPr>
          <w:lang w:val="fr-FR"/>
        </w:rPr>
        <w:t>26.</w:t>
      </w:r>
      <w:r>
        <w:rPr>
          <w:lang w:val="fr-FR"/>
        </w:rPr>
        <w:tab/>
        <w:t>Concernant la ligne 1, le GRE est convenu d’un déplacement vers la droite jusqu’à la marque des 0,2</w:t>
      </w:r>
      <w:r w:rsidR="00DE3B57">
        <w:rPr>
          <w:lang w:val="fr-FR"/>
        </w:rPr>
        <w:t> </w:t>
      </w:r>
      <w:r>
        <w:rPr>
          <w:lang w:val="fr-FR"/>
        </w:rPr>
        <w:t>%. Plusieurs experts ont également convenu que cette variation devrait correspondre à un déplacement de la ligne 4 pour conserver la tolérance de 1,6</w:t>
      </w:r>
      <w:r w:rsidR="00DE3B57">
        <w:rPr>
          <w:lang w:val="fr-FR"/>
        </w:rPr>
        <w:t> </w:t>
      </w:r>
      <w:r>
        <w:rPr>
          <w:lang w:val="fr-FR"/>
        </w:rPr>
        <w:t>%. Les</w:t>
      </w:r>
      <w:r w:rsidR="00DE3B57">
        <w:rPr>
          <w:lang w:val="fr-FR"/>
        </w:rPr>
        <w:t> </w:t>
      </w:r>
      <w:r>
        <w:rPr>
          <w:lang w:val="fr-FR"/>
        </w:rPr>
        <w:t>experts de la Pologne et du Royaume-Uni ont souligné la nécessité d’une justification supplémentaire des tolérances pour déplacer la ligne 4 et ont invité l’OICA à fournir les précisions nécessaires. Sur la base des considérations du GRE, les experts de l’Italie, des</w:t>
      </w:r>
      <w:r w:rsidR="00DE3B57">
        <w:rPr>
          <w:lang w:val="fr-FR"/>
        </w:rPr>
        <w:t> </w:t>
      </w:r>
      <w:r>
        <w:rPr>
          <w:lang w:val="fr-FR"/>
        </w:rPr>
        <w:t>Pays-Bas, du Royaume-Uni et de l’OICA ont offert d’établir une proposition d’amendement pour examen à la prochaine session.</w:t>
      </w:r>
    </w:p>
    <w:p w:rsidR="00D0672B" w:rsidRDefault="00D0672B" w:rsidP="00DE3B57">
      <w:pPr>
        <w:pStyle w:val="SingleTxtG"/>
      </w:pPr>
      <w:r>
        <w:rPr>
          <w:lang w:val="fr-FR"/>
        </w:rPr>
        <w:t>27.</w:t>
      </w:r>
      <w:r>
        <w:rPr>
          <w:lang w:val="fr-FR"/>
        </w:rPr>
        <w:tab/>
        <w:t>Le GRE a décidé de demander l’accord du WP.29 pour proroger le mandat du groupe de travail informel chargé de la visibilité, de l’éblouissement et du réglage</w:t>
      </w:r>
      <w:r w:rsidDel="00AC7AA9">
        <w:rPr>
          <w:lang w:val="fr-FR"/>
        </w:rPr>
        <w:t xml:space="preserve"> </w:t>
      </w:r>
      <w:r>
        <w:rPr>
          <w:lang w:val="fr-FR"/>
        </w:rPr>
        <w:t>pour l’année 2018 et a prié celui-ci de revoir son mandat pour examen à la prochaine session du</w:t>
      </w:r>
      <w:r w:rsidR="00DE3B57">
        <w:rPr>
          <w:lang w:val="fr-FR"/>
        </w:rPr>
        <w:t> </w:t>
      </w:r>
      <w:r>
        <w:rPr>
          <w:lang w:val="fr-FR"/>
        </w:rPr>
        <w:t>GRE.</w:t>
      </w:r>
    </w:p>
    <w:p w:rsidR="00D0672B" w:rsidRPr="00A84E1A" w:rsidRDefault="00D0672B" w:rsidP="00DE3B57">
      <w:pPr>
        <w:pStyle w:val="HChG"/>
      </w:pPr>
      <w:r>
        <w:rPr>
          <w:lang w:val="fr-FR"/>
        </w:rPr>
        <w:tab/>
        <w:t>VIII.</w:t>
      </w:r>
      <w:r>
        <w:rPr>
          <w:lang w:val="fr-FR"/>
        </w:rPr>
        <w:tab/>
        <w:t>Autres Règlements (point 7 de l’ordre du jour)</w:t>
      </w:r>
    </w:p>
    <w:p w:rsidR="00D0672B" w:rsidRPr="00A84E1A" w:rsidRDefault="00D0672B" w:rsidP="00DE3B57">
      <w:pPr>
        <w:pStyle w:val="H1G"/>
      </w:pPr>
      <w:r>
        <w:rPr>
          <w:lang w:val="fr-FR"/>
        </w:rPr>
        <w:tab/>
        <w:t>A.</w:t>
      </w:r>
      <w:r>
        <w:rPr>
          <w:lang w:val="fr-FR"/>
        </w:rPr>
        <w:tab/>
        <w:t>Règlement n</w:t>
      </w:r>
      <w:r w:rsidRPr="00B53341">
        <w:rPr>
          <w:vertAlign w:val="superscript"/>
          <w:lang w:val="fr-FR"/>
        </w:rPr>
        <w:t>o</w:t>
      </w:r>
      <w:r w:rsidR="00DE3B57">
        <w:rPr>
          <w:lang w:val="fr-FR"/>
        </w:rPr>
        <w:t> </w:t>
      </w:r>
      <w:r>
        <w:rPr>
          <w:lang w:val="fr-FR"/>
        </w:rPr>
        <w:t>10 (Compatibilité électromagnétique)</w:t>
      </w:r>
    </w:p>
    <w:p w:rsidR="00D0672B" w:rsidRDefault="00D0672B" w:rsidP="00DE3B57">
      <w:pPr>
        <w:pStyle w:val="SingleTxtG"/>
        <w:tabs>
          <w:tab w:val="left" w:pos="2552"/>
        </w:tabs>
        <w:ind w:left="2552" w:hanging="1418"/>
        <w:jc w:val="left"/>
      </w:pPr>
      <w:r>
        <w:rPr>
          <w:i/>
          <w:iCs/>
          <w:lang w:val="fr-FR"/>
        </w:rPr>
        <w:t>Document(s)</w:t>
      </w:r>
      <w:r w:rsidR="009D03EC">
        <w:rPr>
          <w:i/>
          <w:iCs/>
          <w:lang w:val="fr-FR"/>
        </w:rPr>
        <w:t> </w:t>
      </w:r>
      <w:r w:rsidRPr="009D03EC">
        <w:rPr>
          <w:iCs/>
          <w:lang w:val="fr-FR"/>
        </w:rPr>
        <w:t>:</w:t>
      </w:r>
      <w:r w:rsidR="00DE3B57">
        <w:rPr>
          <w:lang w:val="fr-FR"/>
        </w:rPr>
        <w:tab/>
        <w:t>ECE/TRANS/WP.29/GRE/2017/12 ;</w:t>
      </w:r>
      <w:r w:rsidR="00DE3B57">
        <w:rPr>
          <w:lang w:val="fr-FR"/>
        </w:rPr>
        <w:br/>
        <w:t xml:space="preserve">Documents </w:t>
      </w:r>
      <w:r>
        <w:rPr>
          <w:lang w:val="fr-FR"/>
        </w:rPr>
        <w:t xml:space="preserve">informels GRE-78-09-Rev.1, GRE-78-10-Rev.1 </w:t>
      </w:r>
      <w:r w:rsidR="00DE3B57">
        <w:rPr>
          <w:lang w:val="fr-FR"/>
        </w:rPr>
        <w:br/>
      </w:r>
      <w:r>
        <w:rPr>
          <w:lang w:val="fr-FR"/>
        </w:rPr>
        <w:t>et GRE-78-25</w:t>
      </w:r>
      <w:r w:rsidR="00DE3B57">
        <w:rPr>
          <w:lang w:val="fr-FR"/>
        </w:rPr>
        <w:t>.</w:t>
      </w:r>
    </w:p>
    <w:p w:rsidR="00D0672B" w:rsidRDefault="00D0672B" w:rsidP="00404823">
      <w:pPr>
        <w:pStyle w:val="SingleTxtG"/>
      </w:pPr>
      <w:r>
        <w:rPr>
          <w:lang w:val="fr-FR"/>
        </w:rPr>
        <w:t>28.</w:t>
      </w:r>
      <w:r>
        <w:rPr>
          <w:lang w:val="fr-FR"/>
        </w:rPr>
        <w:tab/>
        <w:t>Au nom de l’Équipe spéciale de la compatibilité électromagnétique</w:t>
      </w:r>
      <w:r w:rsidR="009D03EC">
        <w:rPr>
          <w:lang w:val="fr-FR"/>
        </w:rPr>
        <w:t xml:space="preserve"> </w:t>
      </w:r>
      <w:r>
        <w:rPr>
          <w:lang w:val="fr-FR"/>
        </w:rPr>
        <w:t>(EMC), l’expert de l’OICA a présenté un rapport sur l’état d’avancement de</w:t>
      </w:r>
      <w:r w:rsidR="009D03EC">
        <w:rPr>
          <w:lang w:val="fr-FR"/>
        </w:rPr>
        <w:t>s activités de l’Équipe (GRE</w:t>
      </w:r>
      <w:r w:rsidR="009D03EC">
        <w:rPr>
          <w:lang w:val="fr-FR"/>
        </w:rPr>
        <w:noBreakHyphen/>
        <w:t>78</w:t>
      </w:r>
      <w:r w:rsidR="00404823">
        <w:rPr>
          <w:lang w:val="fr-FR"/>
        </w:rPr>
        <w:noBreakHyphen/>
      </w:r>
      <w:r w:rsidR="009D03EC">
        <w:rPr>
          <w:lang w:val="fr-FR"/>
        </w:rPr>
        <w:t>10</w:t>
      </w:r>
      <w:r w:rsidR="009D03EC">
        <w:rPr>
          <w:lang w:val="fr-FR"/>
        </w:rPr>
        <w:noBreakHyphen/>
        <w:t>Rev.1</w:t>
      </w:r>
      <w:r>
        <w:rPr>
          <w:lang w:val="fr-FR"/>
        </w:rPr>
        <w:t>). Il a également présenté des propositions révisées d’amendements au</w:t>
      </w:r>
      <w:r w:rsidR="00404823">
        <w:rPr>
          <w:lang w:val="fr-FR"/>
        </w:rPr>
        <w:t> </w:t>
      </w:r>
      <w:r>
        <w:rPr>
          <w:lang w:val="fr-FR"/>
        </w:rPr>
        <w:t>Règlement n</w:t>
      </w:r>
      <w:r w:rsidRPr="00B53341">
        <w:rPr>
          <w:vertAlign w:val="superscript"/>
          <w:lang w:val="fr-FR"/>
        </w:rPr>
        <w:t>o</w:t>
      </w:r>
      <w:r w:rsidR="00404823">
        <w:rPr>
          <w:lang w:val="fr-FR"/>
        </w:rPr>
        <w:t> </w:t>
      </w:r>
      <w:r>
        <w:rPr>
          <w:lang w:val="fr-FR"/>
        </w:rPr>
        <w:t xml:space="preserve">10 (ECE/TRANS/WP.29/GRE/2017/12) et de nouvelles dispositions transitoires (GRE-78-09-Rev.1). Il a en outre mentionné que l’Équipe spéciale examinait une proposition supplémentaire de l’expert de </w:t>
      </w:r>
      <w:r w:rsidR="009D03EC">
        <w:rPr>
          <w:lang w:val="fr-FR"/>
        </w:rPr>
        <w:t>l’</w:t>
      </w:r>
      <w:r>
        <w:rPr>
          <w:lang w:val="fr-FR"/>
        </w:rPr>
        <w:t>Espagne sur le mode de recharge directe actuel, qui serait présentée à la prochaine session du GRE.</w:t>
      </w:r>
    </w:p>
    <w:p w:rsidR="00D0672B" w:rsidRDefault="00D0672B" w:rsidP="00404823">
      <w:pPr>
        <w:pStyle w:val="SingleTxtG"/>
      </w:pPr>
      <w:r>
        <w:rPr>
          <w:lang w:val="fr-FR"/>
        </w:rPr>
        <w:t>29.</w:t>
      </w:r>
      <w:r>
        <w:rPr>
          <w:lang w:val="fr-FR"/>
        </w:rPr>
        <w:tab/>
        <w:t>Les experts de l’Inde (GRE-78-25) et des Pays-Bas ont formulé des observations concernant la partie technique des propositions de l’Équipe spéciale. Le GRE était d’avis que les nouvelles dispositions transitoires devraient être soumises en tant que document officiel et alignées sur le projet de Directives générales concernant l’élaboration des</w:t>
      </w:r>
      <w:r w:rsidR="00404823">
        <w:rPr>
          <w:lang w:val="fr-FR"/>
        </w:rPr>
        <w:t> </w:t>
      </w:r>
      <w:r>
        <w:rPr>
          <w:lang w:val="fr-FR"/>
        </w:rPr>
        <w:t>Règlements de l’ONU et des dispositions transitoires qui y sont énoncées, qui devrait être adopté par le WP.29 à sa session de novembre 2017 (ECE/TRANS/WP.29/2017/107, voir par.</w:t>
      </w:r>
      <w:r w:rsidR="00404823">
        <w:rPr>
          <w:lang w:val="fr-FR"/>
        </w:rPr>
        <w:t> </w:t>
      </w:r>
      <w:r>
        <w:rPr>
          <w:lang w:val="fr-FR"/>
        </w:rPr>
        <w:t>36 ci-dessous). Le GRE a prié l’Équipe spéciale de prendre en compte les considérations ci-dessus et de présenter, à la prochaine session, une proposition de synthèse révisée, éventuellement en tant que nouvelle série d’amendements au Règlement n</w:t>
      </w:r>
      <w:r w:rsidRPr="00B53341">
        <w:rPr>
          <w:vertAlign w:val="superscript"/>
          <w:lang w:val="fr-FR"/>
        </w:rPr>
        <w:t>o</w:t>
      </w:r>
      <w:r w:rsidR="00404823">
        <w:rPr>
          <w:lang w:val="fr-FR"/>
        </w:rPr>
        <w:t> </w:t>
      </w:r>
      <w:r>
        <w:rPr>
          <w:lang w:val="fr-FR"/>
        </w:rPr>
        <w:t>10.</w:t>
      </w:r>
    </w:p>
    <w:p w:rsidR="00D0672B" w:rsidRPr="00A84E1A" w:rsidRDefault="00D0672B" w:rsidP="00404823">
      <w:pPr>
        <w:pStyle w:val="H1G"/>
      </w:pPr>
      <w:r>
        <w:rPr>
          <w:lang w:val="fr-FR"/>
        </w:rPr>
        <w:lastRenderedPageBreak/>
        <w:tab/>
        <w:t>B.</w:t>
      </w:r>
      <w:r>
        <w:rPr>
          <w:lang w:val="fr-FR"/>
        </w:rPr>
        <w:tab/>
        <w:t>Règlement n</w:t>
      </w:r>
      <w:r w:rsidRPr="00B53341">
        <w:rPr>
          <w:vertAlign w:val="superscript"/>
          <w:lang w:val="fr-FR"/>
        </w:rPr>
        <w:t>o</w:t>
      </w:r>
      <w:r w:rsidR="00404823">
        <w:rPr>
          <w:lang w:val="fr-FR"/>
        </w:rPr>
        <w:t> </w:t>
      </w:r>
      <w:r>
        <w:rPr>
          <w:lang w:val="fr-FR"/>
        </w:rPr>
        <w:t xml:space="preserve">53 (Installation des dispositifs d’éclairage </w:t>
      </w:r>
      <w:r w:rsidR="00404823">
        <w:rPr>
          <w:lang w:val="fr-FR"/>
        </w:rPr>
        <w:br/>
      </w:r>
      <w:r>
        <w:rPr>
          <w:lang w:val="fr-FR"/>
        </w:rPr>
        <w:t xml:space="preserve">et de signalisation lumineuse sur les véhicules </w:t>
      </w:r>
      <w:r w:rsidR="00404823">
        <w:rPr>
          <w:lang w:val="fr-FR"/>
        </w:rPr>
        <w:br/>
      </w:r>
      <w:r>
        <w:rPr>
          <w:lang w:val="fr-FR"/>
        </w:rPr>
        <w:t>de la catégorie L</w:t>
      </w:r>
      <w:r w:rsidRPr="003703E9">
        <w:rPr>
          <w:vertAlign w:val="subscript"/>
          <w:lang w:val="fr-FR"/>
        </w:rPr>
        <w:t>3</w:t>
      </w:r>
      <w:r>
        <w:rPr>
          <w:lang w:val="fr-FR"/>
        </w:rPr>
        <w:t>)</w:t>
      </w:r>
    </w:p>
    <w:p w:rsidR="00D0672B" w:rsidRPr="00E4723D" w:rsidRDefault="00D0672B" w:rsidP="00404823">
      <w:pPr>
        <w:pStyle w:val="SingleTxtG"/>
        <w:tabs>
          <w:tab w:val="left" w:pos="2552"/>
        </w:tabs>
        <w:ind w:left="2552" w:hanging="1418"/>
        <w:jc w:val="left"/>
      </w:pPr>
      <w:r>
        <w:rPr>
          <w:i/>
          <w:iCs/>
          <w:lang w:val="fr-FR"/>
        </w:rPr>
        <w:t>Document(s)</w:t>
      </w:r>
      <w:r w:rsidR="00404823">
        <w:rPr>
          <w:i/>
          <w:iCs/>
          <w:lang w:val="fr-FR"/>
        </w:rPr>
        <w:t> </w:t>
      </w:r>
      <w:r w:rsidRPr="00404823">
        <w:rPr>
          <w:iCs/>
          <w:lang w:val="fr-FR"/>
        </w:rPr>
        <w:t>:</w:t>
      </w:r>
      <w:r>
        <w:rPr>
          <w:lang w:val="fr-FR"/>
        </w:rPr>
        <w:tab/>
        <w:t>ECE/TRANS/WP.29/GRE/2017/25, ECE/TRANS/WP.29/GRE/2017/</w:t>
      </w:r>
      <w:r w:rsidR="00404823">
        <w:rPr>
          <w:lang w:val="fr-FR"/>
        </w:rPr>
        <w:t>26, ECE/TRANS/WP.29/GRE/2017/27 ;</w:t>
      </w:r>
      <w:r>
        <w:rPr>
          <w:lang w:val="fr-FR"/>
        </w:rPr>
        <w:t xml:space="preserve"> </w:t>
      </w:r>
      <w:r w:rsidR="00404823">
        <w:rPr>
          <w:lang w:val="fr-FR"/>
        </w:rPr>
        <w:br/>
        <w:t xml:space="preserve">Documents </w:t>
      </w:r>
      <w:r>
        <w:rPr>
          <w:lang w:val="fr-FR"/>
        </w:rPr>
        <w:t>informels GRE-77-08, GRE-77-09, GRE-77-17, GRE-78-07, GRE-78-22 et GRE-78-24</w:t>
      </w:r>
      <w:r w:rsidR="00404823">
        <w:rPr>
          <w:lang w:val="fr-FR"/>
        </w:rPr>
        <w:t>.</w:t>
      </w:r>
    </w:p>
    <w:p w:rsidR="00D0672B" w:rsidRDefault="00D0672B" w:rsidP="00404823">
      <w:pPr>
        <w:pStyle w:val="SingleTxtG"/>
      </w:pPr>
      <w:r>
        <w:rPr>
          <w:lang w:val="fr-FR"/>
        </w:rPr>
        <w:t>30.</w:t>
      </w:r>
      <w:r>
        <w:rPr>
          <w:lang w:val="fr-FR"/>
        </w:rPr>
        <w:tab/>
        <w:t>L’expert de l’IMMA a proposé d’autoriser l’utilisation de méthodes différentes pour l’activation des feux stop et d’aligner les dispositions relatives aux feux stop sur celles applicables aux véhicules à quatre roues (ECE/TRANS/WP.29/GRE/2017/25 et GRE</w:t>
      </w:r>
      <w:r w:rsidR="00404823">
        <w:rPr>
          <w:lang w:val="fr-FR"/>
        </w:rPr>
        <w:noBreakHyphen/>
      </w:r>
      <w:r>
        <w:rPr>
          <w:lang w:val="fr-FR"/>
        </w:rPr>
        <w:t>78</w:t>
      </w:r>
      <w:r w:rsidR="00404823">
        <w:rPr>
          <w:lang w:val="fr-FR"/>
        </w:rPr>
        <w:noBreakHyphen/>
      </w:r>
      <w:r>
        <w:rPr>
          <w:lang w:val="fr-FR"/>
        </w:rPr>
        <w:t>07). Le GRE a noté qu’une proposition correspondante d’amendements au Règlement n</w:t>
      </w:r>
      <w:r w:rsidRPr="00B53341">
        <w:rPr>
          <w:vertAlign w:val="superscript"/>
          <w:lang w:val="fr-FR"/>
        </w:rPr>
        <w:t>o</w:t>
      </w:r>
      <w:r w:rsidR="00404823">
        <w:rPr>
          <w:lang w:val="fr-FR"/>
        </w:rPr>
        <w:t> </w:t>
      </w:r>
      <w:r>
        <w:rPr>
          <w:lang w:val="fr-FR"/>
        </w:rPr>
        <w:t>78 avait été soumise au Groupe de travail en matière de roulement et de freinage (GRRF). Les experts de l’Allemagne, de la Finlande, de l’Italie, des Pays-Bas et du Royaume-Uni ont formulé des observations concernant cette proposition. Le Président a invité l’expert de l’IMMA à réviser la proposition sur la base des observations reçues. Le</w:t>
      </w:r>
      <w:r w:rsidR="00404823">
        <w:rPr>
          <w:lang w:val="fr-FR"/>
        </w:rPr>
        <w:t> </w:t>
      </w:r>
      <w:r>
        <w:rPr>
          <w:lang w:val="fr-FR"/>
        </w:rPr>
        <w:t>GRE a décidé d’examiner, à la prochaine session, une proposition actualisée qui aborderait la question de sa forme juridique (complément ou nouvelle série d’amendements).</w:t>
      </w:r>
    </w:p>
    <w:p w:rsidR="00D0672B" w:rsidRDefault="00D0672B" w:rsidP="00404823">
      <w:pPr>
        <w:pStyle w:val="SingleTxtG"/>
      </w:pPr>
      <w:r>
        <w:rPr>
          <w:lang w:val="fr-FR"/>
        </w:rPr>
        <w:t>31.</w:t>
      </w:r>
      <w:r>
        <w:rPr>
          <w:lang w:val="fr-FR"/>
        </w:rPr>
        <w:tab/>
        <w:t>Faute de temps, le Groupe de travail n’a pas pu examiner les documents ECE/TRANS/WP.29/GRE/2017/26, ECE/TRANS/WP.29/GRE/2017/27, GRE-77-08, GRE-77-09, GRE-77-17, GRE-78-22 et GRE-78-24.</w:t>
      </w:r>
    </w:p>
    <w:p w:rsidR="00D0672B" w:rsidRPr="00A84E1A" w:rsidRDefault="00D0672B" w:rsidP="00404823">
      <w:pPr>
        <w:pStyle w:val="HChG"/>
      </w:pPr>
      <w:r>
        <w:rPr>
          <w:lang w:val="fr-FR"/>
        </w:rPr>
        <w:tab/>
        <w:t>IX.</w:t>
      </w:r>
      <w:r>
        <w:rPr>
          <w:lang w:val="fr-FR"/>
        </w:rPr>
        <w:tab/>
        <w:t>Questions diverses (point 8 de l’ordre du jour)</w:t>
      </w:r>
    </w:p>
    <w:p w:rsidR="00D0672B" w:rsidRPr="00A84E1A" w:rsidRDefault="00D0672B" w:rsidP="00404823">
      <w:pPr>
        <w:pStyle w:val="H1G"/>
      </w:pPr>
      <w:r>
        <w:rPr>
          <w:lang w:val="fr-FR"/>
        </w:rPr>
        <w:tab/>
        <w:t>A.</w:t>
      </w:r>
      <w:r>
        <w:rPr>
          <w:lang w:val="fr-FR"/>
        </w:rPr>
        <w:tab/>
        <w:t xml:space="preserve">Amendements à la Convention sur la circulation routière </w:t>
      </w:r>
      <w:r w:rsidR="00FE2475">
        <w:rPr>
          <w:lang w:val="fr-FR"/>
        </w:rPr>
        <w:br/>
      </w:r>
      <w:r>
        <w:rPr>
          <w:lang w:val="fr-FR"/>
        </w:rPr>
        <w:t>(Vienne, 1968)</w:t>
      </w:r>
    </w:p>
    <w:p w:rsidR="00D0672B" w:rsidRDefault="00D0672B" w:rsidP="00404823">
      <w:pPr>
        <w:pStyle w:val="SingleTxtG"/>
        <w:rPr>
          <w:color w:val="000000"/>
        </w:rPr>
      </w:pPr>
      <w:r>
        <w:rPr>
          <w:lang w:val="fr-FR"/>
        </w:rPr>
        <w:t>32.</w:t>
      </w:r>
      <w:r>
        <w:rPr>
          <w:lang w:val="fr-FR"/>
        </w:rPr>
        <w:tab/>
        <w:t>Le secrétariat a informé le GRE que le Groupe de travail de la sécurité et de la circulation routières (WP.1) avait poursuivi l’examen des propositions d’amendements à l’article</w:t>
      </w:r>
      <w:r w:rsidR="00404823">
        <w:rPr>
          <w:lang w:val="fr-FR"/>
        </w:rPr>
        <w:t> 32 et au chapitre </w:t>
      </w:r>
      <w:r>
        <w:rPr>
          <w:lang w:val="fr-FR"/>
        </w:rPr>
        <w:t>II de l’annexe</w:t>
      </w:r>
      <w:r w:rsidR="00404823">
        <w:rPr>
          <w:lang w:val="fr-FR"/>
        </w:rPr>
        <w:t> </w:t>
      </w:r>
      <w:r>
        <w:rPr>
          <w:lang w:val="fr-FR"/>
        </w:rPr>
        <w:t>5 concernant l’éclairage et la signalisation lumineuse. Le GRE a invité le WP.1 à lui adresser ces propositions pour examen, une fois celles-ci arrêtées.</w:t>
      </w:r>
    </w:p>
    <w:p w:rsidR="00D0672B" w:rsidRPr="00A84E1A" w:rsidRDefault="00D0672B" w:rsidP="00404823">
      <w:pPr>
        <w:pStyle w:val="H1G"/>
      </w:pPr>
      <w:r>
        <w:rPr>
          <w:lang w:val="fr-FR"/>
        </w:rPr>
        <w:tab/>
        <w:t>B.</w:t>
      </w:r>
      <w:r>
        <w:rPr>
          <w:lang w:val="fr-FR"/>
        </w:rPr>
        <w:tab/>
        <w:t>Décennie d’action pour la sécurité routière 2011-2020</w:t>
      </w:r>
    </w:p>
    <w:p w:rsidR="00D0672B" w:rsidRDefault="00D0672B" w:rsidP="00404823">
      <w:pPr>
        <w:pStyle w:val="SingleTxtG"/>
        <w:rPr>
          <w:color w:val="000000"/>
        </w:rPr>
      </w:pPr>
      <w:r>
        <w:rPr>
          <w:lang w:val="fr-FR"/>
        </w:rPr>
        <w:t>33.</w:t>
      </w:r>
      <w:r>
        <w:rPr>
          <w:lang w:val="fr-FR"/>
        </w:rPr>
        <w:tab/>
        <w:t>Ce point n’a pas été examiné faute de temps.</w:t>
      </w:r>
    </w:p>
    <w:p w:rsidR="00D0672B" w:rsidRPr="00A84E1A" w:rsidRDefault="00D0672B" w:rsidP="00404823">
      <w:pPr>
        <w:pStyle w:val="H1G"/>
      </w:pPr>
      <w:r>
        <w:rPr>
          <w:lang w:val="fr-FR"/>
        </w:rPr>
        <w:tab/>
        <w:t>C.</w:t>
      </w:r>
      <w:r>
        <w:rPr>
          <w:lang w:val="fr-FR"/>
        </w:rPr>
        <w:tab/>
        <w:t xml:space="preserve">Mise au point d’une homologation de type internationale </w:t>
      </w:r>
      <w:r w:rsidR="00404823">
        <w:rPr>
          <w:lang w:val="fr-FR"/>
        </w:rPr>
        <w:br/>
      </w:r>
      <w:r>
        <w:rPr>
          <w:lang w:val="fr-FR"/>
        </w:rPr>
        <w:t>de l’ensemble du véhicule</w:t>
      </w:r>
    </w:p>
    <w:p w:rsidR="00D0672B" w:rsidRPr="008D2BE3" w:rsidRDefault="00D0672B" w:rsidP="00404823">
      <w:pPr>
        <w:pStyle w:val="SingleTxtG"/>
        <w:tabs>
          <w:tab w:val="left" w:pos="2552"/>
        </w:tabs>
        <w:ind w:left="2552" w:hanging="1418"/>
        <w:jc w:val="left"/>
        <w:rPr>
          <w:lang w:val="en-US"/>
        </w:rPr>
      </w:pPr>
      <w:r w:rsidRPr="008D2BE3">
        <w:rPr>
          <w:i/>
          <w:iCs/>
          <w:lang w:val="en-US"/>
        </w:rPr>
        <w:t>Document(s)</w:t>
      </w:r>
      <w:r w:rsidR="00404823">
        <w:rPr>
          <w:i/>
          <w:iCs/>
          <w:lang w:val="en-US"/>
        </w:rPr>
        <w:t> </w:t>
      </w:r>
      <w:r w:rsidRPr="00404823">
        <w:rPr>
          <w:iCs/>
          <w:lang w:val="en-US"/>
        </w:rPr>
        <w:t>:</w:t>
      </w:r>
      <w:r w:rsidRPr="008D2BE3">
        <w:rPr>
          <w:lang w:val="en-US"/>
        </w:rPr>
        <w:tab/>
        <w:t>ECE/TRANS/WP.29/2017/108, ECE/TRANS/WP.29/2017/109, ECE/TRANS/WP.29/2017/131</w:t>
      </w:r>
      <w:r w:rsidR="00404823">
        <w:rPr>
          <w:lang w:val="en-US"/>
        </w:rPr>
        <w:t>.</w:t>
      </w:r>
    </w:p>
    <w:p w:rsidR="00D0672B" w:rsidRDefault="00D0672B" w:rsidP="008262FD">
      <w:pPr>
        <w:pStyle w:val="SingleTxtG"/>
      </w:pPr>
      <w:r>
        <w:rPr>
          <w:lang w:val="fr-FR"/>
        </w:rPr>
        <w:t>34.</w:t>
      </w:r>
      <w:r>
        <w:rPr>
          <w:lang w:val="fr-FR"/>
        </w:rPr>
        <w:tab/>
        <w:t>Le GRE a noté que la révision 3 de l’Accord de 1958 (ECE/TRANS/WP.29/2016/2) était entrée en vigueur le 14</w:t>
      </w:r>
      <w:r w:rsidR="008262FD">
        <w:rPr>
          <w:lang w:val="fr-FR"/>
        </w:rPr>
        <w:t> </w:t>
      </w:r>
      <w:r>
        <w:rPr>
          <w:lang w:val="fr-FR"/>
        </w:rPr>
        <w:t>septembre 2017 et qu’une page Web spéciale comprenant le texte de l’accord révisé et les questions fréquemment posées avait été créée par le secrétariat (ECE/TRANS/WP.29/2017/131). Le GRE a été informé que le groupe de travail informel chargé de l’homologation de type internationale de l’ensemble du véhicule (IWVTA) avait présenté le projet final de Règlement n</w:t>
      </w:r>
      <w:r w:rsidRPr="00B53341">
        <w:rPr>
          <w:vertAlign w:val="superscript"/>
          <w:lang w:val="fr-FR"/>
        </w:rPr>
        <w:t>o</w:t>
      </w:r>
      <w:r w:rsidR="008262FD">
        <w:rPr>
          <w:lang w:val="fr-FR"/>
        </w:rPr>
        <w:t> </w:t>
      </w:r>
      <w:r>
        <w:rPr>
          <w:lang w:val="fr-FR"/>
        </w:rPr>
        <w:t>0 et des explications sur l’IWVTA pour examen et approbation aux sessions de novembre 2017 du WP.29 et de l’A.C.1 (ECE/TRANS/WP.29/2017/108 et ECE/TRANS/WP.29/2017/109). Il a également pris note que, comme suite à l’adoption en juin 2017 d’amendements au Règlement n</w:t>
      </w:r>
      <w:r w:rsidRPr="00B53341">
        <w:rPr>
          <w:vertAlign w:val="superscript"/>
          <w:lang w:val="fr-FR"/>
        </w:rPr>
        <w:t>o</w:t>
      </w:r>
      <w:r w:rsidR="008262FD">
        <w:rPr>
          <w:lang w:val="fr-FR"/>
        </w:rPr>
        <w:t> </w:t>
      </w:r>
      <w:r>
        <w:rPr>
          <w:lang w:val="fr-FR"/>
        </w:rPr>
        <w:t xml:space="preserve">48, le groupe de travail informel de l’IWVTA se pencherait sur la nécessité ou non de conserver les </w:t>
      </w:r>
      <w:r>
        <w:rPr>
          <w:lang w:val="fr-FR"/>
        </w:rPr>
        <w:lastRenderedPageBreak/>
        <w:t>références aux règlements sur l’éclairage et la signalisation lumineuse à l’annexe</w:t>
      </w:r>
      <w:r w:rsidR="008262FD">
        <w:rPr>
          <w:lang w:val="fr-FR"/>
        </w:rPr>
        <w:t> </w:t>
      </w:r>
      <w:r>
        <w:rPr>
          <w:lang w:val="fr-FR"/>
        </w:rPr>
        <w:t>4 du</w:t>
      </w:r>
      <w:r w:rsidR="008262FD">
        <w:rPr>
          <w:lang w:val="fr-FR"/>
        </w:rPr>
        <w:t> </w:t>
      </w:r>
      <w:r>
        <w:rPr>
          <w:lang w:val="fr-FR"/>
        </w:rPr>
        <w:t>Règlement n</w:t>
      </w:r>
      <w:r w:rsidRPr="00B53341">
        <w:rPr>
          <w:vertAlign w:val="superscript"/>
          <w:lang w:val="fr-FR"/>
        </w:rPr>
        <w:t>o</w:t>
      </w:r>
      <w:r>
        <w:rPr>
          <w:lang w:val="fr-FR"/>
        </w:rPr>
        <w:t xml:space="preserve"> 0.</w:t>
      </w:r>
    </w:p>
    <w:p w:rsidR="00D0672B" w:rsidRPr="00A84E1A" w:rsidRDefault="00D0672B" w:rsidP="008262FD">
      <w:pPr>
        <w:pStyle w:val="H1G"/>
      </w:pPr>
      <w:r>
        <w:rPr>
          <w:lang w:val="fr-FR"/>
        </w:rPr>
        <w:tab/>
        <w:t>D.</w:t>
      </w:r>
      <w:r>
        <w:rPr>
          <w:lang w:val="fr-FR"/>
        </w:rPr>
        <w:tab/>
        <w:t>Phénomènes de lumière parasite et de dégradation des couleurs</w:t>
      </w:r>
    </w:p>
    <w:p w:rsidR="00D0672B" w:rsidRPr="00A84E1A" w:rsidRDefault="00D0672B" w:rsidP="008262FD">
      <w:pPr>
        <w:pStyle w:val="SingleTxtG"/>
      </w:pPr>
      <w:r>
        <w:rPr>
          <w:lang w:val="fr-FR"/>
        </w:rPr>
        <w:t>35.</w:t>
      </w:r>
      <w:r>
        <w:rPr>
          <w:lang w:val="fr-FR"/>
        </w:rPr>
        <w:tab/>
        <w:t>Aucun renseignement n’a été communiqué sur cette question.</w:t>
      </w:r>
    </w:p>
    <w:p w:rsidR="00D0672B" w:rsidRPr="00A84E1A" w:rsidRDefault="00D0672B" w:rsidP="008262FD">
      <w:pPr>
        <w:pStyle w:val="HChG"/>
      </w:pPr>
      <w:r>
        <w:rPr>
          <w:lang w:val="fr-FR"/>
        </w:rPr>
        <w:tab/>
        <w:t>X.</w:t>
      </w:r>
      <w:r>
        <w:rPr>
          <w:lang w:val="fr-FR"/>
        </w:rPr>
        <w:tab/>
        <w:t xml:space="preserve">Nouvelles questions et soumissions tardives </w:t>
      </w:r>
      <w:r w:rsidR="008262FD">
        <w:rPr>
          <w:lang w:val="fr-FR"/>
        </w:rPr>
        <w:br/>
      </w:r>
      <w:r>
        <w:rPr>
          <w:lang w:val="fr-FR"/>
        </w:rPr>
        <w:t>(point 9 de l’ordre du jour)</w:t>
      </w:r>
    </w:p>
    <w:p w:rsidR="00D0672B" w:rsidRPr="00E4723D" w:rsidRDefault="00D0672B" w:rsidP="001847F6">
      <w:pPr>
        <w:pStyle w:val="SingleTxtG"/>
        <w:tabs>
          <w:tab w:val="left" w:pos="2552"/>
        </w:tabs>
        <w:ind w:left="2552" w:hanging="1418"/>
        <w:jc w:val="left"/>
      </w:pPr>
      <w:r>
        <w:rPr>
          <w:i/>
          <w:iCs/>
          <w:lang w:val="fr-FR"/>
        </w:rPr>
        <w:t>Document(s)</w:t>
      </w:r>
      <w:r w:rsidR="001847F6">
        <w:rPr>
          <w:i/>
          <w:iCs/>
          <w:lang w:val="fr-FR"/>
        </w:rPr>
        <w:t> </w:t>
      </w:r>
      <w:r w:rsidRPr="001847F6">
        <w:rPr>
          <w:iCs/>
          <w:lang w:val="fr-FR"/>
        </w:rPr>
        <w:t>:</w:t>
      </w:r>
      <w:r w:rsidR="001847F6">
        <w:rPr>
          <w:lang w:val="fr-FR"/>
        </w:rPr>
        <w:tab/>
        <w:t>ECE/TRANS/WP.29/2017/107 ;</w:t>
      </w:r>
      <w:r w:rsidR="001847F6">
        <w:rPr>
          <w:lang w:val="fr-FR"/>
        </w:rPr>
        <w:br/>
        <w:t xml:space="preserve">Documents </w:t>
      </w:r>
      <w:r>
        <w:rPr>
          <w:lang w:val="fr-FR"/>
        </w:rPr>
        <w:t xml:space="preserve">informels GRSG-113-42, GRSG-113-39, </w:t>
      </w:r>
      <w:r w:rsidR="00671974">
        <w:rPr>
          <w:lang w:val="fr-FR"/>
        </w:rPr>
        <w:br/>
      </w:r>
      <w:r>
        <w:rPr>
          <w:lang w:val="fr-FR"/>
        </w:rPr>
        <w:t>GRE-78-03, GRE-78-17</w:t>
      </w:r>
      <w:r w:rsidR="001847F6">
        <w:rPr>
          <w:lang w:val="fr-FR"/>
        </w:rPr>
        <w:t>.</w:t>
      </w:r>
    </w:p>
    <w:p w:rsidR="00D0672B" w:rsidRDefault="00D0672B" w:rsidP="001847F6">
      <w:pPr>
        <w:pStyle w:val="SingleTxtG"/>
      </w:pPr>
      <w:r>
        <w:rPr>
          <w:lang w:val="fr-FR"/>
        </w:rPr>
        <w:t>36.</w:t>
      </w:r>
      <w:r>
        <w:rPr>
          <w:lang w:val="fr-FR"/>
        </w:rPr>
        <w:tab/>
        <w:t>Comme demandé par le Forum mondial de l’harmonisation des Règlements concernant les véhicules à sa session de juin 2017, le Groupe de travail a examiné le projet de directives générales concernant l’élaboration des Règlements de l’ONU et des dispositions transitoires qui y sont énoncées</w:t>
      </w:r>
      <w:r w:rsidR="00671974">
        <w:rPr>
          <w:lang w:val="fr-FR"/>
        </w:rPr>
        <w:t xml:space="preserve"> (ECE/TRANS/WP.29/2017/107)</w:t>
      </w:r>
      <w:r>
        <w:rPr>
          <w:lang w:val="fr-FR"/>
        </w:rPr>
        <w:t>. En</w:t>
      </w:r>
      <w:r w:rsidR="00D678E1">
        <w:rPr>
          <w:lang w:val="fr-FR"/>
        </w:rPr>
        <w:t> </w:t>
      </w:r>
      <w:r>
        <w:rPr>
          <w:lang w:val="fr-FR"/>
        </w:rPr>
        <w:t>particulier, les experts du GRE ont exprimé diverses opinions sur le paragraphe</w:t>
      </w:r>
      <w:r w:rsidR="001847F6">
        <w:rPr>
          <w:lang w:val="fr-FR"/>
        </w:rPr>
        <w:t> </w:t>
      </w:r>
      <w:r>
        <w:rPr>
          <w:lang w:val="fr-FR"/>
        </w:rPr>
        <w:t>6.1 concernant l’application de dispositions nationales supplémentaires pour les caractéristiques du véhicule qui n’entrent pas dans le champ d’application d’un Règlement de l’ONU. Le Président a invité les experts du GRE à examiner le projet de directives et à soumettre leurs observations éventuelles au secrétariat ou au groupe de travail informel de l’IWVTA dès que possible.</w:t>
      </w:r>
    </w:p>
    <w:p w:rsidR="00D0672B" w:rsidRDefault="00D0672B" w:rsidP="001847F6">
      <w:pPr>
        <w:pStyle w:val="SingleTxtG"/>
      </w:pPr>
      <w:r>
        <w:rPr>
          <w:lang w:val="fr-FR"/>
        </w:rPr>
        <w:t>37.</w:t>
      </w:r>
      <w:r>
        <w:rPr>
          <w:lang w:val="fr-FR"/>
        </w:rPr>
        <w:tab/>
        <w:t>Le GRE a été informé que le Groupe de travail des dispositions générales de sécurité (GRSG), à sa dernière session, avait adopté des propositions d’amendements au Règlement n</w:t>
      </w:r>
      <w:r w:rsidRPr="00B53341">
        <w:rPr>
          <w:vertAlign w:val="superscript"/>
          <w:lang w:val="fr-FR"/>
        </w:rPr>
        <w:t>o</w:t>
      </w:r>
      <w:r w:rsidR="001847F6">
        <w:rPr>
          <w:lang w:val="fr-FR"/>
        </w:rPr>
        <w:t> </w:t>
      </w:r>
      <w:r>
        <w:rPr>
          <w:lang w:val="fr-FR"/>
        </w:rPr>
        <w:t>121 (Identification des commandes manuelles, des témoins et des indicateurs) concernant les couleurs (GRSG-113-42 et GRSG-113-39). Il a appuyé la solution à court terme proposée dans le document informel GRSG-113-42 et a noté que la solution à long terme (GRSG-113-39) serait publiée en tant que document officiel du GRSG et lui serait présentée.</w:t>
      </w:r>
    </w:p>
    <w:p w:rsidR="00D0672B" w:rsidRDefault="00D0672B" w:rsidP="001847F6">
      <w:pPr>
        <w:pStyle w:val="SingleTxtG"/>
      </w:pPr>
      <w:r>
        <w:rPr>
          <w:lang w:val="fr-FR"/>
        </w:rPr>
        <w:t>38.</w:t>
      </w:r>
      <w:r>
        <w:rPr>
          <w:lang w:val="fr-FR"/>
        </w:rPr>
        <w:tab/>
        <w:t>L’expert de la SAE a informé le Groupe de travail au sujet du sixième Forum international sur l’éclairage des automobiles (IFAL) qui devait se tenir en Chine en juin 2018 (GRE-78-17).</w:t>
      </w:r>
    </w:p>
    <w:p w:rsidR="00D0672B" w:rsidRDefault="00D0672B" w:rsidP="001847F6">
      <w:pPr>
        <w:pStyle w:val="SingleTxtG"/>
      </w:pPr>
      <w:r>
        <w:rPr>
          <w:lang w:val="fr-FR"/>
        </w:rPr>
        <w:t>39.</w:t>
      </w:r>
      <w:r>
        <w:rPr>
          <w:lang w:val="fr-FR"/>
        </w:rPr>
        <w:tab/>
        <w:t>Faute de temps, le Groupe de travail n’a pas été en mesure d’examiner le document informel GRE-78-03.</w:t>
      </w:r>
    </w:p>
    <w:p w:rsidR="00D0672B" w:rsidRPr="00A84E1A" w:rsidRDefault="00D0672B" w:rsidP="001847F6">
      <w:pPr>
        <w:pStyle w:val="HChG"/>
      </w:pPr>
      <w:r>
        <w:rPr>
          <w:lang w:val="fr-FR"/>
        </w:rPr>
        <w:tab/>
        <w:t>XI.</w:t>
      </w:r>
      <w:r>
        <w:rPr>
          <w:lang w:val="fr-FR"/>
        </w:rPr>
        <w:tab/>
        <w:t xml:space="preserve">Orientation des travaux futurs du Groupe de travail </w:t>
      </w:r>
      <w:r w:rsidR="001847F6">
        <w:rPr>
          <w:lang w:val="fr-FR"/>
        </w:rPr>
        <w:br/>
      </w:r>
      <w:r>
        <w:rPr>
          <w:lang w:val="fr-FR"/>
        </w:rPr>
        <w:t>(point 10 de l’ordre du jour)</w:t>
      </w:r>
    </w:p>
    <w:p w:rsidR="00D0672B" w:rsidRDefault="00D0672B" w:rsidP="001847F6">
      <w:pPr>
        <w:pStyle w:val="SingleTxtG"/>
      </w:pPr>
      <w:r>
        <w:rPr>
          <w:lang w:val="fr-FR"/>
        </w:rPr>
        <w:t>40.</w:t>
      </w:r>
      <w:r>
        <w:rPr>
          <w:lang w:val="fr-FR"/>
        </w:rPr>
        <w:tab/>
        <w:t>Aucune information nouvelle n’a été communiquée au titre de ce point.</w:t>
      </w:r>
    </w:p>
    <w:p w:rsidR="00D0672B" w:rsidRPr="00A84E1A" w:rsidRDefault="00D0672B" w:rsidP="001847F6">
      <w:pPr>
        <w:pStyle w:val="HChG"/>
      </w:pPr>
      <w:r>
        <w:rPr>
          <w:lang w:val="fr-FR"/>
        </w:rPr>
        <w:tab/>
        <w:t>XII.</w:t>
      </w:r>
      <w:r>
        <w:rPr>
          <w:lang w:val="fr-FR"/>
        </w:rPr>
        <w:tab/>
        <w:t xml:space="preserve">Ordre du jour provisoire de la session suivante </w:t>
      </w:r>
      <w:r w:rsidR="001847F6">
        <w:rPr>
          <w:lang w:val="fr-FR"/>
        </w:rPr>
        <w:br/>
      </w:r>
      <w:r>
        <w:rPr>
          <w:lang w:val="fr-FR"/>
        </w:rPr>
        <w:t>(point 11 de l’ordre du jour)</w:t>
      </w:r>
    </w:p>
    <w:p w:rsidR="00D0672B" w:rsidRDefault="00D0672B" w:rsidP="001847F6">
      <w:pPr>
        <w:pStyle w:val="SingleTxtG"/>
      </w:pPr>
      <w:r>
        <w:rPr>
          <w:lang w:val="fr-FR"/>
        </w:rPr>
        <w:t>41.</w:t>
      </w:r>
      <w:r>
        <w:rPr>
          <w:lang w:val="fr-FR"/>
        </w:rPr>
        <w:tab/>
        <w:t>Pour sa prochaine session, le GRE a décidé de donner la priorité aux propositions sur la simplification des Règlements sur l’éclairage et la signalisation lumineuse, puis aux documents qui n’avaient pas été examinés à la présente session, faute de temps.</w:t>
      </w:r>
    </w:p>
    <w:p w:rsidR="00D0672B" w:rsidRDefault="00D0672B" w:rsidP="001847F6">
      <w:pPr>
        <w:pStyle w:val="SingleTxtG"/>
      </w:pPr>
      <w:r>
        <w:rPr>
          <w:lang w:val="fr-FR"/>
        </w:rPr>
        <w:t>42.</w:t>
      </w:r>
      <w:r>
        <w:rPr>
          <w:lang w:val="fr-FR"/>
        </w:rPr>
        <w:tab/>
        <w:t>L’expert des Pays-Bas a annoncé son intention d’élaborer une proposition d’amendement au Règlement n</w:t>
      </w:r>
      <w:r w:rsidRPr="00B53341">
        <w:rPr>
          <w:vertAlign w:val="superscript"/>
          <w:lang w:val="fr-FR"/>
        </w:rPr>
        <w:t>o</w:t>
      </w:r>
      <w:r w:rsidR="001847F6">
        <w:rPr>
          <w:lang w:val="fr-FR"/>
        </w:rPr>
        <w:t> </w:t>
      </w:r>
      <w:r>
        <w:rPr>
          <w:lang w:val="fr-FR"/>
        </w:rPr>
        <w:t>74 qui rendrait obligatoire l’installation de feux indicateurs de direction pour les cyclomoteurs.</w:t>
      </w:r>
    </w:p>
    <w:p w:rsidR="00D0672B" w:rsidRPr="00A84E1A" w:rsidRDefault="00D0672B" w:rsidP="001847F6">
      <w:pPr>
        <w:pStyle w:val="HChG"/>
      </w:pPr>
      <w:bookmarkStart w:id="11" w:name="_Toc360526929"/>
      <w:bookmarkStart w:id="12" w:name="_Toc369772239"/>
      <w:r>
        <w:rPr>
          <w:lang w:val="fr-FR"/>
        </w:rPr>
        <w:lastRenderedPageBreak/>
        <w:tab/>
        <w:t>XIII.</w:t>
      </w:r>
      <w:r>
        <w:rPr>
          <w:lang w:val="fr-FR"/>
        </w:rPr>
        <w:tab/>
        <w:t>Élection du Bureau (point 12 de l’ordre du jour)</w:t>
      </w:r>
    </w:p>
    <w:p w:rsidR="00D0672B" w:rsidRPr="00A84E1A" w:rsidRDefault="00D0672B" w:rsidP="001847F6">
      <w:pPr>
        <w:pStyle w:val="SingleTxtG"/>
        <w:rPr>
          <w:szCs w:val="24"/>
        </w:rPr>
      </w:pPr>
      <w:r>
        <w:rPr>
          <w:lang w:val="fr-FR"/>
        </w:rPr>
        <w:t>43.</w:t>
      </w:r>
      <w:r>
        <w:rPr>
          <w:lang w:val="fr-FR"/>
        </w:rPr>
        <w:tab/>
        <w:t>Conformément à l’article</w:t>
      </w:r>
      <w:r w:rsidR="001847F6">
        <w:rPr>
          <w:lang w:val="fr-FR"/>
        </w:rPr>
        <w:t> </w:t>
      </w:r>
      <w:r>
        <w:rPr>
          <w:lang w:val="fr-FR"/>
        </w:rPr>
        <w:t>37 de son Règlement int</w:t>
      </w:r>
      <w:r w:rsidR="00D678E1">
        <w:rPr>
          <w:lang w:val="fr-FR"/>
        </w:rPr>
        <w:t>érieur (TRANS/WP.29/690 et ECE/</w:t>
      </w:r>
      <w:r>
        <w:rPr>
          <w:lang w:val="fr-FR"/>
        </w:rPr>
        <w:t>TRANS/WP.29/690/Amend.1), le GRE a procédé à l’élection de son Bureau. Les</w:t>
      </w:r>
      <w:r w:rsidR="001847F6">
        <w:rPr>
          <w:lang w:val="fr-FR"/>
        </w:rPr>
        <w:t> </w:t>
      </w:r>
      <w:r>
        <w:rPr>
          <w:lang w:val="fr-FR"/>
        </w:rPr>
        <w:t>représentants des Parties contractantes présents et votants ont élu à l’unanimité M.</w:t>
      </w:r>
      <w:r w:rsidR="001847F6">
        <w:rPr>
          <w:lang w:val="fr-FR"/>
        </w:rPr>
        <w:t> </w:t>
      </w:r>
      <w:r>
        <w:rPr>
          <w:lang w:val="fr-FR"/>
        </w:rPr>
        <w:t>M.</w:t>
      </w:r>
      <w:r w:rsidR="001847F6">
        <w:rPr>
          <w:lang w:val="fr-FR"/>
        </w:rPr>
        <w:t> </w:t>
      </w:r>
      <w:r>
        <w:rPr>
          <w:lang w:val="fr-FR"/>
        </w:rPr>
        <w:t>Loccufier (Belgique) Président et M.</w:t>
      </w:r>
      <w:r w:rsidR="001847F6">
        <w:rPr>
          <w:lang w:val="fr-FR"/>
        </w:rPr>
        <w:t> </w:t>
      </w:r>
      <w:r>
        <w:rPr>
          <w:lang w:val="fr-FR"/>
        </w:rPr>
        <w:t>D.</w:t>
      </w:r>
      <w:r w:rsidR="001847F6">
        <w:rPr>
          <w:lang w:val="fr-FR"/>
        </w:rPr>
        <w:t> </w:t>
      </w:r>
      <w:r>
        <w:rPr>
          <w:lang w:val="fr-FR"/>
        </w:rPr>
        <w:t>Rovers (Pays-Bas) Vice-Président des sessions du GRE prévues en 2018.</w:t>
      </w:r>
    </w:p>
    <w:p w:rsidR="00D0672B" w:rsidRPr="00A84E1A" w:rsidRDefault="00D0672B" w:rsidP="001847F6">
      <w:pPr>
        <w:pStyle w:val="HChG"/>
      </w:pPr>
      <w:r w:rsidRPr="00A84E1A">
        <w:br w:type="page"/>
      </w:r>
      <w:r>
        <w:rPr>
          <w:lang w:val="fr-FR"/>
        </w:rPr>
        <w:lastRenderedPageBreak/>
        <w:t>Annexe I</w:t>
      </w:r>
      <w:bookmarkEnd w:id="11"/>
      <w:bookmarkEnd w:id="12"/>
    </w:p>
    <w:p w:rsidR="00D0672B" w:rsidRPr="00A84E1A" w:rsidRDefault="00D0672B" w:rsidP="0026524A">
      <w:pPr>
        <w:pStyle w:val="HChG"/>
      </w:pPr>
      <w:r>
        <w:rPr>
          <w:lang w:val="fr-FR"/>
        </w:rPr>
        <w:tab/>
      </w:r>
      <w:r>
        <w:rPr>
          <w:lang w:val="fr-FR"/>
        </w:rPr>
        <w:tab/>
        <w:t>Liste des documents informels examinés pendant la session</w:t>
      </w:r>
      <w:bookmarkStart w:id="13" w:name="_Toc369772240"/>
      <w:bookmarkEnd w:id="13"/>
    </w:p>
    <w:p w:rsidR="00D0672B" w:rsidRPr="00A84E1A" w:rsidRDefault="00D0672B" w:rsidP="0026524A">
      <w:pPr>
        <w:pStyle w:val="SingleTxtG"/>
      </w:pPr>
      <w:r>
        <w:rPr>
          <w:lang w:val="fr-FR"/>
        </w:rPr>
        <w:t>Documents informels GRE-78-…</w:t>
      </w:r>
    </w:p>
    <w:tbl>
      <w:tblPr>
        <w:tblW w:w="8504" w:type="dxa"/>
        <w:tblInd w:w="1134" w:type="dxa"/>
        <w:tblLayout w:type="fixed"/>
        <w:tblCellMar>
          <w:left w:w="0" w:type="dxa"/>
          <w:right w:w="0" w:type="dxa"/>
        </w:tblCellMar>
        <w:tblLook w:val="01E0" w:firstRow="1" w:lastRow="1" w:firstColumn="1" w:lastColumn="1" w:noHBand="0" w:noVBand="0"/>
      </w:tblPr>
      <w:tblGrid>
        <w:gridCol w:w="866"/>
        <w:gridCol w:w="6899"/>
        <w:gridCol w:w="739"/>
      </w:tblGrid>
      <w:tr w:rsidR="00D0672B" w:rsidRPr="00225C0C" w:rsidTr="00225C0C">
        <w:trPr>
          <w:tblHeader/>
        </w:trPr>
        <w:tc>
          <w:tcPr>
            <w:tcW w:w="866" w:type="dxa"/>
            <w:tcBorders>
              <w:top w:val="single" w:sz="4" w:space="0" w:color="auto"/>
              <w:bottom w:val="single" w:sz="12" w:space="0" w:color="auto"/>
            </w:tcBorders>
            <w:shd w:val="clear" w:color="auto" w:fill="auto"/>
            <w:vAlign w:val="bottom"/>
          </w:tcPr>
          <w:p w:rsidR="00D0672B" w:rsidRPr="00225C0C" w:rsidRDefault="00D0672B" w:rsidP="00225C0C">
            <w:pPr>
              <w:spacing w:before="80" w:after="80" w:line="200" w:lineRule="exact"/>
              <w:ind w:right="113"/>
              <w:rPr>
                <w:i/>
                <w:sz w:val="16"/>
              </w:rPr>
            </w:pPr>
            <w:r w:rsidRPr="00225C0C">
              <w:rPr>
                <w:i/>
                <w:sz w:val="16"/>
                <w:lang w:val="fr-FR"/>
              </w:rPr>
              <w:t>N</w:t>
            </w:r>
            <w:r w:rsidRPr="00225C0C">
              <w:rPr>
                <w:i/>
                <w:sz w:val="16"/>
                <w:vertAlign w:val="superscript"/>
                <w:lang w:val="fr-FR"/>
              </w:rPr>
              <w:t>o</w:t>
            </w:r>
          </w:p>
        </w:tc>
        <w:tc>
          <w:tcPr>
            <w:tcW w:w="6900" w:type="dxa"/>
            <w:tcBorders>
              <w:top w:val="single" w:sz="4" w:space="0" w:color="auto"/>
              <w:bottom w:val="single" w:sz="12" w:space="0" w:color="auto"/>
            </w:tcBorders>
            <w:shd w:val="clear" w:color="auto" w:fill="auto"/>
            <w:vAlign w:val="bottom"/>
          </w:tcPr>
          <w:p w:rsidR="00D0672B" w:rsidRPr="00225C0C" w:rsidRDefault="00D0672B" w:rsidP="00225C0C">
            <w:pPr>
              <w:spacing w:before="80" w:after="80" w:line="200" w:lineRule="exact"/>
              <w:ind w:right="113"/>
              <w:rPr>
                <w:i/>
                <w:sz w:val="16"/>
              </w:rPr>
            </w:pPr>
            <w:r w:rsidRPr="00225C0C">
              <w:rPr>
                <w:i/>
                <w:sz w:val="16"/>
                <w:lang w:val="fr-FR"/>
              </w:rPr>
              <w:t>(Auteur) Titre</w:t>
            </w:r>
          </w:p>
        </w:tc>
        <w:tc>
          <w:tcPr>
            <w:tcW w:w="739" w:type="dxa"/>
            <w:tcBorders>
              <w:top w:val="single" w:sz="4" w:space="0" w:color="auto"/>
              <w:bottom w:val="single" w:sz="12" w:space="0" w:color="auto"/>
            </w:tcBorders>
            <w:shd w:val="clear" w:color="auto" w:fill="auto"/>
            <w:vAlign w:val="bottom"/>
          </w:tcPr>
          <w:p w:rsidR="00D0672B" w:rsidRPr="00225C0C" w:rsidRDefault="00D0672B" w:rsidP="00225C0C">
            <w:pPr>
              <w:spacing w:before="80" w:after="80" w:line="200" w:lineRule="exact"/>
              <w:ind w:right="113"/>
              <w:jc w:val="right"/>
              <w:rPr>
                <w:i/>
                <w:sz w:val="16"/>
              </w:rPr>
            </w:pPr>
            <w:r w:rsidRPr="00225C0C">
              <w:rPr>
                <w:i/>
                <w:sz w:val="16"/>
                <w:lang w:val="fr-FR"/>
              </w:rPr>
              <w:t>Suite donnée</w:t>
            </w:r>
          </w:p>
        </w:tc>
      </w:tr>
      <w:tr w:rsidR="00225C0C" w:rsidRPr="00225C0C" w:rsidTr="00225C0C">
        <w:trPr>
          <w:trHeight w:hRule="exact" w:val="113"/>
          <w:tblHeader/>
        </w:trPr>
        <w:tc>
          <w:tcPr>
            <w:tcW w:w="866" w:type="dxa"/>
            <w:tcBorders>
              <w:top w:val="single" w:sz="12" w:space="0" w:color="auto"/>
            </w:tcBorders>
            <w:shd w:val="clear" w:color="auto" w:fill="auto"/>
          </w:tcPr>
          <w:p w:rsidR="00225C0C" w:rsidRPr="00225C0C" w:rsidRDefault="00225C0C" w:rsidP="00225C0C">
            <w:pPr>
              <w:spacing w:before="40" w:after="120"/>
              <w:ind w:right="113"/>
              <w:rPr>
                <w:lang w:val="fr-FR"/>
              </w:rPr>
            </w:pPr>
          </w:p>
        </w:tc>
        <w:tc>
          <w:tcPr>
            <w:tcW w:w="6900" w:type="dxa"/>
            <w:tcBorders>
              <w:top w:val="single" w:sz="12" w:space="0" w:color="auto"/>
            </w:tcBorders>
            <w:shd w:val="clear" w:color="auto" w:fill="auto"/>
          </w:tcPr>
          <w:p w:rsidR="00225C0C" w:rsidRPr="00225C0C" w:rsidRDefault="00225C0C" w:rsidP="00225C0C">
            <w:pPr>
              <w:spacing w:before="40" w:after="120"/>
              <w:ind w:right="113"/>
              <w:rPr>
                <w:lang w:val="fr-FR"/>
              </w:rPr>
            </w:pPr>
          </w:p>
        </w:tc>
        <w:tc>
          <w:tcPr>
            <w:tcW w:w="739" w:type="dxa"/>
            <w:tcBorders>
              <w:top w:val="single" w:sz="12" w:space="0" w:color="auto"/>
            </w:tcBorders>
            <w:shd w:val="clear" w:color="auto" w:fill="auto"/>
          </w:tcPr>
          <w:p w:rsidR="00225C0C" w:rsidRPr="00225C0C" w:rsidRDefault="00225C0C" w:rsidP="00225C0C">
            <w:pPr>
              <w:spacing w:before="40" w:after="120"/>
              <w:ind w:right="113"/>
              <w:jc w:val="right"/>
              <w:rPr>
                <w:lang w:val="fr-FR"/>
              </w:rPr>
            </w:pP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1</w:t>
            </w:r>
          </w:p>
        </w:tc>
        <w:tc>
          <w:tcPr>
            <w:tcW w:w="6900" w:type="dxa"/>
            <w:shd w:val="clear" w:color="auto" w:fill="auto"/>
          </w:tcPr>
          <w:p w:rsidR="00D0672B" w:rsidRPr="00225C0C" w:rsidRDefault="00225C0C" w:rsidP="00225C0C">
            <w:pPr>
              <w:spacing w:before="40" w:after="120"/>
              <w:ind w:right="113"/>
              <w:rPr>
                <w:szCs w:val="18"/>
                <w:lang w:val="en-US"/>
              </w:rPr>
            </w:pPr>
            <w:r>
              <w:rPr>
                <w:lang w:val="en-US"/>
              </w:rPr>
              <w:t>(Secrétariat) −</w:t>
            </w:r>
            <w:r w:rsidR="00D0672B" w:rsidRPr="00225C0C">
              <w:rPr>
                <w:lang w:val="en-US"/>
              </w:rPr>
              <w:t xml:space="preserve"> Updated provisional agenda for the seventy-eighth session of GRE </w:t>
            </w:r>
          </w:p>
        </w:tc>
        <w:tc>
          <w:tcPr>
            <w:tcW w:w="739" w:type="dxa"/>
            <w:shd w:val="clear" w:color="auto" w:fill="auto"/>
          </w:tcPr>
          <w:p w:rsidR="00D0672B" w:rsidRPr="00225C0C" w:rsidRDefault="00D0672B" w:rsidP="00225C0C">
            <w:pPr>
              <w:spacing w:before="40" w:after="120"/>
              <w:ind w:right="113"/>
              <w:jc w:val="right"/>
            </w:pPr>
            <w:r w:rsidRPr="00225C0C">
              <w:rPr>
                <w:lang w:val="fr-FR"/>
              </w:rPr>
              <w:t>b</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2</w:t>
            </w:r>
          </w:p>
        </w:tc>
        <w:tc>
          <w:tcPr>
            <w:tcW w:w="6900" w:type="dxa"/>
            <w:shd w:val="clear" w:color="auto" w:fill="auto"/>
          </w:tcPr>
          <w:p w:rsidR="00D0672B" w:rsidRPr="00225C0C" w:rsidRDefault="00225C0C" w:rsidP="00225C0C">
            <w:pPr>
              <w:spacing w:before="40" w:after="120"/>
              <w:ind w:right="113"/>
              <w:rPr>
                <w:szCs w:val="18"/>
                <w:lang w:val="en-US"/>
              </w:rPr>
            </w:pPr>
            <w:r>
              <w:rPr>
                <w:lang w:val="en-US"/>
              </w:rPr>
              <w:t>(GTB) −</w:t>
            </w:r>
            <w:r w:rsidR="00D0672B" w:rsidRPr="00225C0C">
              <w:rPr>
                <w:lang w:val="en-US"/>
              </w:rPr>
              <w:t xml:space="preserve"> Explanation of the differences between ECE/TRANS/WP.29/GRE/2017/4 and ECE/TRANS/WP.29/GRE/2017/22</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3</w:t>
            </w:r>
          </w:p>
        </w:tc>
        <w:tc>
          <w:tcPr>
            <w:tcW w:w="6900" w:type="dxa"/>
            <w:shd w:val="clear" w:color="auto" w:fill="auto"/>
          </w:tcPr>
          <w:p w:rsidR="00D0672B" w:rsidRPr="00225C0C" w:rsidRDefault="00225C0C" w:rsidP="00225C0C">
            <w:pPr>
              <w:spacing w:before="40" w:after="120"/>
              <w:ind w:right="113"/>
              <w:rPr>
                <w:szCs w:val="18"/>
              </w:rPr>
            </w:pPr>
            <w:r>
              <w:t>(France et Allemagne) −</w:t>
            </w:r>
            <w:r w:rsidR="00D0672B" w:rsidRPr="00225C0C">
              <w:t xml:space="preserve"> Evocative, suggestive or figurative apparent surfaces</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4</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(GTB) − Correction to ECE/TRANS/GRE/2017/14</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5</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(GTB) </w:t>
            </w:r>
            <w:r w:rsidR="00225C0C">
              <w:rPr>
                <w:lang w:val="en-US"/>
              </w:rPr>
              <w:t xml:space="preserve">− </w:t>
            </w:r>
            <w:r w:rsidRPr="00225C0C">
              <w:rPr>
                <w:lang w:val="en-US"/>
              </w:rPr>
              <w:t xml:space="preserve">Correction of errors and discrepancies in the 05 and 06 series </w:t>
            </w:r>
            <w:r w:rsidR="00225C0C">
              <w:rPr>
                <w:lang w:val="en-US"/>
              </w:rPr>
              <w:br/>
            </w:r>
            <w:r w:rsidRPr="00225C0C">
              <w:rPr>
                <w:lang w:val="en-US"/>
              </w:rPr>
              <w:t>of amendments to Regulation No. 48</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6</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(Finlande) </w:t>
            </w:r>
            <w:r w:rsidR="00225C0C">
              <w:rPr>
                <w:lang w:val="en-US"/>
              </w:rPr>
              <w:t>−</w:t>
            </w:r>
            <w:r w:rsidRPr="00225C0C">
              <w:rPr>
                <w:lang w:val="en-US"/>
              </w:rPr>
              <w:t xml:space="preserve"> Proposal for a Corrigendum to Supplement 28 to the 01 series </w:t>
            </w:r>
            <w:r w:rsidR="00225C0C">
              <w:rPr>
                <w:lang w:val="en-US"/>
              </w:rPr>
              <w:br/>
            </w:r>
            <w:r w:rsidRPr="00225C0C">
              <w:rPr>
                <w:lang w:val="en-US"/>
              </w:rPr>
              <w:t>of amendments to Regulation No. 6</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a</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7</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(IMMA) </w:t>
            </w:r>
            <w:r w:rsidR="00225C0C">
              <w:rPr>
                <w:lang w:val="en-US"/>
              </w:rPr>
              <w:t>−</w:t>
            </w:r>
            <w:r w:rsidRPr="00225C0C">
              <w:rPr>
                <w:lang w:val="en-US"/>
              </w:rPr>
              <w:t xml:space="preserve"> Proposal for amendments to ECE/TRANS/GRE/2017/25</w:t>
            </w:r>
          </w:p>
        </w:tc>
        <w:tc>
          <w:tcPr>
            <w:tcW w:w="739" w:type="dxa"/>
            <w:shd w:val="clear" w:color="auto" w:fill="auto"/>
          </w:tcPr>
          <w:p w:rsidR="00D0672B" w:rsidRPr="00225C0C" w:rsidRDefault="00D0672B" w:rsidP="00225C0C">
            <w:pPr>
              <w:spacing w:before="40" w:after="120"/>
              <w:ind w:right="113"/>
              <w:jc w:val="right"/>
            </w:pPr>
            <w:r w:rsidRPr="00225C0C">
              <w:rPr>
                <w:lang w:val="fr-FR"/>
              </w:rPr>
              <w:t>e</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8</w:t>
            </w:r>
          </w:p>
        </w:tc>
        <w:tc>
          <w:tcPr>
            <w:tcW w:w="6900" w:type="dxa"/>
            <w:shd w:val="clear" w:color="auto" w:fill="auto"/>
          </w:tcPr>
          <w:p w:rsidR="00D0672B" w:rsidRPr="00225C0C" w:rsidRDefault="00D0672B" w:rsidP="00225C0C">
            <w:pPr>
              <w:spacing w:before="40" w:after="120"/>
              <w:ind w:right="113"/>
              <w:rPr>
                <w:szCs w:val="18"/>
              </w:rPr>
            </w:pPr>
            <w:r w:rsidRPr="00225C0C">
              <w:rPr>
                <w:lang w:val="fr-FR"/>
              </w:rPr>
              <w:t xml:space="preserve">(Président) </w:t>
            </w:r>
            <w:r w:rsidR="00225C0C">
              <w:rPr>
                <w:lang w:val="fr-FR"/>
              </w:rPr>
              <w:t>−</w:t>
            </w:r>
            <w:r w:rsidRPr="00225C0C">
              <w:rPr>
                <w:lang w:val="fr-FR"/>
              </w:rPr>
              <w:t xml:space="preserve"> Running order</w:t>
            </w:r>
          </w:p>
        </w:tc>
        <w:tc>
          <w:tcPr>
            <w:tcW w:w="739" w:type="dxa"/>
            <w:shd w:val="clear" w:color="auto" w:fill="auto"/>
          </w:tcPr>
          <w:p w:rsidR="00D0672B" w:rsidRPr="00225C0C" w:rsidRDefault="00D0672B" w:rsidP="00225C0C">
            <w:pPr>
              <w:spacing w:before="40" w:after="120"/>
              <w:ind w:right="113"/>
              <w:jc w:val="right"/>
            </w:pPr>
            <w:r w:rsidRPr="00225C0C">
              <w:rPr>
                <w:lang w:val="fr-FR"/>
              </w:rPr>
              <w:t>f</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9-Rev.1</w:t>
            </w:r>
          </w:p>
        </w:tc>
        <w:tc>
          <w:tcPr>
            <w:tcW w:w="6900" w:type="dxa"/>
            <w:shd w:val="clear" w:color="auto" w:fill="auto"/>
          </w:tcPr>
          <w:p w:rsidR="00D0672B" w:rsidRPr="00225C0C" w:rsidRDefault="00D678E1" w:rsidP="00225C0C">
            <w:pPr>
              <w:spacing w:before="40" w:after="120"/>
              <w:ind w:right="113"/>
              <w:rPr>
                <w:szCs w:val="18"/>
                <w:lang w:val="en-US"/>
              </w:rPr>
            </w:pPr>
            <w:r>
              <w:rPr>
                <w:lang w:val="en-US"/>
              </w:rPr>
              <w:t>(Équipe spéciale EMC) −</w:t>
            </w:r>
            <w:r w:rsidR="00D0672B" w:rsidRPr="00225C0C">
              <w:rPr>
                <w:lang w:val="en-US"/>
              </w:rPr>
              <w:t xml:space="preserve"> Proposal for Supplement 2 to the 05 series </w:t>
            </w:r>
            <w:r w:rsidR="00225C0C">
              <w:rPr>
                <w:lang w:val="en-US"/>
              </w:rPr>
              <w:br/>
            </w:r>
            <w:r w:rsidR="00D0672B" w:rsidRPr="00225C0C">
              <w:rPr>
                <w:lang w:val="en-US"/>
              </w:rPr>
              <w:t>of amendments to Regulation No. 10</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e</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10-Rev.1</w:t>
            </w:r>
          </w:p>
        </w:tc>
        <w:tc>
          <w:tcPr>
            <w:tcW w:w="6900" w:type="dxa"/>
            <w:shd w:val="clear" w:color="auto" w:fill="auto"/>
          </w:tcPr>
          <w:p w:rsidR="00D0672B" w:rsidRPr="00225C0C" w:rsidRDefault="00D0672B" w:rsidP="00225C0C">
            <w:pPr>
              <w:spacing w:before="40" w:after="120"/>
              <w:ind w:right="113"/>
              <w:rPr>
                <w:szCs w:val="18"/>
              </w:rPr>
            </w:pPr>
            <w:r w:rsidRPr="00225C0C">
              <w:t xml:space="preserve">(Équipe </w:t>
            </w:r>
            <w:r w:rsidR="00B448D0" w:rsidRPr="00225C0C">
              <w:t>spéciale</w:t>
            </w:r>
            <w:r w:rsidRPr="00225C0C">
              <w:t xml:space="preserve"> EMC) </w:t>
            </w:r>
            <w:r w:rsidR="00225C0C" w:rsidRPr="00225C0C">
              <w:t>−</w:t>
            </w:r>
            <w:r w:rsidRPr="00225C0C">
              <w:t xml:space="preserve"> Status report</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f</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11</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(Groupe de travail informel SLR) </w:t>
            </w:r>
            <w:r w:rsidR="00225C0C">
              <w:rPr>
                <w:lang w:val="en-US"/>
              </w:rPr>
              <w:t>−</w:t>
            </w:r>
            <w:r w:rsidRPr="00225C0C">
              <w:rPr>
                <w:lang w:val="en-US"/>
              </w:rPr>
              <w:t xml:space="preserve"> Proposal for a Supplement to the 02 series </w:t>
            </w:r>
            <w:r w:rsidR="00225C0C">
              <w:rPr>
                <w:lang w:val="en-US"/>
              </w:rPr>
              <w:br/>
            </w:r>
            <w:r w:rsidRPr="00225C0C">
              <w:rPr>
                <w:lang w:val="en-US"/>
              </w:rPr>
              <w:t>of amendments to Regulation No. 53</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12</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(G</w:t>
            </w:r>
            <w:r w:rsidR="00D678E1">
              <w:rPr>
                <w:lang w:val="en-US"/>
              </w:rPr>
              <w:t xml:space="preserve">roupe de travail informel SLR) </w:t>
            </w:r>
            <w:r w:rsidR="00225C0C">
              <w:rPr>
                <w:lang w:val="en-US"/>
              </w:rPr>
              <w:t>−</w:t>
            </w:r>
            <w:r w:rsidRPr="00225C0C">
              <w:rPr>
                <w:lang w:val="en-US"/>
              </w:rPr>
              <w:t xml:space="preserve"> Proposal for a Supplement to the 01 series </w:t>
            </w:r>
            <w:r w:rsidR="00225C0C">
              <w:rPr>
                <w:lang w:val="en-US"/>
              </w:rPr>
              <w:br/>
            </w:r>
            <w:r w:rsidRPr="00225C0C">
              <w:rPr>
                <w:lang w:val="en-US"/>
              </w:rPr>
              <w:t>of amendments to Regulation No. 74</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13</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(Groupe de travail informel SLR) </w:t>
            </w:r>
            <w:r w:rsidR="00225C0C">
              <w:rPr>
                <w:lang w:val="en-US"/>
              </w:rPr>
              <w:t>−</w:t>
            </w:r>
            <w:r w:rsidRPr="00225C0C">
              <w:rPr>
                <w:lang w:val="en-US"/>
              </w:rPr>
              <w:t xml:space="preserve"> Proposal for a Supplement to the 01 series </w:t>
            </w:r>
            <w:r w:rsidR="00225C0C">
              <w:rPr>
                <w:lang w:val="en-US"/>
              </w:rPr>
              <w:br/>
            </w:r>
            <w:r w:rsidRPr="00225C0C">
              <w:rPr>
                <w:lang w:val="en-US"/>
              </w:rPr>
              <w:t>of amendments to Regulation No. 86</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14</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(Groupe de travail informel SLR) </w:t>
            </w:r>
            <w:r w:rsidR="00225C0C">
              <w:rPr>
                <w:lang w:val="en-US"/>
              </w:rPr>
              <w:t>−</w:t>
            </w:r>
            <w:r w:rsidRPr="00225C0C">
              <w:rPr>
                <w:lang w:val="en-US"/>
              </w:rPr>
              <w:t xml:space="preserve"> Proposal for a Supplement to the 04 series </w:t>
            </w:r>
            <w:r w:rsidR="00225C0C">
              <w:rPr>
                <w:lang w:val="en-US"/>
              </w:rPr>
              <w:br/>
            </w:r>
            <w:r w:rsidRPr="00225C0C">
              <w:rPr>
                <w:lang w:val="en-US"/>
              </w:rPr>
              <w:t>of amendments to Regulation No. 48</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15</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(Groupe de travail informel SLR) </w:t>
            </w:r>
            <w:r w:rsidR="00225C0C">
              <w:rPr>
                <w:lang w:val="en-US"/>
              </w:rPr>
              <w:t>−</w:t>
            </w:r>
            <w:r w:rsidRPr="00225C0C">
              <w:rPr>
                <w:lang w:val="en-US"/>
              </w:rPr>
              <w:t xml:space="preserve"> Proposal for a Supplement to the 05 series </w:t>
            </w:r>
            <w:r w:rsidR="00225C0C">
              <w:rPr>
                <w:lang w:val="en-US"/>
              </w:rPr>
              <w:br/>
            </w:r>
            <w:r w:rsidRPr="00225C0C">
              <w:rPr>
                <w:lang w:val="en-US"/>
              </w:rPr>
              <w:t>of amendments to Regulation No. 48</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16</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(Secrétariat) − General information and WP.29 highlights</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f</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17</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(SAE) − The 6th International Forum on Automotive Lighting, China (IFAL)</w:t>
            </w:r>
          </w:p>
        </w:tc>
        <w:tc>
          <w:tcPr>
            <w:tcW w:w="739" w:type="dxa"/>
            <w:shd w:val="clear" w:color="auto" w:fill="auto"/>
          </w:tcPr>
          <w:p w:rsidR="00D0672B" w:rsidRPr="00225C0C" w:rsidRDefault="00D0672B" w:rsidP="00225C0C">
            <w:pPr>
              <w:spacing w:before="40" w:after="120"/>
              <w:ind w:right="113"/>
              <w:jc w:val="right"/>
            </w:pPr>
            <w:r w:rsidRPr="00225C0C">
              <w:rPr>
                <w:lang w:val="fr-FR"/>
              </w:rPr>
              <w:t>f</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18</w:t>
            </w:r>
          </w:p>
        </w:tc>
        <w:tc>
          <w:tcPr>
            <w:tcW w:w="6900" w:type="dxa"/>
            <w:shd w:val="clear" w:color="auto" w:fill="auto"/>
          </w:tcPr>
          <w:p w:rsidR="00D0672B" w:rsidRPr="00225C0C" w:rsidRDefault="00D0672B" w:rsidP="00225C0C">
            <w:pPr>
              <w:spacing w:before="40" w:after="120"/>
              <w:ind w:right="113"/>
              <w:rPr>
                <w:szCs w:val="18"/>
              </w:rPr>
            </w:pPr>
            <w:r w:rsidRPr="00225C0C">
              <w:rPr>
                <w:lang w:val="fr-FR"/>
              </w:rPr>
              <w:t>(CEI) − Approval code light sources</w:t>
            </w:r>
          </w:p>
        </w:tc>
        <w:tc>
          <w:tcPr>
            <w:tcW w:w="739" w:type="dxa"/>
            <w:shd w:val="clear" w:color="auto" w:fill="auto"/>
          </w:tcPr>
          <w:p w:rsidR="00D0672B" w:rsidRPr="00225C0C" w:rsidRDefault="00D0672B" w:rsidP="00225C0C">
            <w:pPr>
              <w:spacing w:before="40" w:after="120"/>
              <w:ind w:right="113"/>
              <w:jc w:val="right"/>
            </w:pPr>
            <w:r w:rsidRPr="00225C0C">
              <w:rPr>
                <w:lang w:val="fr-FR"/>
              </w:rPr>
              <w:t>e</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19</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(CEI) </w:t>
            </w:r>
            <w:r w:rsidR="00225C0C">
              <w:rPr>
                <w:lang w:val="en-US"/>
              </w:rPr>
              <w:t>−</w:t>
            </w:r>
            <w:r w:rsidRPr="00225C0C">
              <w:rPr>
                <w:lang w:val="en-US"/>
              </w:rPr>
              <w:t xml:space="preserve"> Proposal for Amendment 1 to the original version of the Consolidated Resolution on the common specification of light source categories (R.E.5)</w:t>
            </w:r>
          </w:p>
        </w:tc>
        <w:tc>
          <w:tcPr>
            <w:tcW w:w="739" w:type="dxa"/>
            <w:shd w:val="clear" w:color="auto" w:fill="auto"/>
          </w:tcPr>
          <w:p w:rsidR="00D0672B" w:rsidRPr="00225C0C" w:rsidRDefault="00D0672B" w:rsidP="00225C0C">
            <w:pPr>
              <w:spacing w:before="40" w:after="120"/>
              <w:ind w:right="113"/>
              <w:jc w:val="right"/>
            </w:pPr>
            <w:r w:rsidRPr="00225C0C">
              <w:rPr>
                <w:lang w:val="fr-FR"/>
              </w:rPr>
              <w:t>a</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20</w:t>
            </w:r>
          </w:p>
        </w:tc>
        <w:tc>
          <w:tcPr>
            <w:tcW w:w="6900" w:type="dxa"/>
            <w:shd w:val="clear" w:color="auto" w:fill="auto"/>
          </w:tcPr>
          <w:p w:rsidR="00D0672B" w:rsidRPr="00225C0C" w:rsidRDefault="00D0672B" w:rsidP="00225C0C">
            <w:pPr>
              <w:spacing w:before="40" w:after="120"/>
              <w:ind w:right="113"/>
              <w:rPr>
                <w:szCs w:val="18"/>
                <w:lang w:val="fr-FR"/>
              </w:rPr>
            </w:pPr>
            <w:r w:rsidRPr="00225C0C">
              <w:rPr>
                <w:lang w:val="fr-FR"/>
              </w:rPr>
              <w:t>(Groupe de travail informel SLR) − Revision of ECE/TRANS/WP.29/GRE/2017/11</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21-Rev.1</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(Équipe spéciale HS) </w:t>
            </w:r>
            <w:r w:rsidR="00225C0C">
              <w:rPr>
                <w:lang w:val="en-US"/>
              </w:rPr>
              <w:t>−</w:t>
            </w:r>
            <w:r w:rsidRPr="00225C0C">
              <w:rPr>
                <w:lang w:val="en-US"/>
              </w:rPr>
              <w:t xml:space="preserve"> Proposal for draft amendments to Regulation No. 48</w:t>
            </w:r>
          </w:p>
        </w:tc>
        <w:tc>
          <w:tcPr>
            <w:tcW w:w="739" w:type="dxa"/>
            <w:shd w:val="clear" w:color="auto" w:fill="auto"/>
          </w:tcPr>
          <w:p w:rsidR="00D0672B" w:rsidRPr="00225C0C" w:rsidRDefault="00D0672B" w:rsidP="00225C0C">
            <w:pPr>
              <w:spacing w:before="40" w:after="120"/>
              <w:ind w:right="113"/>
              <w:jc w:val="right"/>
            </w:pPr>
            <w:r w:rsidRPr="00225C0C">
              <w:rPr>
                <w:lang w:val="fr-FR"/>
              </w:rPr>
              <w:t>c</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22</w:t>
            </w:r>
          </w:p>
        </w:tc>
        <w:tc>
          <w:tcPr>
            <w:tcW w:w="6900" w:type="dxa"/>
            <w:shd w:val="clear" w:color="auto" w:fill="auto"/>
          </w:tcPr>
          <w:p w:rsidR="00D0672B" w:rsidRPr="00225C0C" w:rsidRDefault="00D0672B" w:rsidP="00225C0C">
            <w:pPr>
              <w:spacing w:before="40" w:after="120"/>
              <w:ind w:right="113"/>
              <w:rPr>
                <w:szCs w:val="18"/>
              </w:rPr>
            </w:pPr>
            <w:r w:rsidRPr="00225C0C">
              <w:rPr>
                <w:lang w:val="fr-FR"/>
              </w:rPr>
              <w:t xml:space="preserve">(Groupe spécial d’intérêt pour les feux de circulation diurne) − Proposals for </w:t>
            </w:r>
            <w:r w:rsidR="00225C0C">
              <w:rPr>
                <w:lang w:val="fr-FR"/>
              </w:rPr>
              <w:br/>
            </w:r>
            <w:r w:rsidRPr="00225C0C">
              <w:rPr>
                <w:lang w:val="fr-FR"/>
              </w:rPr>
              <w:t>a collective amendment to Regulation No. 53 and draft Regulation on Light Signalling Devices (LSD)</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lastRenderedPageBreak/>
              <w:t>23-Rev.1</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(Groupe de travail informel VGL) </w:t>
            </w:r>
            <w:r w:rsidR="00225C0C" w:rsidRPr="00225C0C">
              <w:rPr>
                <w:lang w:val="en-US"/>
              </w:rPr>
              <w:t>−</w:t>
            </w:r>
            <w:r w:rsidR="00225C0C">
              <w:rPr>
                <w:lang w:val="en-US"/>
              </w:rPr>
              <w:t xml:space="preserve"> </w:t>
            </w:r>
            <w:r w:rsidRPr="00225C0C">
              <w:rPr>
                <w:lang w:val="en-US"/>
              </w:rPr>
              <w:t xml:space="preserve">Proposal and justification for lines defining </w:t>
            </w:r>
            <w:r w:rsidR="00225C0C">
              <w:rPr>
                <w:lang w:val="en-US"/>
              </w:rPr>
              <w:br/>
            </w:r>
            <w:r w:rsidRPr="00225C0C">
              <w:rPr>
                <w:lang w:val="en-US"/>
              </w:rPr>
              <w:t>the limits (diagram) for the new aiming range</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e</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24</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(Inde) </w:t>
            </w:r>
            <w:r w:rsidR="00225C0C">
              <w:rPr>
                <w:lang w:val="en-US"/>
              </w:rPr>
              <w:t>−</w:t>
            </w:r>
            <w:r w:rsidRPr="00225C0C">
              <w:rPr>
                <w:lang w:val="en-US"/>
              </w:rPr>
              <w:t xml:space="preserve"> Proposals for Supplement 1 to the 02 series of amendments and Supplement 19 to the 01 series of amendments to Regulation No. 53</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25</w:t>
            </w:r>
          </w:p>
        </w:tc>
        <w:tc>
          <w:tcPr>
            <w:tcW w:w="6900" w:type="dxa"/>
            <w:shd w:val="clear" w:color="auto" w:fill="auto"/>
          </w:tcPr>
          <w:p w:rsidR="00D0672B" w:rsidRPr="00225C0C" w:rsidRDefault="00D0672B" w:rsidP="00225C0C">
            <w:pPr>
              <w:spacing w:before="40" w:after="120"/>
              <w:ind w:right="113"/>
              <w:rPr>
                <w:szCs w:val="18"/>
              </w:rPr>
            </w:pPr>
            <w:r w:rsidRPr="00225C0C">
              <w:rPr>
                <w:lang w:val="fr-FR"/>
              </w:rPr>
              <w:t>(Inde) − Comments on ECE/TRANS/WP.29/GRE/2017/12</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26</w:t>
            </w:r>
          </w:p>
        </w:tc>
        <w:tc>
          <w:tcPr>
            <w:tcW w:w="6900" w:type="dxa"/>
            <w:shd w:val="clear" w:color="auto" w:fill="auto"/>
          </w:tcPr>
          <w:p w:rsidR="00D0672B" w:rsidRPr="00225C0C" w:rsidRDefault="00225C0C" w:rsidP="00225C0C">
            <w:pPr>
              <w:spacing w:before="40" w:after="120"/>
              <w:ind w:right="113"/>
              <w:rPr>
                <w:szCs w:val="18"/>
              </w:rPr>
            </w:pPr>
            <w:r>
              <w:rPr>
                <w:lang w:val="fr-FR"/>
              </w:rPr>
              <w:t xml:space="preserve">(Inde) − </w:t>
            </w:r>
            <w:r w:rsidR="00D0672B" w:rsidRPr="00225C0C">
              <w:rPr>
                <w:lang w:val="fr-FR"/>
              </w:rPr>
              <w:t xml:space="preserve">Comments on ECE/TRANS/WP.29/GRE/2017/9, ECE/TRANS/WP.29/GRE/2017/13 and GRE-77-32 </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27</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(Allemagne) </w:t>
            </w:r>
            <w:r w:rsidR="00225C0C">
              <w:rPr>
                <w:lang w:val="en-US"/>
              </w:rPr>
              <w:t>−</w:t>
            </w:r>
            <w:r w:rsidRPr="00225C0C">
              <w:rPr>
                <w:lang w:val="en-US"/>
              </w:rPr>
              <w:t xml:space="preserve"> Comments on all documents dealing with the simplification </w:t>
            </w:r>
            <w:r w:rsidR="00225C0C">
              <w:rPr>
                <w:lang w:val="en-US"/>
              </w:rPr>
              <w:br/>
            </w:r>
            <w:r w:rsidRPr="00225C0C">
              <w:rPr>
                <w:lang w:val="en-US"/>
              </w:rPr>
              <w:t>process and the “Unique Identifier (UI)”</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f</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28</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(OICA) </w:t>
            </w:r>
            <w:r w:rsidR="00225C0C">
              <w:rPr>
                <w:lang w:val="en-US"/>
              </w:rPr>
              <w:t>−</w:t>
            </w:r>
            <w:r w:rsidRPr="00225C0C">
              <w:rPr>
                <w:lang w:val="en-US"/>
              </w:rPr>
              <w:t xml:space="preserve"> Comments on ECE/TRANS/WP.29/GRE/2017/17 and ECE/TRANS/WP.29/GRE/2017/22</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f</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29</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(Japon) </w:t>
            </w:r>
            <w:r w:rsidR="00225C0C">
              <w:rPr>
                <w:lang w:val="en-US"/>
              </w:rPr>
              <w:t>−</w:t>
            </w:r>
            <w:r w:rsidRPr="00225C0C">
              <w:rPr>
                <w:lang w:val="en-US"/>
              </w:rPr>
              <w:t xml:space="preserve"> Interpretation of the 06 series of amendments to Regulation No. 48</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30</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(Équipe spéciale HS) </w:t>
            </w:r>
            <w:r w:rsidR="00225C0C">
              <w:rPr>
                <w:lang w:val="en-US"/>
              </w:rPr>
              <w:t>−</w:t>
            </w:r>
            <w:r w:rsidRPr="00225C0C">
              <w:rPr>
                <w:lang w:val="en-US"/>
              </w:rPr>
              <w:t xml:space="preserve"> Outlook on possible results of the editorial work </w:t>
            </w:r>
            <w:r w:rsidR="00225C0C">
              <w:rPr>
                <w:lang w:val="en-US"/>
              </w:rPr>
              <w:br/>
            </w:r>
            <w:r w:rsidRPr="00225C0C">
              <w:rPr>
                <w:lang w:val="en-US"/>
              </w:rPr>
              <w:t xml:space="preserve">on Regulation No. 48 following the proposed introduction </w:t>
            </w:r>
            <w:r w:rsidR="00225C0C">
              <w:rPr>
                <w:lang w:val="en-US"/>
              </w:rPr>
              <w:br/>
            </w:r>
            <w:r w:rsidRPr="00225C0C">
              <w:rPr>
                <w:lang w:val="en-US"/>
              </w:rPr>
              <w:t>of new definitions (GRE-78-21-Rev.1)</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c</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31</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(Groupe de travail informel SLR) − Draft new UN Regulation on uniform provisions concerning the approval of road illumination devices (lamps) </w:t>
            </w:r>
            <w:r w:rsidR="00225C0C">
              <w:rPr>
                <w:lang w:val="en-US"/>
              </w:rPr>
              <w:br/>
            </w:r>
            <w:r w:rsidRPr="00225C0C">
              <w:rPr>
                <w:lang w:val="en-US"/>
              </w:rPr>
              <w:t>and systems for power-driven vehicles</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c</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32</w:t>
            </w:r>
          </w:p>
        </w:tc>
        <w:tc>
          <w:tcPr>
            <w:tcW w:w="6900" w:type="dxa"/>
            <w:shd w:val="clear" w:color="auto" w:fill="auto"/>
          </w:tcPr>
          <w:p w:rsidR="00D0672B" w:rsidRPr="00225C0C" w:rsidRDefault="00D0672B" w:rsidP="00225C0C">
            <w:pPr>
              <w:spacing w:before="40" w:after="120"/>
              <w:ind w:right="113"/>
              <w:rPr>
                <w:szCs w:val="18"/>
                <w:lang w:val="en-US"/>
              </w:rPr>
            </w:pPr>
            <w:r w:rsidRPr="00225C0C">
              <w:rPr>
                <w:lang w:val="en-US"/>
              </w:rPr>
              <w:t xml:space="preserve">(Groupe de travail informel VGL) </w:t>
            </w:r>
            <w:r w:rsidR="00225C0C">
              <w:rPr>
                <w:lang w:val="en-US"/>
              </w:rPr>
              <w:t>−</w:t>
            </w:r>
            <w:r w:rsidRPr="00225C0C">
              <w:rPr>
                <w:lang w:val="en-US"/>
              </w:rPr>
              <w:t xml:space="preserve"> Justification for deletion of the 2,000 lm criterion</w:t>
            </w:r>
          </w:p>
        </w:tc>
        <w:tc>
          <w:tcPr>
            <w:tcW w:w="739" w:type="dxa"/>
            <w:shd w:val="clear" w:color="auto" w:fill="auto"/>
          </w:tcPr>
          <w:p w:rsidR="00D0672B" w:rsidRPr="00225C0C" w:rsidRDefault="00D0672B" w:rsidP="00225C0C">
            <w:pPr>
              <w:spacing w:before="40" w:after="120"/>
              <w:ind w:right="113"/>
              <w:jc w:val="right"/>
              <w:rPr>
                <w:lang w:val="en-US"/>
              </w:rPr>
            </w:pPr>
            <w:r w:rsidRPr="00225C0C">
              <w:rPr>
                <w:lang w:val="en-US"/>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lang w:val="en-US"/>
              </w:rPr>
            </w:pPr>
            <w:r w:rsidRPr="00225C0C">
              <w:rPr>
                <w:lang w:val="en-US"/>
              </w:rPr>
              <w:t>33</w:t>
            </w:r>
          </w:p>
        </w:tc>
        <w:tc>
          <w:tcPr>
            <w:tcW w:w="6900" w:type="dxa"/>
            <w:shd w:val="clear" w:color="auto" w:fill="auto"/>
          </w:tcPr>
          <w:p w:rsidR="00D0672B" w:rsidRPr="00225C0C" w:rsidRDefault="00D0672B" w:rsidP="00225C0C">
            <w:pPr>
              <w:spacing w:before="40" w:after="120"/>
              <w:ind w:right="113"/>
              <w:rPr>
                <w:szCs w:val="18"/>
              </w:rPr>
            </w:pPr>
            <w:r w:rsidRPr="00225C0C">
              <w:t xml:space="preserve">(Italie) </w:t>
            </w:r>
            <w:r w:rsidR="00225C0C" w:rsidRPr="00225C0C">
              <w:t>−</w:t>
            </w:r>
            <w:r w:rsidRPr="00225C0C">
              <w:t xml:space="preserve"> Modification to </w:t>
            </w:r>
            <w:r w:rsidRPr="00225C0C">
              <w:rPr>
                <w:lang w:val="fr-FR"/>
              </w:rPr>
              <w:t>document ECE/TRANS/WP.29/GRE/2017/22</w:t>
            </w:r>
          </w:p>
        </w:tc>
        <w:tc>
          <w:tcPr>
            <w:tcW w:w="739" w:type="dxa"/>
            <w:shd w:val="clear" w:color="auto" w:fill="auto"/>
          </w:tcPr>
          <w:p w:rsidR="00D0672B" w:rsidRPr="00225C0C" w:rsidRDefault="00D0672B" w:rsidP="00225C0C">
            <w:pPr>
              <w:spacing w:before="40" w:after="120"/>
              <w:ind w:right="113"/>
              <w:jc w:val="right"/>
            </w:pPr>
            <w:r w:rsidRPr="00225C0C">
              <w:rPr>
                <w:lang w:val="fr-FR"/>
              </w:rPr>
              <w:t>d</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34</w:t>
            </w:r>
          </w:p>
        </w:tc>
        <w:tc>
          <w:tcPr>
            <w:tcW w:w="6900" w:type="dxa"/>
            <w:shd w:val="clear" w:color="auto" w:fill="auto"/>
          </w:tcPr>
          <w:p w:rsidR="00D0672B" w:rsidRPr="00225C0C" w:rsidRDefault="00D0672B" w:rsidP="00225C0C">
            <w:pPr>
              <w:spacing w:before="40" w:after="120"/>
              <w:ind w:right="113"/>
              <w:rPr>
                <w:szCs w:val="18"/>
              </w:rPr>
            </w:pPr>
            <w:r w:rsidRPr="00225C0C">
              <w:rPr>
                <w:lang w:val="fr-FR"/>
              </w:rPr>
              <w:t xml:space="preserve">(Groupe de travail informel VGL) </w:t>
            </w:r>
            <w:r w:rsidR="00225C0C">
              <w:rPr>
                <w:lang w:val="fr-FR"/>
              </w:rPr>
              <w:t>−</w:t>
            </w:r>
            <w:r w:rsidRPr="00225C0C">
              <w:rPr>
                <w:lang w:val="fr-FR"/>
              </w:rPr>
              <w:t xml:space="preserve"> Status report</w:t>
            </w:r>
          </w:p>
        </w:tc>
        <w:tc>
          <w:tcPr>
            <w:tcW w:w="739" w:type="dxa"/>
            <w:shd w:val="clear" w:color="auto" w:fill="auto"/>
          </w:tcPr>
          <w:p w:rsidR="00D0672B" w:rsidRPr="00225C0C" w:rsidRDefault="00D0672B" w:rsidP="00225C0C">
            <w:pPr>
              <w:spacing w:before="40" w:after="120"/>
              <w:ind w:right="113"/>
              <w:jc w:val="right"/>
            </w:pPr>
            <w:r w:rsidRPr="00225C0C">
              <w:rPr>
                <w:lang w:val="fr-FR"/>
              </w:rPr>
              <w:t>f</w:t>
            </w:r>
          </w:p>
        </w:tc>
      </w:tr>
      <w:tr w:rsidR="00D0672B" w:rsidRPr="00225C0C" w:rsidTr="00225C0C">
        <w:tc>
          <w:tcPr>
            <w:tcW w:w="866" w:type="dxa"/>
            <w:shd w:val="clear" w:color="auto" w:fill="auto"/>
          </w:tcPr>
          <w:p w:rsidR="00D0672B" w:rsidRPr="00225C0C" w:rsidRDefault="00D0672B" w:rsidP="00225C0C">
            <w:pPr>
              <w:spacing w:before="40" w:after="120"/>
              <w:ind w:right="113"/>
              <w:rPr>
                <w:szCs w:val="18"/>
              </w:rPr>
            </w:pPr>
            <w:r w:rsidRPr="00225C0C">
              <w:rPr>
                <w:lang w:val="fr-FR"/>
              </w:rPr>
              <w:t>35-Rev.1</w:t>
            </w:r>
          </w:p>
        </w:tc>
        <w:tc>
          <w:tcPr>
            <w:tcW w:w="6900" w:type="dxa"/>
            <w:shd w:val="clear" w:color="auto" w:fill="auto"/>
          </w:tcPr>
          <w:p w:rsidR="00D0672B" w:rsidRPr="00FE2475" w:rsidRDefault="00D0672B" w:rsidP="00225C0C">
            <w:pPr>
              <w:spacing w:before="40" w:after="120"/>
              <w:ind w:right="113"/>
              <w:rPr>
                <w:szCs w:val="18"/>
                <w:lang w:val="en-US"/>
              </w:rPr>
            </w:pPr>
            <w:r w:rsidRPr="00FE2475">
              <w:rPr>
                <w:lang w:val="en-US"/>
              </w:rPr>
              <w:t xml:space="preserve">(Groupe de travail informel SLR) </w:t>
            </w:r>
            <w:r w:rsidR="00225C0C" w:rsidRPr="00FE2475">
              <w:rPr>
                <w:lang w:val="en-US"/>
              </w:rPr>
              <w:t>−</w:t>
            </w:r>
            <w:r w:rsidRPr="00FE2475">
              <w:rPr>
                <w:lang w:val="en-US"/>
              </w:rPr>
              <w:t xml:space="preserve"> Underlying principles of approval markings </w:t>
            </w:r>
            <w:r w:rsidR="00225C0C" w:rsidRPr="00FE2475">
              <w:rPr>
                <w:lang w:val="en-US"/>
              </w:rPr>
              <w:br/>
            </w:r>
            <w:r w:rsidRPr="00FE2475">
              <w:rPr>
                <w:lang w:val="en-US"/>
              </w:rPr>
              <w:t>for the LSD Regulation</w:t>
            </w:r>
          </w:p>
        </w:tc>
        <w:tc>
          <w:tcPr>
            <w:tcW w:w="739" w:type="dxa"/>
            <w:shd w:val="clear" w:color="auto" w:fill="auto"/>
          </w:tcPr>
          <w:p w:rsidR="00D0672B" w:rsidRPr="00225C0C" w:rsidRDefault="00D0672B" w:rsidP="00225C0C">
            <w:pPr>
              <w:spacing w:before="40" w:after="120"/>
              <w:ind w:right="113"/>
              <w:jc w:val="right"/>
            </w:pPr>
            <w:r w:rsidRPr="00225C0C">
              <w:rPr>
                <w:lang w:val="fr-FR"/>
              </w:rPr>
              <w:t>e</w:t>
            </w:r>
          </w:p>
        </w:tc>
      </w:tr>
      <w:tr w:rsidR="00D0672B" w:rsidRPr="00225C0C" w:rsidTr="00225C0C">
        <w:tc>
          <w:tcPr>
            <w:tcW w:w="866" w:type="dxa"/>
            <w:tcBorders>
              <w:bottom w:val="single" w:sz="12" w:space="0" w:color="auto"/>
            </w:tcBorders>
            <w:shd w:val="clear" w:color="auto" w:fill="auto"/>
          </w:tcPr>
          <w:p w:rsidR="00D0672B" w:rsidRPr="00225C0C" w:rsidRDefault="00D0672B" w:rsidP="00225C0C">
            <w:pPr>
              <w:spacing w:before="40" w:after="120"/>
              <w:ind w:right="113"/>
              <w:rPr>
                <w:szCs w:val="18"/>
              </w:rPr>
            </w:pPr>
            <w:r w:rsidRPr="00225C0C">
              <w:rPr>
                <w:lang w:val="fr-FR"/>
              </w:rPr>
              <w:t>36</w:t>
            </w:r>
          </w:p>
        </w:tc>
        <w:tc>
          <w:tcPr>
            <w:tcW w:w="6900" w:type="dxa"/>
            <w:tcBorders>
              <w:bottom w:val="single" w:sz="12" w:space="0" w:color="auto"/>
            </w:tcBorders>
            <w:shd w:val="clear" w:color="auto" w:fill="auto"/>
          </w:tcPr>
          <w:p w:rsidR="00D0672B" w:rsidRPr="00225C0C" w:rsidRDefault="00D0672B" w:rsidP="00225C0C">
            <w:pPr>
              <w:spacing w:before="40" w:after="120"/>
              <w:ind w:right="113"/>
              <w:rPr>
                <w:szCs w:val="18"/>
              </w:rPr>
            </w:pPr>
            <w:r w:rsidRPr="00225C0C">
              <w:rPr>
                <w:lang w:val="fr-FR"/>
              </w:rPr>
              <w:t>(Groupe de travail informel VGL) − Status report</w:t>
            </w:r>
          </w:p>
        </w:tc>
        <w:tc>
          <w:tcPr>
            <w:tcW w:w="739" w:type="dxa"/>
            <w:tcBorders>
              <w:bottom w:val="single" w:sz="12" w:space="0" w:color="auto"/>
            </w:tcBorders>
            <w:shd w:val="clear" w:color="auto" w:fill="auto"/>
          </w:tcPr>
          <w:p w:rsidR="00D0672B" w:rsidRPr="00225C0C" w:rsidRDefault="00D0672B" w:rsidP="00225C0C">
            <w:pPr>
              <w:spacing w:before="40" w:after="120"/>
              <w:ind w:right="113"/>
              <w:jc w:val="right"/>
            </w:pPr>
            <w:r w:rsidRPr="00225C0C">
              <w:rPr>
                <w:lang w:val="fr-FR"/>
              </w:rPr>
              <w:t>f</w:t>
            </w:r>
          </w:p>
        </w:tc>
      </w:tr>
    </w:tbl>
    <w:p w:rsidR="00D0672B" w:rsidRPr="00225C0C" w:rsidRDefault="00D0672B" w:rsidP="00225C0C">
      <w:pPr>
        <w:spacing w:before="120"/>
        <w:ind w:left="1134" w:firstLine="170"/>
        <w:rPr>
          <w:sz w:val="18"/>
          <w:szCs w:val="18"/>
        </w:rPr>
      </w:pPr>
      <w:r w:rsidRPr="00225C0C">
        <w:rPr>
          <w:i/>
          <w:sz w:val="18"/>
          <w:szCs w:val="18"/>
          <w:lang w:val="fr-FR"/>
        </w:rPr>
        <w:t>Notes</w:t>
      </w:r>
      <w:r w:rsidR="00225C0C">
        <w:rPr>
          <w:sz w:val="18"/>
          <w:szCs w:val="18"/>
          <w:lang w:val="fr-FR"/>
        </w:rPr>
        <w:t> </w:t>
      </w:r>
      <w:r w:rsidRPr="00225C0C">
        <w:rPr>
          <w:sz w:val="18"/>
          <w:szCs w:val="18"/>
          <w:lang w:val="fr-FR"/>
        </w:rPr>
        <w:t>:</w:t>
      </w:r>
    </w:p>
    <w:p w:rsidR="00D0672B" w:rsidRPr="00225C0C" w:rsidRDefault="00D0672B" w:rsidP="00225C0C">
      <w:pPr>
        <w:ind w:left="1134" w:firstLine="170"/>
        <w:rPr>
          <w:sz w:val="18"/>
          <w:szCs w:val="18"/>
        </w:rPr>
      </w:pPr>
      <w:r w:rsidRPr="00225C0C">
        <w:rPr>
          <w:sz w:val="18"/>
          <w:szCs w:val="18"/>
          <w:lang w:val="fr-FR"/>
        </w:rPr>
        <w:t>a)</w:t>
      </w:r>
      <w:r w:rsidRPr="00225C0C">
        <w:rPr>
          <w:sz w:val="18"/>
          <w:szCs w:val="18"/>
          <w:lang w:val="fr-FR"/>
        </w:rPr>
        <w:tab/>
        <w:t>Document approuvé ou adopté sans modifications.</w:t>
      </w:r>
    </w:p>
    <w:p w:rsidR="00D0672B" w:rsidRPr="00225C0C" w:rsidRDefault="00D0672B" w:rsidP="00225C0C">
      <w:pPr>
        <w:ind w:left="1134" w:firstLine="170"/>
        <w:rPr>
          <w:sz w:val="18"/>
          <w:szCs w:val="18"/>
        </w:rPr>
      </w:pPr>
      <w:r w:rsidRPr="00225C0C">
        <w:rPr>
          <w:sz w:val="18"/>
          <w:szCs w:val="18"/>
          <w:lang w:val="fr-FR"/>
        </w:rPr>
        <w:t>b)</w:t>
      </w:r>
      <w:r w:rsidRPr="00225C0C">
        <w:rPr>
          <w:sz w:val="18"/>
          <w:szCs w:val="18"/>
          <w:lang w:val="fr-FR"/>
        </w:rPr>
        <w:tab/>
        <w:t>Document approuvé ou adopté après modifications.</w:t>
      </w:r>
    </w:p>
    <w:p w:rsidR="00D0672B" w:rsidRPr="00225C0C" w:rsidRDefault="00D0672B" w:rsidP="00225C0C">
      <w:pPr>
        <w:ind w:left="1134" w:firstLine="170"/>
        <w:rPr>
          <w:sz w:val="18"/>
          <w:szCs w:val="18"/>
        </w:rPr>
      </w:pPr>
      <w:r w:rsidRPr="00225C0C">
        <w:rPr>
          <w:sz w:val="18"/>
          <w:szCs w:val="18"/>
          <w:lang w:val="fr-FR"/>
        </w:rPr>
        <w:t>c)</w:t>
      </w:r>
      <w:r w:rsidRPr="00225C0C">
        <w:rPr>
          <w:sz w:val="18"/>
          <w:szCs w:val="18"/>
          <w:lang w:val="fr-FR"/>
        </w:rPr>
        <w:tab/>
        <w:t>Document dont l’examen sera repris sous une cote officielle.</w:t>
      </w:r>
    </w:p>
    <w:p w:rsidR="00D0672B" w:rsidRPr="00225C0C" w:rsidRDefault="00D0672B" w:rsidP="00225C0C">
      <w:pPr>
        <w:ind w:left="1134" w:firstLine="170"/>
        <w:rPr>
          <w:sz w:val="18"/>
          <w:szCs w:val="18"/>
        </w:rPr>
      </w:pPr>
      <w:r w:rsidRPr="00225C0C">
        <w:rPr>
          <w:sz w:val="18"/>
          <w:szCs w:val="18"/>
          <w:lang w:val="fr-FR"/>
        </w:rPr>
        <w:t>d)</w:t>
      </w:r>
      <w:r w:rsidRPr="00225C0C">
        <w:rPr>
          <w:sz w:val="18"/>
          <w:szCs w:val="18"/>
          <w:lang w:val="fr-FR"/>
        </w:rPr>
        <w:tab/>
        <w:t>Document conservé à titre de référence/document dont l’examen doit se poursuivre.</w:t>
      </w:r>
    </w:p>
    <w:p w:rsidR="00D0672B" w:rsidRPr="00225C0C" w:rsidRDefault="00D0672B" w:rsidP="00225C0C">
      <w:pPr>
        <w:ind w:left="1134" w:firstLine="170"/>
        <w:rPr>
          <w:sz w:val="18"/>
          <w:szCs w:val="18"/>
        </w:rPr>
      </w:pPr>
      <w:r w:rsidRPr="00225C0C">
        <w:rPr>
          <w:sz w:val="18"/>
          <w:szCs w:val="18"/>
          <w:lang w:val="fr-FR"/>
        </w:rPr>
        <w:t>e)</w:t>
      </w:r>
      <w:r w:rsidRPr="00225C0C">
        <w:rPr>
          <w:sz w:val="18"/>
          <w:szCs w:val="18"/>
          <w:lang w:val="fr-FR"/>
        </w:rPr>
        <w:tab/>
        <w:t>Proposition révisée destinée à la prochaine session.</w:t>
      </w:r>
    </w:p>
    <w:p w:rsidR="00D0672B" w:rsidRPr="00225C0C" w:rsidRDefault="00D0672B" w:rsidP="00225C0C">
      <w:pPr>
        <w:ind w:left="1134" w:firstLine="170"/>
        <w:rPr>
          <w:sz w:val="18"/>
          <w:szCs w:val="18"/>
        </w:rPr>
      </w:pPr>
      <w:r w:rsidRPr="00225C0C">
        <w:rPr>
          <w:sz w:val="18"/>
          <w:szCs w:val="18"/>
          <w:lang w:val="fr-FR"/>
        </w:rPr>
        <w:t>f)</w:t>
      </w:r>
      <w:r w:rsidRPr="00225C0C">
        <w:rPr>
          <w:sz w:val="18"/>
          <w:szCs w:val="18"/>
          <w:lang w:val="fr-FR"/>
        </w:rPr>
        <w:tab/>
        <w:t>Document dont l’examen est achevé ou qui doit être remplacé.</w:t>
      </w:r>
    </w:p>
    <w:p w:rsidR="00225C0C" w:rsidRDefault="00D0672B" w:rsidP="00225C0C">
      <w:pPr>
        <w:ind w:left="1134" w:firstLine="170"/>
        <w:rPr>
          <w:sz w:val="18"/>
          <w:szCs w:val="18"/>
          <w:lang w:val="fr-FR"/>
        </w:rPr>
      </w:pPr>
      <w:r w:rsidRPr="00225C0C">
        <w:rPr>
          <w:sz w:val="18"/>
          <w:szCs w:val="18"/>
          <w:lang w:val="fr-FR"/>
        </w:rPr>
        <w:t>g)</w:t>
      </w:r>
      <w:r w:rsidRPr="00225C0C">
        <w:rPr>
          <w:sz w:val="18"/>
          <w:szCs w:val="18"/>
          <w:lang w:val="fr-FR"/>
        </w:rPr>
        <w:tab/>
        <w:t>Retrait.</w:t>
      </w:r>
    </w:p>
    <w:p w:rsidR="00D0672B" w:rsidRPr="00A84E1A" w:rsidRDefault="00225C0C" w:rsidP="00225C0C">
      <w:pPr>
        <w:pStyle w:val="HChG"/>
      </w:pPr>
      <w:r>
        <w:rPr>
          <w:sz w:val="18"/>
          <w:szCs w:val="18"/>
          <w:lang w:val="fr-FR"/>
        </w:rPr>
        <w:br w:type="page"/>
      </w:r>
      <w:r w:rsidR="00D0672B">
        <w:rPr>
          <w:lang w:val="fr-FR"/>
        </w:rPr>
        <w:lastRenderedPageBreak/>
        <w:t>Annexe II</w:t>
      </w:r>
      <w:bookmarkStart w:id="14" w:name="_Toc360526931"/>
      <w:bookmarkStart w:id="15" w:name="_Toc369772241"/>
      <w:bookmarkEnd w:id="14"/>
      <w:bookmarkEnd w:id="15"/>
    </w:p>
    <w:p w:rsidR="00D0672B" w:rsidRDefault="00D0672B" w:rsidP="00225C0C">
      <w:pPr>
        <w:pStyle w:val="HChG"/>
      </w:pPr>
      <w:r>
        <w:rPr>
          <w:lang w:val="fr-FR"/>
        </w:rPr>
        <w:tab/>
      </w:r>
      <w:r>
        <w:rPr>
          <w:lang w:val="fr-FR"/>
        </w:rPr>
        <w:tab/>
        <w:t>Amendements au Règlement n</w:t>
      </w:r>
      <w:r w:rsidRPr="00B53341">
        <w:rPr>
          <w:vertAlign w:val="superscript"/>
          <w:lang w:val="fr-FR"/>
        </w:rPr>
        <w:t>o</w:t>
      </w:r>
      <w:r w:rsidR="00225C0C">
        <w:rPr>
          <w:lang w:val="fr-FR"/>
        </w:rPr>
        <w:t> </w:t>
      </w:r>
      <w:r>
        <w:rPr>
          <w:lang w:val="fr-FR"/>
        </w:rPr>
        <w:t xml:space="preserve">6 adoptés </w:t>
      </w:r>
      <w:r w:rsidR="00225C0C">
        <w:rPr>
          <w:lang w:val="fr-FR"/>
        </w:rPr>
        <w:br/>
      </w:r>
      <w:r>
        <w:rPr>
          <w:lang w:val="fr-FR"/>
        </w:rPr>
        <w:t>(par.</w:t>
      </w:r>
      <w:r w:rsidR="00225C0C">
        <w:rPr>
          <w:lang w:val="fr-FR"/>
        </w:rPr>
        <w:t> </w:t>
      </w:r>
      <w:r>
        <w:rPr>
          <w:lang w:val="fr-FR"/>
        </w:rPr>
        <w:t>13 du rapport)</w:t>
      </w:r>
    </w:p>
    <w:p w:rsidR="00D0672B" w:rsidRPr="00A84E1A" w:rsidRDefault="00D0672B" w:rsidP="00225C0C">
      <w:pPr>
        <w:pStyle w:val="SingleTxtG"/>
      </w:pPr>
      <w:r>
        <w:rPr>
          <w:i/>
          <w:iCs/>
          <w:lang w:val="fr-FR"/>
        </w:rPr>
        <w:t>Paragraphe 1.3</w:t>
      </w:r>
      <w:r>
        <w:rPr>
          <w:lang w:val="fr-FR"/>
        </w:rPr>
        <w:t>, modifier comme suit</w:t>
      </w:r>
      <w:r w:rsidR="00225C0C">
        <w:rPr>
          <w:lang w:val="fr-FR"/>
        </w:rPr>
        <w:t> </w:t>
      </w:r>
      <w:r>
        <w:rPr>
          <w:lang w:val="fr-FR"/>
        </w:rPr>
        <w:t>:</w:t>
      </w:r>
    </w:p>
    <w:p w:rsidR="00D0672B" w:rsidRDefault="00D0672B" w:rsidP="00225C0C">
      <w:pPr>
        <w:pStyle w:val="SingleTxtG"/>
        <w:keepNext/>
        <w:tabs>
          <w:tab w:val="left" w:pos="1985"/>
        </w:tabs>
        <w:ind w:left="1985" w:hanging="851"/>
        <w:rPr>
          <w:iCs/>
        </w:rPr>
      </w:pPr>
      <w:r>
        <w:t>«</w:t>
      </w:r>
      <w:r w:rsidR="00225C0C">
        <w:t> </w:t>
      </w:r>
      <w:r w:rsidR="00225C0C">
        <w:rPr>
          <w:lang w:val="fr-FR"/>
        </w:rPr>
        <w:t>1.3</w:t>
      </w:r>
      <w:r>
        <w:rPr>
          <w:lang w:val="fr-FR"/>
        </w:rPr>
        <w:tab/>
        <w:t xml:space="preserve">Par </w:t>
      </w:r>
      <w:r w:rsidRPr="00D678E1">
        <w:rPr>
          <w:color w:val="000000"/>
        </w:rPr>
        <w:t>“</w:t>
      </w:r>
      <w:r>
        <w:rPr>
          <w:lang w:val="fr-FR"/>
        </w:rPr>
        <w:t>indicateurs de direction de types différents</w:t>
      </w:r>
      <w:r w:rsidRPr="00D678E1">
        <w:rPr>
          <w:color w:val="000000"/>
        </w:rPr>
        <w:t>”</w:t>
      </w:r>
      <w:r>
        <w:rPr>
          <w:lang w:val="fr-FR"/>
        </w:rPr>
        <w:t>, des feux qui présentent des différences essentielles pouvant porter notamment sur</w:t>
      </w:r>
      <w:r w:rsidR="00225C0C">
        <w:rPr>
          <w:lang w:val="fr-FR"/>
        </w:rPr>
        <w:t> </w:t>
      </w:r>
      <w:r>
        <w:rPr>
          <w:lang w:val="fr-FR"/>
        </w:rPr>
        <w:t>:</w:t>
      </w:r>
    </w:p>
    <w:p w:rsidR="00D0672B" w:rsidRPr="00A84E1A" w:rsidRDefault="00D0672B" w:rsidP="00F476B7">
      <w:pPr>
        <w:pStyle w:val="SingleTxtG"/>
        <w:keepNext/>
        <w:tabs>
          <w:tab w:val="left" w:pos="2552"/>
        </w:tabs>
        <w:ind w:left="1985"/>
        <w:rPr>
          <w:iCs/>
        </w:rPr>
      </w:pPr>
      <w:r>
        <w:rPr>
          <w:lang w:val="fr-FR"/>
        </w:rPr>
        <w:t>a)</w:t>
      </w:r>
      <w:r>
        <w:rPr>
          <w:lang w:val="fr-FR"/>
        </w:rPr>
        <w:tab/>
        <w:t>La marque de fabrique ou de commerce</w:t>
      </w:r>
      <w:r w:rsidR="00E566EA">
        <w:rPr>
          <w:lang w:val="fr-FR"/>
        </w:rPr>
        <w:t> </w:t>
      </w:r>
      <w:r>
        <w:rPr>
          <w:lang w:val="fr-FR"/>
        </w:rPr>
        <w:t>:</w:t>
      </w:r>
    </w:p>
    <w:p w:rsidR="00D0672B" w:rsidRPr="00E566EA" w:rsidRDefault="00D0672B" w:rsidP="00E566EA">
      <w:pPr>
        <w:pStyle w:val="SingleTxtG"/>
        <w:tabs>
          <w:tab w:val="left" w:pos="2552"/>
          <w:tab w:val="left" w:pos="3119"/>
        </w:tabs>
        <w:ind w:left="2552"/>
        <w:rPr>
          <w:b/>
          <w:iCs/>
        </w:rPr>
      </w:pPr>
      <w:r w:rsidRPr="00E566EA">
        <w:rPr>
          <w:b/>
          <w:lang w:val="fr-FR"/>
        </w:rPr>
        <w:t>i)</w:t>
      </w:r>
      <w:r w:rsidRPr="00E566EA">
        <w:rPr>
          <w:b/>
          <w:lang w:val="fr-FR"/>
        </w:rPr>
        <w:tab/>
      </w:r>
      <w:r w:rsidRPr="00E566EA">
        <w:rPr>
          <w:b/>
          <w:bCs/>
          <w:lang w:val="fr-FR"/>
        </w:rPr>
        <w:t>Des feux portant la même marque de fabrique ou de commerce mais produits par des fabricants différents doivent être considérés comme étant de types différents</w:t>
      </w:r>
      <w:r w:rsidR="00F476B7">
        <w:rPr>
          <w:b/>
          <w:bCs/>
          <w:lang w:val="fr-FR"/>
        </w:rPr>
        <w:t> </w:t>
      </w:r>
      <w:r w:rsidRPr="00E566EA">
        <w:rPr>
          <w:b/>
          <w:bCs/>
          <w:lang w:val="fr-FR"/>
        </w:rPr>
        <w:t>;</w:t>
      </w:r>
    </w:p>
    <w:p w:rsidR="00D0672B" w:rsidRPr="00E566EA" w:rsidRDefault="00D0672B" w:rsidP="00E566EA">
      <w:pPr>
        <w:pStyle w:val="SingleTxtG"/>
        <w:tabs>
          <w:tab w:val="left" w:pos="2552"/>
          <w:tab w:val="left" w:pos="3119"/>
        </w:tabs>
        <w:ind w:left="2552"/>
        <w:rPr>
          <w:b/>
          <w:iCs/>
        </w:rPr>
      </w:pPr>
      <w:r w:rsidRPr="00E566EA">
        <w:rPr>
          <w:b/>
          <w:lang w:val="fr-FR"/>
        </w:rPr>
        <w:t>ii)</w:t>
      </w:r>
      <w:r w:rsidRPr="00E566EA">
        <w:rPr>
          <w:b/>
          <w:lang w:val="fr-FR"/>
        </w:rPr>
        <w:tab/>
      </w:r>
      <w:r w:rsidRPr="00E566EA">
        <w:rPr>
          <w:b/>
          <w:bCs/>
          <w:lang w:val="fr-FR"/>
        </w:rPr>
        <w:t>Des feux produits par le même fabricant et ne différant entre eux que par la marque de fabrique ou de commerce doivent être considérés comme étant du même type.</w:t>
      </w:r>
    </w:p>
    <w:p w:rsidR="00D0672B" w:rsidRDefault="00D0672B" w:rsidP="00E566EA">
      <w:pPr>
        <w:pStyle w:val="SingleTxtG"/>
        <w:tabs>
          <w:tab w:val="left" w:pos="2552"/>
        </w:tabs>
        <w:ind w:left="1985"/>
        <w:rPr>
          <w:iCs/>
        </w:rPr>
      </w:pPr>
      <w:r>
        <w:rPr>
          <w:lang w:val="fr-FR"/>
        </w:rPr>
        <w:t>b)</w:t>
      </w:r>
      <w:r>
        <w:rPr>
          <w:lang w:val="fr-FR"/>
        </w:rPr>
        <w:tab/>
        <w:t>Les caractéristiques</w:t>
      </w:r>
      <w:r w:rsidR="00F476B7">
        <w:rPr>
          <w:lang w:val="fr-FR"/>
        </w:rPr>
        <w:t xml:space="preserve"> </w:t>
      </w:r>
      <w:r>
        <w:rPr>
          <w:lang w:val="fr-FR"/>
        </w:rPr>
        <w:t>… ».</w:t>
      </w:r>
    </w:p>
    <w:p w:rsidR="00D0672B" w:rsidRPr="008D2BE3" w:rsidRDefault="00D0672B" w:rsidP="00D0672B">
      <w:pPr>
        <w:rPr>
          <w:i/>
        </w:rPr>
      </w:pPr>
    </w:p>
    <w:p w:rsidR="00D0672B" w:rsidRPr="00A84E1A" w:rsidRDefault="00D0672B" w:rsidP="00F476B7">
      <w:pPr>
        <w:pStyle w:val="HChG"/>
      </w:pPr>
      <w:r w:rsidRPr="00A84E1A">
        <w:br w:type="page"/>
      </w:r>
      <w:r>
        <w:rPr>
          <w:lang w:val="fr-FR"/>
        </w:rPr>
        <w:lastRenderedPageBreak/>
        <w:t>Annexe III</w:t>
      </w:r>
    </w:p>
    <w:p w:rsidR="00D0672B" w:rsidRPr="00A84E1A" w:rsidRDefault="00D0672B" w:rsidP="00F476B7">
      <w:pPr>
        <w:pStyle w:val="HChG"/>
      </w:pPr>
      <w:r>
        <w:rPr>
          <w:lang w:val="fr-FR"/>
        </w:rPr>
        <w:tab/>
      </w:r>
      <w:r>
        <w:rPr>
          <w:lang w:val="fr-FR"/>
        </w:rPr>
        <w:tab/>
        <w:t xml:space="preserve">Proposition d’amendements à la version originale </w:t>
      </w:r>
      <w:r w:rsidR="00F476B7">
        <w:rPr>
          <w:lang w:val="fr-FR"/>
        </w:rPr>
        <w:br/>
      </w:r>
      <w:r>
        <w:rPr>
          <w:lang w:val="fr-FR"/>
        </w:rPr>
        <w:t xml:space="preserve">de la Résolution d’ensemble sur une spécification </w:t>
      </w:r>
      <w:r w:rsidR="00F476B7">
        <w:rPr>
          <w:lang w:val="fr-FR"/>
        </w:rPr>
        <w:br/>
      </w:r>
      <w:r>
        <w:rPr>
          <w:lang w:val="fr-FR"/>
        </w:rPr>
        <w:t xml:space="preserve">commune des catégories de sources </w:t>
      </w:r>
      <w:r w:rsidR="00F476B7">
        <w:rPr>
          <w:lang w:val="fr-FR"/>
        </w:rPr>
        <w:br/>
      </w:r>
      <w:r>
        <w:rPr>
          <w:lang w:val="fr-FR"/>
        </w:rPr>
        <w:t>lumineuses (R.E.5) (par.</w:t>
      </w:r>
      <w:r w:rsidR="00F476B7">
        <w:rPr>
          <w:lang w:val="fr-FR"/>
        </w:rPr>
        <w:t> </w:t>
      </w:r>
      <w:r>
        <w:rPr>
          <w:lang w:val="fr-FR"/>
        </w:rPr>
        <w:t>16 du rapport)</w:t>
      </w:r>
    </w:p>
    <w:p w:rsidR="00D0672B" w:rsidRPr="00A84E1A" w:rsidRDefault="00D0672B" w:rsidP="00F476B7">
      <w:pPr>
        <w:pStyle w:val="SingleTxtG"/>
      </w:pPr>
      <w:r>
        <w:rPr>
          <w:i/>
          <w:iCs/>
          <w:lang w:val="fr-FR"/>
        </w:rPr>
        <w:t>Tableau de situation</w:t>
      </w:r>
      <w:r>
        <w:rPr>
          <w:lang w:val="fr-FR"/>
        </w:rPr>
        <w:t>, modifier comme suit</w:t>
      </w:r>
      <w:r w:rsidR="00F476B7">
        <w:rPr>
          <w:lang w:val="fr-FR"/>
        </w:rPr>
        <w:t> </w:t>
      </w:r>
      <w:r>
        <w:rPr>
          <w:lang w:val="fr-FR"/>
        </w:rPr>
        <w:t>:</w:t>
      </w:r>
    </w:p>
    <w:p w:rsidR="00D0672B" w:rsidRPr="00A84E1A" w:rsidRDefault="00F476B7" w:rsidP="00F476B7">
      <w:pPr>
        <w:pStyle w:val="H1G"/>
      </w:pPr>
      <w:r>
        <w:rPr>
          <w:lang w:val="fr-FR"/>
        </w:rPr>
        <w:tab/>
      </w:r>
      <w:r>
        <w:rPr>
          <w:lang w:val="fr-FR"/>
        </w:rPr>
        <w:tab/>
      </w:r>
      <w:r w:rsidR="00D0672B">
        <w:rPr>
          <w:lang w:val="fr-FR"/>
        </w:rPr>
        <w:t>«</w:t>
      </w:r>
      <w:r>
        <w:rPr>
          <w:lang w:val="fr-FR"/>
        </w:rPr>
        <w:t> </w:t>
      </w:r>
      <w:r w:rsidR="00D0672B">
        <w:rPr>
          <w:lang w:val="fr-FR"/>
        </w:rPr>
        <w:t>Tableau de situation</w:t>
      </w:r>
    </w:p>
    <w:p w:rsidR="00D0672B" w:rsidRPr="00A84E1A" w:rsidRDefault="00D0672B" w:rsidP="00F476B7">
      <w:pPr>
        <w:pStyle w:val="SingleTxtG"/>
        <w:ind w:firstLine="567"/>
      </w:pPr>
      <w:r>
        <w:rPr>
          <w:lang w:val="fr-FR"/>
        </w:rPr>
        <w:t>Le texte de la présente résolution contient l’ensemble des dispositions et amendements adoptés à ce jour par le Forum mondial de l’harmonisation des Règlements concernant les véhicules (WP.29). Il entre en vigueur à compter de la date indiquée dans le tableau ci-dessous et demeure valable jusqu’à l’entrée en vigueur d’une rév</w:t>
      </w:r>
      <w:r w:rsidR="00B448D0">
        <w:rPr>
          <w:lang w:val="fr-FR"/>
        </w:rPr>
        <w:t>ision de la présente résolution.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8"/>
        <w:gridCol w:w="1294"/>
        <w:gridCol w:w="937"/>
        <w:gridCol w:w="2744"/>
        <w:gridCol w:w="3566"/>
      </w:tblGrid>
      <w:tr w:rsidR="00D0672B" w:rsidRPr="00F476B7" w:rsidTr="00D678E1">
        <w:tc>
          <w:tcPr>
            <w:tcW w:w="109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rsidR="00D0672B" w:rsidRPr="00F476B7" w:rsidRDefault="00D0672B" w:rsidP="00F476B7">
            <w:pPr>
              <w:spacing w:before="80" w:after="80" w:line="200" w:lineRule="exact"/>
              <w:rPr>
                <w:i/>
                <w:sz w:val="16"/>
                <w:szCs w:val="16"/>
              </w:rPr>
            </w:pPr>
            <w:r w:rsidRPr="00F476B7">
              <w:rPr>
                <w:i/>
                <w:iCs/>
                <w:sz w:val="16"/>
                <w:szCs w:val="16"/>
                <w:lang w:val="fr-FR"/>
              </w:rPr>
              <w:t>Version de la résolution</w:t>
            </w:r>
          </w:p>
        </w:tc>
        <w:tc>
          <w:tcPr>
            <w:tcW w:w="1294"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rsidR="00D0672B" w:rsidRPr="00F476B7" w:rsidRDefault="00D0672B" w:rsidP="00F476B7">
            <w:pPr>
              <w:spacing w:before="80" w:after="80" w:line="200" w:lineRule="exact"/>
              <w:rPr>
                <w:i/>
                <w:sz w:val="16"/>
                <w:szCs w:val="16"/>
              </w:rPr>
            </w:pPr>
            <w:r w:rsidRPr="00F476B7">
              <w:rPr>
                <w:i/>
                <w:iCs/>
                <w:sz w:val="16"/>
                <w:szCs w:val="16"/>
                <w:lang w:val="fr-FR"/>
              </w:rPr>
              <w:t xml:space="preserve">Date d’entrée </w:t>
            </w:r>
            <w:r w:rsidR="00F476B7">
              <w:rPr>
                <w:i/>
                <w:iCs/>
                <w:sz w:val="16"/>
                <w:szCs w:val="16"/>
                <w:lang w:val="fr-FR"/>
              </w:rPr>
              <w:br/>
            </w:r>
            <w:r w:rsidRPr="00F476B7">
              <w:rPr>
                <w:i/>
                <w:iCs/>
                <w:sz w:val="16"/>
                <w:szCs w:val="16"/>
                <w:lang w:val="fr-FR"/>
              </w:rPr>
              <w:t xml:space="preserve">en vigueur </w:t>
            </w:r>
            <w:r w:rsidR="00F476B7">
              <w:rPr>
                <w:i/>
                <w:iCs/>
                <w:sz w:val="16"/>
                <w:szCs w:val="16"/>
                <w:lang w:val="fr-FR"/>
              </w:rPr>
              <w:br/>
            </w:r>
            <w:r w:rsidRPr="00F476B7">
              <w:rPr>
                <w:i/>
                <w:iCs/>
                <w:sz w:val="16"/>
                <w:szCs w:val="16"/>
                <w:lang w:val="fr-FR"/>
              </w:rPr>
              <w:t>de la version*</w:t>
            </w:r>
          </w:p>
        </w:tc>
        <w:tc>
          <w:tcPr>
            <w:tcW w:w="368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D0672B" w:rsidRPr="00F476B7" w:rsidRDefault="00D0672B" w:rsidP="00F476B7">
            <w:pPr>
              <w:spacing w:before="80" w:after="80" w:line="200" w:lineRule="exact"/>
              <w:jc w:val="center"/>
              <w:rPr>
                <w:i/>
                <w:sz w:val="16"/>
                <w:szCs w:val="16"/>
              </w:rPr>
            </w:pPr>
            <w:r w:rsidRPr="00F476B7">
              <w:rPr>
                <w:i/>
                <w:iCs/>
                <w:sz w:val="16"/>
                <w:szCs w:val="16"/>
                <w:lang w:val="fr-FR"/>
              </w:rPr>
              <w:t>Adoptée par le WP.29</w:t>
            </w:r>
          </w:p>
        </w:tc>
        <w:tc>
          <w:tcPr>
            <w:tcW w:w="3566"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tcPr>
          <w:p w:rsidR="00D0672B" w:rsidRPr="00F476B7" w:rsidRDefault="00D0672B" w:rsidP="00F476B7">
            <w:pPr>
              <w:spacing w:before="80" w:after="80" w:line="200" w:lineRule="exact"/>
              <w:rPr>
                <w:i/>
                <w:sz w:val="16"/>
                <w:szCs w:val="16"/>
              </w:rPr>
            </w:pPr>
            <w:r w:rsidRPr="00F476B7">
              <w:rPr>
                <w:i/>
                <w:iCs/>
                <w:sz w:val="16"/>
                <w:szCs w:val="16"/>
                <w:lang w:val="fr-FR"/>
              </w:rPr>
              <w:t>Observations</w:t>
            </w:r>
          </w:p>
        </w:tc>
      </w:tr>
      <w:tr w:rsidR="00D0672B" w:rsidRPr="00F476B7" w:rsidTr="00D678E1">
        <w:tc>
          <w:tcPr>
            <w:tcW w:w="1098" w:type="dxa"/>
            <w:vMerge/>
            <w:tcBorders>
              <w:top w:val="single" w:sz="4" w:space="0" w:color="auto"/>
              <w:left w:val="single" w:sz="4" w:space="0" w:color="auto"/>
              <w:bottom w:val="single" w:sz="12" w:space="0" w:color="auto"/>
              <w:right w:val="single" w:sz="4" w:space="0" w:color="auto"/>
            </w:tcBorders>
            <w:vAlign w:val="bottom"/>
            <w:hideMark/>
          </w:tcPr>
          <w:p w:rsidR="00D0672B" w:rsidRPr="00F476B7" w:rsidRDefault="00D0672B" w:rsidP="00F476B7">
            <w:pPr>
              <w:spacing w:before="80" w:after="80" w:line="200" w:lineRule="exact"/>
              <w:rPr>
                <w:i/>
                <w:sz w:val="16"/>
                <w:szCs w:val="16"/>
                <w:lang w:eastAsia="en-GB"/>
              </w:rPr>
            </w:pPr>
          </w:p>
        </w:tc>
        <w:tc>
          <w:tcPr>
            <w:tcW w:w="1294" w:type="dxa"/>
            <w:vMerge/>
            <w:tcBorders>
              <w:top w:val="single" w:sz="4" w:space="0" w:color="auto"/>
              <w:left w:val="single" w:sz="4" w:space="0" w:color="auto"/>
              <w:bottom w:val="single" w:sz="12" w:space="0" w:color="auto"/>
              <w:right w:val="single" w:sz="4" w:space="0" w:color="auto"/>
            </w:tcBorders>
            <w:vAlign w:val="bottom"/>
            <w:hideMark/>
          </w:tcPr>
          <w:p w:rsidR="00D0672B" w:rsidRPr="00F476B7" w:rsidRDefault="00D0672B" w:rsidP="00F476B7">
            <w:pPr>
              <w:spacing w:before="80" w:after="80" w:line="200" w:lineRule="exact"/>
              <w:rPr>
                <w:i/>
                <w:sz w:val="16"/>
                <w:szCs w:val="16"/>
                <w:lang w:eastAsia="en-GB"/>
              </w:rPr>
            </w:pPr>
          </w:p>
        </w:tc>
        <w:tc>
          <w:tcPr>
            <w:tcW w:w="937"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vAlign w:val="bottom"/>
            <w:hideMark/>
          </w:tcPr>
          <w:p w:rsidR="00D0672B" w:rsidRPr="00F476B7" w:rsidRDefault="00D0672B" w:rsidP="00F476B7">
            <w:pPr>
              <w:spacing w:before="80" w:after="80" w:line="200" w:lineRule="exact"/>
              <w:rPr>
                <w:i/>
                <w:sz w:val="16"/>
                <w:szCs w:val="16"/>
              </w:rPr>
            </w:pPr>
            <w:r w:rsidRPr="00F476B7">
              <w:rPr>
                <w:i/>
                <w:iCs/>
                <w:sz w:val="16"/>
                <w:szCs w:val="16"/>
                <w:lang w:val="fr-FR"/>
              </w:rPr>
              <w:t>Session n</w:t>
            </w:r>
            <w:r w:rsidRPr="00F476B7">
              <w:rPr>
                <w:i/>
                <w:iCs/>
                <w:sz w:val="16"/>
                <w:szCs w:val="16"/>
                <w:vertAlign w:val="superscript"/>
                <w:lang w:val="fr-FR"/>
              </w:rPr>
              <w:t>o</w:t>
            </w:r>
          </w:p>
        </w:tc>
        <w:tc>
          <w:tcPr>
            <w:tcW w:w="2744" w:type="dxa"/>
            <w:tcBorders>
              <w:top w:val="single" w:sz="4" w:space="0" w:color="auto"/>
              <w:left w:val="single" w:sz="4" w:space="0" w:color="auto"/>
              <w:bottom w:val="single" w:sz="12" w:space="0" w:color="auto"/>
              <w:right w:val="single" w:sz="4" w:space="0" w:color="auto"/>
            </w:tcBorders>
            <w:vAlign w:val="bottom"/>
            <w:hideMark/>
          </w:tcPr>
          <w:p w:rsidR="00D0672B" w:rsidRPr="00F476B7" w:rsidRDefault="00D0672B" w:rsidP="00F476B7">
            <w:pPr>
              <w:spacing w:before="80" w:after="80" w:line="200" w:lineRule="exact"/>
              <w:ind w:left="57"/>
              <w:rPr>
                <w:i/>
                <w:sz w:val="16"/>
                <w:szCs w:val="16"/>
              </w:rPr>
            </w:pPr>
            <w:r w:rsidRPr="00F476B7">
              <w:rPr>
                <w:i/>
                <w:iCs/>
                <w:sz w:val="16"/>
                <w:szCs w:val="16"/>
                <w:lang w:val="fr-FR"/>
              </w:rPr>
              <w:t>Cote du document portant modification</w:t>
            </w:r>
          </w:p>
        </w:tc>
        <w:tc>
          <w:tcPr>
            <w:tcW w:w="3566" w:type="dxa"/>
            <w:vMerge/>
            <w:tcBorders>
              <w:top w:val="single" w:sz="4" w:space="0" w:color="auto"/>
              <w:left w:val="single" w:sz="4" w:space="0" w:color="auto"/>
              <w:bottom w:val="single" w:sz="12" w:space="0" w:color="auto"/>
              <w:right w:val="single" w:sz="4" w:space="0" w:color="auto"/>
            </w:tcBorders>
            <w:vAlign w:val="bottom"/>
            <w:hideMark/>
          </w:tcPr>
          <w:p w:rsidR="00D0672B" w:rsidRPr="00F476B7" w:rsidRDefault="00D0672B" w:rsidP="00F476B7">
            <w:pPr>
              <w:spacing w:before="80" w:after="80" w:line="200" w:lineRule="exact"/>
              <w:rPr>
                <w:i/>
                <w:sz w:val="16"/>
                <w:szCs w:val="16"/>
                <w:lang w:eastAsia="en-GB"/>
              </w:rPr>
            </w:pPr>
          </w:p>
        </w:tc>
      </w:tr>
      <w:tr w:rsidR="00D0672B" w:rsidRPr="00F476B7" w:rsidTr="00D678E1">
        <w:tc>
          <w:tcPr>
            <w:tcW w:w="1098"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D0672B" w:rsidRPr="00F476B7" w:rsidRDefault="00D0672B" w:rsidP="00F476B7">
            <w:pPr>
              <w:spacing w:before="40" w:after="120"/>
              <w:ind w:left="57"/>
            </w:pPr>
            <w:r w:rsidRPr="00D678E1">
              <w:rPr>
                <w:b/>
                <w:lang w:val="fr-FR"/>
              </w:rPr>
              <w:t xml:space="preserve">1 </w:t>
            </w:r>
            <w:r w:rsidRPr="00F476B7">
              <w:rPr>
                <w:lang w:val="fr-FR"/>
              </w:rPr>
              <w:t>(Originale)</w:t>
            </w:r>
          </w:p>
        </w:tc>
        <w:tc>
          <w:tcPr>
            <w:tcW w:w="129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D0672B" w:rsidRPr="00F476B7" w:rsidRDefault="00D0672B" w:rsidP="00F476B7">
            <w:pPr>
              <w:spacing w:before="40" w:after="120"/>
              <w:ind w:left="57"/>
            </w:pPr>
            <w:r w:rsidRPr="00F476B7">
              <w:rPr>
                <w:lang w:val="fr-FR"/>
              </w:rPr>
              <w:t>[2017-xx-xx]</w:t>
            </w:r>
          </w:p>
        </w:tc>
        <w:tc>
          <w:tcPr>
            <w:tcW w:w="937"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D0672B" w:rsidRPr="00F476B7" w:rsidRDefault="00D0672B" w:rsidP="00F476B7">
            <w:pPr>
              <w:spacing w:before="40" w:after="120"/>
              <w:ind w:left="57"/>
            </w:pPr>
            <w:r w:rsidRPr="00F476B7">
              <w:rPr>
                <w:lang w:val="fr-FR"/>
              </w:rPr>
              <w:t>170</w:t>
            </w:r>
          </w:p>
        </w:tc>
        <w:tc>
          <w:tcPr>
            <w:tcW w:w="2744" w:type="dxa"/>
            <w:tcBorders>
              <w:top w:val="single" w:sz="12" w:space="0" w:color="auto"/>
              <w:left w:val="single" w:sz="4" w:space="0" w:color="auto"/>
              <w:bottom w:val="single" w:sz="6" w:space="0" w:color="auto"/>
              <w:right w:val="single" w:sz="4" w:space="0" w:color="auto"/>
            </w:tcBorders>
            <w:hideMark/>
          </w:tcPr>
          <w:p w:rsidR="00D0672B" w:rsidRPr="00F476B7" w:rsidRDefault="00D0672B" w:rsidP="00F476B7">
            <w:pPr>
              <w:spacing w:before="40" w:after="120"/>
              <w:ind w:left="57"/>
            </w:pPr>
            <w:r w:rsidRPr="00F476B7">
              <w:rPr>
                <w:lang w:val="fr-FR"/>
              </w:rPr>
              <w:t>ECE/TRANS/WP.29/2016/111</w:t>
            </w:r>
          </w:p>
        </w:tc>
        <w:tc>
          <w:tcPr>
            <w:tcW w:w="3566" w:type="dxa"/>
            <w:tcBorders>
              <w:top w:val="single" w:sz="12" w:space="0" w:color="auto"/>
              <w:left w:val="single" w:sz="4" w:space="0" w:color="auto"/>
              <w:bottom w:val="single" w:sz="12" w:space="0" w:color="auto"/>
              <w:right w:val="single" w:sz="4" w:space="0" w:color="auto"/>
            </w:tcBorders>
            <w:tcMar>
              <w:top w:w="0" w:type="dxa"/>
              <w:left w:w="57" w:type="dxa"/>
              <w:bottom w:w="0" w:type="dxa"/>
              <w:right w:w="57" w:type="dxa"/>
            </w:tcMar>
            <w:hideMark/>
          </w:tcPr>
          <w:p w:rsidR="00D0672B" w:rsidRPr="00F476B7" w:rsidRDefault="00D0672B" w:rsidP="00F476B7">
            <w:pPr>
              <w:spacing w:before="40" w:after="120"/>
              <w:ind w:left="57"/>
            </w:pPr>
            <w:r w:rsidRPr="00F476B7">
              <w:rPr>
                <w:lang w:val="fr-FR"/>
              </w:rPr>
              <w:t>Fondée sur les annexes 1 des Règlements suivants</w:t>
            </w:r>
            <w:r w:rsidR="00F476B7">
              <w:rPr>
                <w:lang w:val="fr-FR"/>
              </w:rPr>
              <w:t> </w:t>
            </w:r>
            <w:r w:rsidRPr="00F476B7">
              <w:rPr>
                <w:lang w:val="fr-FR"/>
              </w:rPr>
              <w:t>:</w:t>
            </w:r>
          </w:p>
          <w:p w:rsidR="00D0672B" w:rsidRPr="00F476B7" w:rsidRDefault="00B448D0" w:rsidP="00F476B7">
            <w:pPr>
              <w:spacing w:before="40" w:after="120"/>
              <w:ind w:left="57"/>
            </w:pPr>
            <w:r w:rsidRPr="00F476B7">
              <w:t>N</w:t>
            </w:r>
            <w:r w:rsidR="00D0672B" w:rsidRPr="00F476B7">
              <w:rPr>
                <w:vertAlign w:val="superscript"/>
              </w:rPr>
              <w:t>o</w:t>
            </w:r>
            <w:r w:rsidR="00D0672B" w:rsidRPr="00F476B7">
              <w:t xml:space="preserve"> 37, jusqu’au complément 44 inclus</w:t>
            </w:r>
          </w:p>
          <w:p w:rsidR="00D0672B" w:rsidRPr="00F476B7" w:rsidRDefault="00B448D0" w:rsidP="00F476B7">
            <w:pPr>
              <w:spacing w:before="40" w:after="120"/>
              <w:ind w:left="57"/>
            </w:pPr>
            <w:r w:rsidRPr="00F476B7">
              <w:t>N</w:t>
            </w:r>
            <w:r w:rsidR="00D0672B" w:rsidRPr="00F476B7">
              <w:rPr>
                <w:vertAlign w:val="superscript"/>
              </w:rPr>
              <w:t>o</w:t>
            </w:r>
            <w:r w:rsidR="00D0672B" w:rsidRPr="00F476B7">
              <w:t xml:space="preserve"> 99, jusqu’au complément 11 inclus</w:t>
            </w:r>
          </w:p>
          <w:p w:rsidR="00D0672B" w:rsidRPr="00F476B7" w:rsidRDefault="00B448D0" w:rsidP="00F476B7">
            <w:pPr>
              <w:spacing w:before="40" w:after="120"/>
              <w:ind w:left="57"/>
            </w:pPr>
            <w:r w:rsidRPr="00F476B7">
              <w:t>N</w:t>
            </w:r>
            <w:r w:rsidR="00D0672B" w:rsidRPr="00F476B7">
              <w:rPr>
                <w:vertAlign w:val="superscript"/>
              </w:rPr>
              <w:t>o</w:t>
            </w:r>
            <w:r w:rsidR="00D0672B" w:rsidRPr="00F476B7">
              <w:t xml:space="preserve"> 128, jusqu’au complément 5 inclus</w:t>
            </w:r>
          </w:p>
        </w:tc>
      </w:tr>
      <w:tr w:rsidR="00D0672B" w:rsidRPr="00D678E1" w:rsidTr="00D678E1">
        <w:tc>
          <w:tcPr>
            <w:tcW w:w="109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hideMark/>
          </w:tcPr>
          <w:p w:rsidR="00D0672B" w:rsidRPr="00D678E1" w:rsidRDefault="00D0672B" w:rsidP="00F476B7">
            <w:pPr>
              <w:spacing w:before="40" w:after="120"/>
              <w:ind w:left="57"/>
              <w:rPr>
                <w:b/>
              </w:rPr>
            </w:pPr>
            <w:r w:rsidRPr="00D678E1">
              <w:rPr>
                <w:b/>
                <w:lang w:val="fr-FR"/>
              </w:rPr>
              <w:t>[2]</w:t>
            </w:r>
          </w:p>
        </w:tc>
        <w:tc>
          <w:tcPr>
            <w:tcW w:w="129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hideMark/>
          </w:tcPr>
          <w:p w:rsidR="00D0672B" w:rsidRPr="00D678E1" w:rsidRDefault="00D0672B" w:rsidP="00F476B7">
            <w:pPr>
              <w:spacing w:before="40" w:after="120"/>
              <w:ind w:left="57"/>
              <w:rPr>
                <w:b/>
              </w:rPr>
            </w:pPr>
            <w:r w:rsidRPr="00D678E1">
              <w:rPr>
                <w:b/>
                <w:bCs/>
                <w:lang w:val="fr-FR"/>
              </w:rPr>
              <w:t>[2018-xx-xx]</w:t>
            </w:r>
          </w:p>
        </w:tc>
        <w:tc>
          <w:tcPr>
            <w:tcW w:w="937"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hideMark/>
          </w:tcPr>
          <w:p w:rsidR="00D0672B" w:rsidRPr="00D678E1" w:rsidRDefault="00D0672B" w:rsidP="00F476B7">
            <w:pPr>
              <w:spacing w:before="40" w:after="120"/>
              <w:ind w:left="57"/>
              <w:rPr>
                <w:b/>
              </w:rPr>
            </w:pPr>
            <w:r w:rsidRPr="00D678E1">
              <w:rPr>
                <w:b/>
                <w:lang w:val="fr-FR"/>
              </w:rPr>
              <w:t>[173]</w:t>
            </w:r>
          </w:p>
        </w:tc>
        <w:tc>
          <w:tcPr>
            <w:tcW w:w="2744" w:type="dxa"/>
            <w:tcBorders>
              <w:top w:val="single" w:sz="6" w:space="0" w:color="auto"/>
              <w:left w:val="single" w:sz="4" w:space="0" w:color="auto"/>
              <w:bottom w:val="single" w:sz="12" w:space="0" w:color="auto"/>
              <w:right w:val="single" w:sz="4" w:space="0" w:color="auto"/>
            </w:tcBorders>
            <w:hideMark/>
          </w:tcPr>
          <w:p w:rsidR="00D0672B" w:rsidRPr="00D678E1" w:rsidRDefault="00D0672B" w:rsidP="00F476B7">
            <w:pPr>
              <w:spacing w:before="40" w:after="120"/>
              <w:ind w:left="57"/>
              <w:rPr>
                <w:b/>
              </w:rPr>
            </w:pPr>
            <w:r w:rsidRPr="00D678E1">
              <w:rPr>
                <w:b/>
                <w:lang w:val="fr-FR"/>
              </w:rPr>
              <w:t>[ECE/TRANS/WP.29/2017/xx]</w:t>
            </w:r>
          </w:p>
        </w:tc>
        <w:tc>
          <w:tcPr>
            <w:tcW w:w="3566"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hideMark/>
          </w:tcPr>
          <w:p w:rsidR="00D0672B" w:rsidRPr="00D678E1" w:rsidRDefault="00D0672B" w:rsidP="00F476B7">
            <w:pPr>
              <w:spacing w:before="40" w:after="120"/>
              <w:ind w:left="57"/>
              <w:rPr>
                <w:b/>
              </w:rPr>
            </w:pPr>
            <w:r w:rsidRPr="00D678E1">
              <w:rPr>
                <w:b/>
                <w:bCs/>
                <w:lang w:val="fr-FR"/>
              </w:rPr>
              <w:t>Détails modifiés aux pages</w:t>
            </w:r>
            <w:r w:rsidR="00F476B7" w:rsidRPr="00D678E1">
              <w:rPr>
                <w:b/>
                <w:bCs/>
                <w:lang w:val="fr-FR"/>
              </w:rPr>
              <w:t> </w:t>
            </w:r>
            <w:r w:rsidRPr="00D678E1">
              <w:rPr>
                <w:b/>
                <w:bCs/>
                <w:lang w:val="fr-FR"/>
              </w:rPr>
              <w:t>: HIR2/1</w:t>
            </w:r>
          </w:p>
        </w:tc>
      </w:tr>
    </w:tbl>
    <w:p w:rsidR="00D0672B" w:rsidRPr="00F476B7" w:rsidRDefault="00F476B7" w:rsidP="00F476B7">
      <w:pPr>
        <w:spacing w:before="120" w:after="240"/>
        <w:ind w:firstLine="170"/>
        <w:rPr>
          <w:sz w:val="18"/>
          <w:szCs w:val="18"/>
        </w:rPr>
      </w:pPr>
      <w:r>
        <w:rPr>
          <w:sz w:val="18"/>
          <w:szCs w:val="18"/>
          <w:lang w:val="fr-FR"/>
        </w:rPr>
        <w:t xml:space="preserve">*  </w:t>
      </w:r>
      <w:r w:rsidR="00D0672B" w:rsidRPr="00F476B7">
        <w:rPr>
          <w:sz w:val="18"/>
          <w:szCs w:val="18"/>
          <w:lang w:val="fr-FR"/>
        </w:rPr>
        <w:t xml:space="preserve">Date à laquelle le WP.29 adopte l’amendement à la résolution ou date d’entrée en vigueur d’un amendement au Règlement </w:t>
      </w:r>
      <w:r w:rsidR="00D678E1">
        <w:rPr>
          <w:sz w:val="18"/>
          <w:szCs w:val="18"/>
          <w:lang w:val="fr-FR"/>
        </w:rPr>
        <w:t>n</w:t>
      </w:r>
      <w:r w:rsidR="00D678E1" w:rsidRPr="00D678E1">
        <w:rPr>
          <w:sz w:val="18"/>
          <w:szCs w:val="18"/>
          <w:vertAlign w:val="superscript"/>
          <w:lang w:val="fr-FR"/>
        </w:rPr>
        <w:t>o</w:t>
      </w:r>
      <w:r>
        <w:rPr>
          <w:sz w:val="18"/>
          <w:szCs w:val="18"/>
          <w:lang w:val="fr-FR"/>
        </w:rPr>
        <w:t> </w:t>
      </w:r>
      <w:r w:rsidR="00D0672B" w:rsidRPr="00F476B7">
        <w:rPr>
          <w:sz w:val="18"/>
          <w:szCs w:val="18"/>
          <w:lang w:val="fr-FR"/>
        </w:rPr>
        <w:t>37, 99 ou 128, adopté par l’AC.1, à la même session du WP.29, conjointement à l’amendement à la Résolution.</w:t>
      </w:r>
    </w:p>
    <w:p w:rsidR="00D0672B" w:rsidRPr="00A84E1A" w:rsidRDefault="00F476B7" w:rsidP="00F476B7">
      <w:pPr>
        <w:pStyle w:val="SingleTxtG"/>
        <w:jc w:val="right"/>
        <w:rPr>
          <w:sz w:val="18"/>
        </w:rPr>
      </w:pPr>
      <w:r>
        <w:rPr>
          <w:lang w:val="fr-FR"/>
        </w:rPr>
        <w:t> »</w:t>
      </w:r>
      <w:r w:rsidR="00D0672B">
        <w:rPr>
          <w:lang w:val="fr-FR"/>
        </w:rPr>
        <w:t>.</w:t>
      </w:r>
    </w:p>
    <w:p w:rsidR="00D0672B" w:rsidRPr="00A84E1A" w:rsidRDefault="00D0672B" w:rsidP="00F476B7">
      <w:pPr>
        <w:pStyle w:val="SingleTxtG"/>
        <w:rPr>
          <w:i/>
        </w:rPr>
      </w:pPr>
      <w:r>
        <w:rPr>
          <w:i/>
          <w:iCs/>
          <w:lang w:val="fr-FR"/>
        </w:rPr>
        <w:t>Annexe 1</w:t>
      </w:r>
      <w:r w:rsidRPr="00F476B7">
        <w:rPr>
          <w:iCs/>
          <w:lang w:val="fr-FR"/>
        </w:rPr>
        <w:t>,</w:t>
      </w:r>
    </w:p>
    <w:p w:rsidR="00D0672B" w:rsidRPr="00A84E1A" w:rsidRDefault="00D0672B" w:rsidP="00F476B7">
      <w:pPr>
        <w:pStyle w:val="SingleTxtG"/>
      </w:pPr>
      <w:r>
        <w:rPr>
          <w:i/>
          <w:iCs/>
          <w:lang w:val="fr-FR"/>
        </w:rPr>
        <w:t>Feuille HIR2/1, dessin Vue B en bas à gauche,</w:t>
      </w:r>
      <w:r>
        <w:rPr>
          <w:lang w:val="fr-FR"/>
        </w:rPr>
        <w:t xml:space="preserve"> modifier comme suit</w:t>
      </w:r>
      <w:r w:rsidR="00B448D0">
        <w:rPr>
          <w:lang w:val="fr-FR"/>
        </w:rPr>
        <w:t> </w:t>
      </w:r>
      <w:r>
        <w:rPr>
          <w:lang w:val="fr-FR"/>
        </w:rPr>
        <w:t>:</w:t>
      </w:r>
    </w:p>
    <w:p w:rsidR="00D0672B" w:rsidRDefault="00D0672B" w:rsidP="00F476B7">
      <w:pPr>
        <w:pStyle w:val="SingleTxtG"/>
      </w:pPr>
      <w:r>
        <w:rPr>
          <w:lang w:val="fr-FR"/>
        </w:rPr>
        <w:t>«</w:t>
      </w:r>
      <w:r w:rsidR="00F476B7">
        <w:rPr>
          <w:lang w:val="fr-FR"/>
        </w:rPr>
        <w:t> </w:t>
      </w:r>
      <w:r>
        <w:rPr>
          <w:lang w:val="fr-FR"/>
        </w:rPr>
        <w:t xml:space="preserve">Axe </w:t>
      </w:r>
      <w:r>
        <w:rPr>
          <w:strike/>
          <w:lang w:val="fr-FR"/>
        </w:rPr>
        <w:t>de référence</w:t>
      </w:r>
      <w:r>
        <w:rPr>
          <w:lang w:val="fr-FR"/>
        </w:rPr>
        <w:t xml:space="preserve"> </w:t>
      </w:r>
      <w:r w:rsidRPr="00D678E1">
        <w:rPr>
          <w:b/>
          <w:bCs/>
          <w:lang w:val="fr-FR"/>
        </w:rPr>
        <w:t>du filament</w:t>
      </w:r>
      <w:r w:rsidR="00F476B7">
        <w:rPr>
          <w:bCs/>
          <w:lang w:val="fr-FR"/>
        </w:rPr>
        <w:t> </w:t>
      </w:r>
      <w:r>
        <w:rPr>
          <w:lang w:val="fr-FR"/>
        </w:rPr>
        <w:t>».</w:t>
      </w:r>
    </w:p>
    <w:p w:rsidR="00D0672B" w:rsidRPr="00A84E1A" w:rsidRDefault="00D0672B" w:rsidP="00CA6519">
      <w:pPr>
        <w:pStyle w:val="HChG"/>
      </w:pPr>
      <w:r w:rsidRPr="00A84E1A">
        <w:br w:type="page"/>
      </w:r>
      <w:r>
        <w:rPr>
          <w:lang w:val="fr-FR"/>
        </w:rPr>
        <w:lastRenderedPageBreak/>
        <w:t>Annexe IV</w:t>
      </w:r>
    </w:p>
    <w:p w:rsidR="00D0672B" w:rsidRPr="00656DB8" w:rsidRDefault="00D0672B" w:rsidP="00CA6519">
      <w:pPr>
        <w:pStyle w:val="HChG"/>
      </w:pPr>
      <w:r>
        <w:rPr>
          <w:lang w:val="fr-FR"/>
        </w:rPr>
        <w:tab/>
      </w:r>
      <w:r>
        <w:rPr>
          <w:lang w:val="fr-FR"/>
        </w:rPr>
        <w:tab/>
      </w:r>
      <w:r w:rsidRPr="00656DB8">
        <w:rPr>
          <w:lang w:val="fr-FR"/>
        </w:rPr>
        <w:t>Groupes informels du GRE</w:t>
      </w:r>
    </w:p>
    <w:tbl>
      <w:tblPr>
        <w:tblW w:w="8504" w:type="dxa"/>
        <w:tblInd w:w="1134" w:type="dxa"/>
        <w:tblLayout w:type="fixed"/>
        <w:tblCellMar>
          <w:left w:w="0" w:type="dxa"/>
          <w:right w:w="0" w:type="dxa"/>
        </w:tblCellMar>
        <w:tblLook w:val="01E0" w:firstRow="1" w:lastRow="1" w:firstColumn="1" w:lastColumn="1" w:noHBand="0" w:noVBand="0"/>
      </w:tblPr>
      <w:tblGrid>
        <w:gridCol w:w="1984"/>
        <w:gridCol w:w="3402"/>
        <w:gridCol w:w="3118"/>
      </w:tblGrid>
      <w:tr w:rsidR="00D0672B" w:rsidRPr="00CA6519" w:rsidTr="00CA6519">
        <w:trPr>
          <w:tblHeader/>
        </w:trPr>
        <w:tc>
          <w:tcPr>
            <w:tcW w:w="1985" w:type="dxa"/>
            <w:tcBorders>
              <w:top w:val="single" w:sz="4" w:space="0" w:color="auto"/>
              <w:bottom w:val="single" w:sz="12" w:space="0" w:color="auto"/>
            </w:tcBorders>
            <w:shd w:val="clear" w:color="auto" w:fill="auto"/>
            <w:tcMar>
              <w:left w:w="113" w:type="dxa"/>
            </w:tcMar>
            <w:vAlign w:val="bottom"/>
          </w:tcPr>
          <w:p w:rsidR="00D0672B" w:rsidRPr="00CA6519" w:rsidRDefault="00D0672B" w:rsidP="00CA6519">
            <w:pPr>
              <w:spacing w:before="80" w:after="80" w:line="200" w:lineRule="exact"/>
              <w:ind w:right="113"/>
              <w:rPr>
                <w:i/>
                <w:sz w:val="16"/>
                <w:szCs w:val="16"/>
              </w:rPr>
            </w:pPr>
            <w:r w:rsidRPr="00CA6519">
              <w:rPr>
                <w:i/>
                <w:sz w:val="16"/>
                <w:lang w:val="fr-FR"/>
              </w:rPr>
              <w:t>Groupe informel</w:t>
            </w:r>
          </w:p>
        </w:tc>
        <w:tc>
          <w:tcPr>
            <w:tcW w:w="3402" w:type="dxa"/>
            <w:tcBorders>
              <w:top w:val="single" w:sz="4" w:space="0" w:color="auto"/>
              <w:bottom w:val="single" w:sz="12" w:space="0" w:color="auto"/>
            </w:tcBorders>
            <w:shd w:val="clear" w:color="auto" w:fill="auto"/>
            <w:tcMar>
              <w:left w:w="113" w:type="dxa"/>
            </w:tcMar>
            <w:vAlign w:val="bottom"/>
          </w:tcPr>
          <w:p w:rsidR="00D0672B" w:rsidRPr="00CA6519" w:rsidRDefault="00D0672B" w:rsidP="00CA6519">
            <w:pPr>
              <w:spacing w:before="80" w:after="80" w:line="200" w:lineRule="exact"/>
              <w:ind w:right="113"/>
              <w:rPr>
                <w:i/>
                <w:sz w:val="16"/>
                <w:szCs w:val="16"/>
              </w:rPr>
            </w:pPr>
            <w:r w:rsidRPr="00CA6519">
              <w:rPr>
                <w:i/>
                <w:sz w:val="16"/>
                <w:lang w:val="fr-FR"/>
              </w:rPr>
              <w:t>Président(s)</w:t>
            </w:r>
          </w:p>
        </w:tc>
        <w:tc>
          <w:tcPr>
            <w:tcW w:w="3118" w:type="dxa"/>
            <w:tcBorders>
              <w:top w:val="single" w:sz="4" w:space="0" w:color="auto"/>
              <w:bottom w:val="single" w:sz="12" w:space="0" w:color="auto"/>
            </w:tcBorders>
            <w:shd w:val="clear" w:color="auto" w:fill="auto"/>
            <w:tcMar>
              <w:left w:w="113" w:type="dxa"/>
            </w:tcMar>
            <w:vAlign w:val="bottom"/>
          </w:tcPr>
          <w:p w:rsidR="00D0672B" w:rsidRPr="00CA6519" w:rsidRDefault="00D0672B" w:rsidP="00CA6519">
            <w:pPr>
              <w:spacing w:before="80" w:after="80" w:line="200" w:lineRule="exact"/>
              <w:ind w:right="113"/>
              <w:rPr>
                <w:i/>
                <w:sz w:val="16"/>
                <w:szCs w:val="16"/>
              </w:rPr>
            </w:pPr>
            <w:r w:rsidRPr="00CA6519">
              <w:rPr>
                <w:i/>
                <w:sz w:val="16"/>
                <w:lang w:val="fr-FR"/>
              </w:rPr>
              <w:t>Secrétaire</w:t>
            </w:r>
          </w:p>
        </w:tc>
      </w:tr>
      <w:tr w:rsidR="00CA6519" w:rsidRPr="00CA6519" w:rsidTr="00CA6519">
        <w:trPr>
          <w:trHeight w:hRule="exact" w:val="113"/>
        </w:trPr>
        <w:tc>
          <w:tcPr>
            <w:tcW w:w="1985" w:type="dxa"/>
            <w:tcBorders>
              <w:top w:val="single" w:sz="12" w:space="0" w:color="auto"/>
            </w:tcBorders>
            <w:shd w:val="clear" w:color="auto" w:fill="auto"/>
            <w:tcMar>
              <w:left w:w="113" w:type="dxa"/>
            </w:tcMar>
          </w:tcPr>
          <w:p w:rsidR="00CA6519" w:rsidRPr="00CA6519" w:rsidRDefault="00CA6519" w:rsidP="00CA6519">
            <w:pPr>
              <w:spacing w:before="40" w:after="120"/>
              <w:ind w:right="113"/>
              <w:rPr>
                <w:lang w:val="fr-FR"/>
              </w:rPr>
            </w:pPr>
          </w:p>
        </w:tc>
        <w:tc>
          <w:tcPr>
            <w:tcW w:w="3402" w:type="dxa"/>
            <w:tcBorders>
              <w:top w:val="single" w:sz="12" w:space="0" w:color="auto"/>
            </w:tcBorders>
            <w:shd w:val="clear" w:color="auto" w:fill="auto"/>
            <w:tcMar>
              <w:left w:w="113" w:type="dxa"/>
            </w:tcMar>
          </w:tcPr>
          <w:p w:rsidR="00CA6519" w:rsidRPr="00CA6519" w:rsidRDefault="00CA6519" w:rsidP="00CA6519">
            <w:pPr>
              <w:spacing w:before="40" w:after="120"/>
              <w:ind w:right="113"/>
              <w:rPr>
                <w:lang w:val="fr-FR"/>
              </w:rPr>
            </w:pPr>
          </w:p>
        </w:tc>
        <w:tc>
          <w:tcPr>
            <w:tcW w:w="3118" w:type="dxa"/>
            <w:tcBorders>
              <w:top w:val="single" w:sz="12" w:space="0" w:color="auto"/>
            </w:tcBorders>
            <w:shd w:val="clear" w:color="auto" w:fill="auto"/>
            <w:tcMar>
              <w:left w:w="113" w:type="dxa"/>
            </w:tcMar>
          </w:tcPr>
          <w:p w:rsidR="00CA6519" w:rsidRPr="00CA6519" w:rsidRDefault="00CA6519" w:rsidP="00CA6519">
            <w:pPr>
              <w:spacing w:before="40" w:after="120"/>
              <w:ind w:right="113"/>
              <w:rPr>
                <w:lang w:val="fr-FR"/>
              </w:rPr>
            </w:pPr>
          </w:p>
        </w:tc>
      </w:tr>
      <w:tr w:rsidR="00D0672B" w:rsidRPr="00CA6519" w:rsidTr="00CA6519">
        <w:tc>
          <w:tcPr>
            <w:tcW w:w="1985" w:type="dxa"/>
            <w:shd w:val="clear" w:color="auto" w:fill="auto"/>
            <w:tcMar>
              <w:left w:w="113" w:type="dxa"/>
            </w:tcMar>
          </w:tcPr>
          <w:p w:rsidR="00D0672B" w:rsidRPr="00CA6519" w:rsidRDefault="00D0672B" w:rsidP="00CA6519">
            <w:pPr>
              <w:spacing w:before="40" w:after="120"/>
              <w:ind w:right="113"/>
            </w:pPr>
            <w:r w:rsidRPr="00CA6519">
              <w:rPr>
                <w:lang w:val="fr-FR"/>
              </w:rPr>
              <w:t xml:space="preserve">Simplification </w:t>
            </w:r>
            <w:r w:rsidR="00271F61">
              <w:rPr>
                <w:lang w:val="fr-FR"/>
              </w:rPr>
              <w:br/>
            </w:r>
            <w:r w:rsidRPr="00CA6519">
              <w:rPr>
                <w:lang w:val="fr-FR"/>
              </w:rPr>
              <w:t>des Règlements relatifs à l’éclairage et à la signalisation lumineuse (SLR)</w:t>
            </w:r>
          </w:p>
        </w:tc>
        <w:tc>
          <w:tcPr>
            <w:tcW w:w="3402" w:type="dxa"/>
            <w:shd w:val="clear" w:color="auto" w:fill="auto"/>
            <w:tcMar>
              <w:top w:w="113" w:type="dxa"/>
              <w:left w:w="113" w:type="dxa"/>
              <w:bottom w:w="113" w:type="dxa"/>
            </w:tcMar>
          </w:tcPr>
          <w:p w:rsidR="00D0672B" w:rsidRPr="00CA6519" w:rsidRDefault="00D0672B" w:rsidP="00CA6519">
            <w:pPr>
              <w:spacing w:before="40" w:after="120"/>
              <w:ind w:right="113"/>
            </w:pPr>
            <w:r w:rsidRPr="00CA6519">
              <w:rPr>
                <w:lang w:val="fr-FR"/>
              </w:rPr>
              <w:t>M. Michel Loccufier (Belgique)</w:t>
            </w:r>
          </w:p>
          <w:p w:rsidR="00D0672B" w:rsidRPr="00CA6519" w:rsidRDefault="00D0672B" w:rsidP="00CA6519">
            <w:pPr>
              <w:spacing w:before="40" w:after="120"/>
              <w:ind w:right="113"/>
            </w:pPr>
            <w:r w:rsidRPr="00CA6519">
              <w:rPr>
                <w:lang w:val="fr-FR"/>
              </w:rPr>
              <w:t>Tél.</w:t>
            </w:r>
            <w:r w:rsidR="00271F61">
              <w:rPr>
                <w:lang w:val="fr-FR"/>
              </w:rPr>
              <w:t> </w:t>
            </w:r>
            <w:r w:rsidRPr="00CA6519">
              <w:rPr>
                <w:lang w:val="fr-FR"/>
              </w:rPr>
              <w:t>: +32 474 989 023</w:t>
            </w:r>
          </w:p>
          <w:p w:rsidR="00D0672B" w:rsidRPr="00CA6519" w:rsidRDefault="00D0672B" w:rsidP="00CA6519">
            <w:pPr>
              <w:spacing w:before="40" w:after="120"/>
              <w:ind w:right="113"/>
            </w:pPr>
            <w:r w:rsidRPr="00CA6519">
              <w:rPr>
                <w:lang w:val="fr-FR"/>
              </w:rPr>
              <w:t>Courriel</w:t>
            </w:r>
            <w:r w:rsidR="00271F61">
              <w:rPr>
                <w:lang w:val="fr-FR"/>
              </w:rPr>
              <w:t> </w:t>
            </w:r>
            <w:r w:rsidRPr="00CA6519">
              <w:rPr>
                <w:lang w:val="fr-FR"/>
              </w:rPr>
              <w:t>: michel.loccufier@mobilit.fgov.be</w:t>
            </w:r>
          </w:p>
        </w:tc>
        <w:tc>
          <w:tcPr>
            <w:tcW w:w="3118" w:type="dxa"/>
            <w:shd w:val="clear" w:color="auto" w:fill="auto"/>
            <w:tcMar>
              <w:top w:w="0" w:type="dxa"/>
              <w:left w:w="113" w:type="dxa"/>
              <w:bottom w:w="0" w:type="dxa"/>
            </w:tcMar>
          </w:tcPr>
          <w:p w:rsidR="00D0672B" w:rsidRPr="00CA6519" w:rsidRDefault="00D0672B" w:rsidP="00CA6519">
            <w:pPr>
              <w:spacing w:before="40" w:after="120"/>
              <w:ind w:right="113"/>
            </w:pPr>
            <w:r w:rsidRPr="00CA6519">
              <w:rPr>
                <w:lang w:val="fr-FR"/>
              </w:rPr>
              <w:t>M. Davide Puglisi (GTB)</w:t>
            </w:r>
          </w:p>
          <w:p w:rsidR="00D0672B" w:rsidRPr="00CA6519" w:rsidRDefault="00271F61" w:rsidP="00CA6519">
            <w:pPr>
              <w:spacing w:before="40" w:after="120"/>
              <w:ind w:right="113"/>
            </w:pPr>
            <w:r>
              <w:rPr>
                <w:lang w:val="fr-FR"/>
              </w:rPr>
              <w:t>Tél. </w:t>
            </w:r>
            <w:r w:rsidR="00D0672B" w:rsidRPr="00CA6519">
              <w:rPr>
                <w:lang w:val="fr-FR"/>
              </w:rPr>
              <w:t>: +39 011 562 11 49</w:t>
            </w:r>
          </w:p>
          <w:p w:rsidR="00D0672B" w:rsidRPr="00CA6519" w:rsidRDefault="00D0672B" w:rsidP="00CA6519">
            <w:pPr>
              <w:spacing w:before="40" w:after="120"/>
              <w:ind w:right="113"/>
            </w:pPr>
            <w:r w:rsidRPr="00CA6519">
              <w:rPr>
                <w:lang w:val="fr-FR"/>
              </w:rPr>
              <w:t>Télécopie</w:t>
            </w:r>
            <w:r w:rsidR="00271F61">
              <w:rPr>
                <w:lang w:val="fr-FR"/>
              </w:rPr>
              <w:t> </w:t>
            </w:r>
            <w:r w:rsidRPr="00CA6519">
              <w:rPr>
                <w:lang w:val="fr-FR"/>
              </w:rPr>
              <w:t>: +39 011 53 21 43</w:t>
            </w:r>
          </w:p>
          <w:p w:rsidR="00D0672B" w:rsidRPr="00CA6519" w:rsidRDefault="00D0672B" w:rsidP="00CA6519">
            <w:pPr>
              <w:spacing w:before="40" w:after="120"/>
              <w:ind w:right="113"/>
            </w:pPr>
            <w:r w:rsidRPr="00CA6519">
              <w:rPr>
                <w:lang w:val="fr-FR"/>
              </w:rPr>
              <w:t>Courriel</w:t>
            </w:r>
            <w:r w:rsidR="00271F61">
              <w:rPr>
                <w:lang w:val="fr-FR"/>
              </w:rPr>
              <w:t> </w:t>
            </w:r>
            <w:r w:rsidRPr="00CA6519">
              <w:rPr>
                <w:lang w:val="fr-FR"/>
              </w:rPr>
              <w:t xml:space="preserve">: </w:t>
            </w:r>
            <w:r w:rsidR="00271F61">
              <w:rPr>
                <w:lang w:val="fr-FR"/>
              </w:rPr>
              <w:br/>
            </w:r>
            <w:r w:rsidRPr="00CA6519">
              <w:rPr>
                <w:lang w:val="fr-FR"/>
              </w:rPr>
              <w:t>secretary@gtb-lighting.org</w:t>
            </w:r>
          </w:p>
        </w:tc>
      </w:tr>
      <w:tr w:rsidR="00D0672B" w:rsidRPr="00CA6519" w:rsidTr="00CA6519">
        <w:tc>
          <w:tcPr>
            <w:tcW w:w="1985" w:type="dxa"/>
            <w:tcBorders>
              <w:bottom w:val="single" w:sz="12" w:space="0" w:color="auto"/>
            </w:tcBorders>
            <w:shd w:val="clear" w:color="auto" w:fill="auto"/>
            <w:tcMar>
              <w:left w:w="113" w:type="dxa"/>
            </w:tcMar>
          </w:tcPr>
          <w:p w:rsidR="00D0672B" w:rsidRPr="00CA6519" w:rsidRDefault="00D0672B" w:rsidP="00CA6519">
            <w:pPr>
              <w:spacing w:before="40" w:after="120"/>
              <w:ind w:right="113"/>
            </w:pPr>
            <w:r w:rsidRPr="00CA6519">
              <w:rPr>
                <w:lang w:val="fr-FR"/>
              </w:rPr>
              <w:t xml:space="preserve">Visibilité, éblouissement </w:t>
            </w:r>
            <w:r w:rsidR="00271F61">
              <w:rPr>
                <w:lang w:val="fr-FR"/>
              </w:rPr>
              <w:br/>
            </w:r>
            <w:r w:rsidRPr="00CA6519">
              <w:rPr>
                <w:lang w:val="fr-FR"/>
              </w:rPr>
              <w:t>et réglage (VGL)</w:t>
            </w:r>
          </w:p>
        </w:tc>
        <w:tc>
          <w:tcPr>
            <w:tcW w:w="3402" w:type="dxa"/>
            <w:tcBorders>
              <w:bottom w:val="single" w:sz="12" w:space="0" w:color="auto"/>
            </w:tcBorders>
            <w:shd w:val="clear" w:color="auto" w:fill="auto"/>
            <w:tcMar>
              <w:top w:w="113" w:type="dxa"/>
              <w:left w:w="113" w:type="dxa"/>
              <w:bottom w:w="113" w:type="dxa"/>
            </w:tcMar>
          </w:tcPr>
          <w:p w:rsidR="00D0672B" w:rsidRPr="00CA6519" w:rsidRDefault="00D0672B" w:rsidP="00CA6519">
            <w:pPr>
              <w:spacing w:before="40" w:after="120"/>
              <w:ind w:right="113"/>
            </w:pPr>
            <w:r w:rsidRPr="00CA6519">
              <w:rPr>
                <w:lang w:val="fr-FR"/>
              </w:rPr>
              <w:t>M. Tomasz Targosinski (Pologne)</w:t>
            </w:r>
          </w:p>
          <w:p w:rsidR="00D0672B" w:rsidRPr="00CA6519" w:rsidRDefault="00D0672B" w:rsidP="00CA6519">
            <w:pPr>
              <w:spacing w:before="40" w:after="120"/>
              <w:ind w:right="113"/>
            </w:pPr>
            <w:r w:rsidRPr="00CA6519">
              <w:rPr>
                <w:lang w:val="fr-FR"/>
              </w:rPr>
              <w:t>Tél.</w:t>
            </w:r>
            <w:r w:rsidR="00271F61">
              <w:rPr>
                <w:lang w:val="fr-FR"/>
              </w:rPr>
              <w:t> </w:t>
            </w:r>
            <w:r w:rsidRPr="00CA6519">
              <w:rPr>
                <w:lang w:val="fr-FR"/>
              </w:rPr>
              <w:t>: +48 22 43 85 157</w:t>
            </w:r>
          </w:p>
          <w:p w:rsidR="00D0672B" w:rsidRPr="00CA6519" w:rsidRDefault="00D0672B" w:rsidP="00CA6519">
            <w:pPr>
              <w:spacing w:before="40" w:after="120"/>
              <w:ind w:right="113"/>
            </w:pPr>
            <w:r w:rsidRPr="00CA6519">
              <w:rPr>
                <w:lang w:val="fr-FR"/>
              </w:rPr>
              <w:t>Télécopie</w:t>
            </w:r>
            <w:r w:rsidR="00271F61">
              <w:rPr>
                <w:lang w:val="fr-FR"/>
              </w:rPr>
              <w:t> </w:t>
            </w:r>
            <w:r w:rsidRPr="00CA6519">
              <w:rPr>
                <w:lang w:val="fr-FR"/>
              </w:rPr>
              <w:t>: + 48 22 43 85 401</w:t>
            </w:r>
          </w:p>
          <w:p w:rsidR="00D0672B" w:rsidRPr="00CA6519" w:rsidRDefault="00D0672B" w:rsidP="00CA6519">
            <w:pPr>
              <w:spacing w:before="40" w:after="120"/>
              <w:ind w:right="113"/>
            </w:pPr>
            <w:r w:rsidRPr="00CA6519">
              <w:rPr>
                <w:lang w:val="fr-FR"/>
              </w:rPr>
              <w:t>Courriel</w:t>
            </w:r>
            <w:r w:rsidR="00271F61">
              <w:rPr>
                <w:lang w:val="fr-FR"/>
              </w:rPr>
              <w:t> </w:t>
            </w:r>
            <w:r w:rsidRPr="00CA6519">
              <w:rPr>
                <w:lang w:val="fr-FR"/>
              </w:rPr>
              <w:t>: tomasz.targosinski@its.waw.pl</w:t>
            </w:r>
          </w:p>
        </w:tc>
        <w:tc>
          <w:tcPr>
            <w:tcW w:w="3118" w:type="dxa"/>
            <w:tcBorders>
              <w:bottom w:val="single" w:sz="12" w:space="0" w:color="auto"/>
            </w:tcBorders>
            <w:shd w:val="clear" w:color="auto" w:fill="auto"/>
            <w:tcMar>
              <w:top w:w="0" w:type="dxa"/>
              <w:left w:w="113" w:type="dxa"/>
              <w:bottom w:w="0" w:type="dxa"/>
            </w:tcMar>
          </w:tcPr>
          <w:p w:rsidR="00D0672B" w:rsidRPr="00CA6519" w:rsidRDefault="00D0672B" w:rsidP="00CA6519">
            <w:pPr>
              <w:spacing w:before="40" w:after="120"/>
              <w:ind w:right="113"/>
            </w:pPr>
            <w:r w:rsidRPr="00CA6519">
              <w:rPr>
                <w:lang w:val="fr-FR"/>
              </w:rPr>
              <w:t>M</w:t>
            </w:r>
            <w:r w:rsidRPr="00271F61">
              <w:rPr>
                <w:vertAlign w:val="superscript"/>
                <w:lang w:val="fr-FR"/>
              </w:rPr>
              <w:t>me</w:t>
            </w:r>
            <w:r w:rsidR="00271F61">
              <w:rPr>
                <w:lang w:val="fr-FR"/>
              </w:rPr>
              <w:t> </w:t>
            </w:r>
            <w:r w:rsidRPr="00CA6519">
              <w:rPr>
                <w:lang w:val="fr-FR"/>
              </w:rPr>
              <w:t>Françoise Silvani (OICA) Télécopie</w:t>
            </w:r>
            <w:r w:rsidR="00271F61">
              <w:rPr>
                <w:lang w:val="fr-FR"/>
              </w:rPr>
              <w:t> </w:t>
            </w:r>
            <w:r w:rsidRPr="00CA6519">
              <w:rPr>
                <w:lang w:val="fr-FR"/>
              </w:rPr>
              <w:t>: + 33 1 76 86 92 89</w:t>
            </w:r>
          </w:p>
          <w:p w:rsidR="00D0672B" w:rsidRPr="00CA6519" w:rsidRDefault="00D0672B" w:rsidP="00CA6519">
            <w:pPr>
              <w:spacing w:before="40" w:after="120"/>
              <w:ind w:right="113"/>
            </w:pPr>
            <w:r w:rsidRPr="00CA6519">
              <w:rPr>
                <w:lang w:val="fr-FR"/>
              </w:rPr>
              <w:t>Courriel</w:t>
            </w:r>
            <w:r w:rsidR="00271F61">
              <w:rPr>
                <w:lang w:val="fr-FR"/>
              </w:rPr>
              <w:t> </w:t>
            </w:r>
            <w:r w:rsidRPr="00CA6519">
              <w:rPr>
                <w:lang w:val="fr-FR"/>
              </w:rPr>
              <w:t>: francoise.silvani@renault.com</w:t>
            </w:r>
          </w:p>
        </w:tc>
      </w:tr>
    </w:tbl>
    <w:p w:rsidR="00D0672B" w:rsidRPr="00CA6519" w:rsidRDefault="00CA6519" w:rsidP="00CA6519">
      <w:pPr>
        <w:pStyle w:val="SingleTxtG"/>
        <w:spacing w:before="240" w:after="0"/>
        <w:jc w:val="center"/>
        <w:rPr>
          <w:u w:val="single"/>
        </w:rPr>
      </w:pPr>
      <w:r>
        <w:rPr>
          <w:u w:val="single"/>
        </w:rPr>
        <w:tab/>
      </w:r>
      <w:r>
        <w:rPr>
          <w:u w:val="single"/>
        </w:rPr>
        <w:tab/>
      </w:r>
      <w:r>
        <w:rPr>
          <w:u w:val="single"/>
        </w:rPr>
        <w:tab/>
      </w:r>
    </w:p>
    <w:sectPr w:rsidR="00D0672B" w:rsidRPr="00CA6519" w:rsidSect="00A1210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C0C" w:rsidRDefault="00225C0C" w:rsidP="00F95C08">
      <w:pPr>
        <w:spacing w:line="240" w:lineRule="auto"/>
      </w:pPr>
    </w:p>
  </w:endnote>
  <w:endnote w:type="continuationSeparator" w:id="0">
    <w:p w:rsidR="00225C0C" w:rsidRPr="00AC3823" w:rsidRDefault="00225C0C" w:rsidP="00AC3823">
      <w:pPr>
        <w:pStyle w:val="Footer"/>
      </w:pPr>
    </w:p>
  </w:endnote>
  <w:endnote w:type="continuationNotice" w:id="1">
    <w:p w:rsidR="00225C0C" w:rsidRDefault="00225C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0C" w:rsidRPr="009B5220" w:rsidRDefault="00225C0C" w:rsidP="009B5220">
    <w:pPr>
      <w:pStyle w:val="Footer"/>
      <w:tabs>
        <w:tab w:val="right" w:pos="9638"/>
      </w:tabs>
    </w:pPr>
    <w:r w:rsidRPr="009B5220">
      <w:rPr>
        <w:b/>
        <w:sz w:val="18"/>
      </w:rPr>
      <w:fldChar w:fldCharType="begin"/>
    </w:r>
    <w:r w:rsidRPr="009B5220">
      <w:rPr>
        <w:b/>
        <w:sz w:val="18"/>
      </w:rPr>
      <w:instrText xml:space="preserve"> PAGE  \* MERGEFORMAT </w:instrText>
    </w:r>
    <w:r w:rsidRPr="009B5220">
      <w:rPr>
        <w:b/>
        <w:sz w:val="18"/>
      </w:rPr>
      <w:fldChar w:fldCharType="separate"/>
    </w:r>
    <w:r w:rsidR="00024B78">
      <w:rPr>
        <w:b/>
        <w:noProof/>
        <w:sz w:val="18"/>
      </w:rPr>
      <w:t>2</w:t>
    </w:r>
    <w:r w:rsidRPr="009B5220">
      <w:rPr>
        <w:b/>
        <w:sz w:val="18"/>
      </w:rPr>
      <w:fldChar w:fldCharType="end"/>
    </w:r>
    <w:r>
      <w:rPr>
        <w:b/>
        <w:sz w:val="18"/>
      </w:rPr>
      <w:tab/>
    </w:r>
    <w:r>
      <w:t>GE.17-20571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0C" w:rsidRPr="009B5220" w:rsidRDefault="00225C0C" w:rsidP="009B5220">
    <w:pPr>
      <w:pStyle w:val="Footer"/>
      <w:tabs>
        <w:tab w:val="right" w:pos="9638"/>
      </w:tabs>
      <w:rPr>
        <w:b/>
        <w:sz w:val="18"/>
      </w:rPr>
    </w:pPr>
    <w:r>
      <w:t>GE.17-20571</w:t>
    </w:r>
    <w:r>
      <w:tab/>
    </w:r>
    <w:r w:rsidRPr="009B5220">
      <w:rPr>
        <w:b/>
        <w:sz w:val="18"/>
      </w:rPr>
      <w:fldChar w:fldCharType="begin"/>
    </w:r>
    <w:r w:rsidRPr="009B5220">
      <w:rPr>
        <w:b/>
        <w:sz w:val="18"/>
      </w:rPr>
      <w:instrText xml:space="preserve"> PAGE  \* MERGEFORMAT </w:instrText>
    </w:r>
    <w:r w:rsidRPr="009B5220">
      <w:rPr>
        <w:b/>
        <w:sz w:val="18"/>
      </w:rPr>
      <w:fldChar w:fldCharType="separate"/>
    </w:r>
    <w:r w:rsidR="00024B78">
      <w:rPr>
        <w:b/>
        <w:noProof/>
        <w:sz w:val="18"/>
      </w:rPr>
      <w:t>15</w:t>
    </w:r>
    <w:r w:rsidRPr="009B52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0C" w:rsidRPr="009B5220" w:rsidRDefault="00225C0C" w:rsidP="009B5220">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17-20571  (F)    220118    240118</w:t>
    </w:r>
    <w:r>
      <w:rPr>
        <w:sz w:val="20"/>
      </w:rPr>
      <w:br/>
    </w:r>
    <w:r w:rsidRPr="009B5220">
      <w:rPr>
        <w:rFonts w:ascii="C39T30Lfz" w:hAnsi="C39T30Lfz"/>
        <w:sz w:val="56"/>
      </w:rPr>
      <w:t></w:t>
    </w:r>
    <w:r w:rsidRPr="009B5220">
      <w:rPr>
        <w:rFonts w:ascii="C39T30Lfz" w:hAnsi="C39T30Lfz"/>
        <w:sz w:val="56"/>
      </w:rPr>
      <w:t></w:t>
    </w:r>
    <w:r w:rsidRPr="009B5220">
      <w:rPr>
        <w:rFonts w:ascii="C39T30Lfz" w:hAnsi="C39T30Lfz"/>
        <w:sz w:val="56"/>
      </w:rPr>
      <w:t></w:t>
    </w:r>
    <w:r w:rsidRPr="009B5220">
      <w:rPr>
        <w:rFonts w:ascii="C39T30Lfz" w:hAnsi="C39T30Lfz"/>
        <w:sz w:val="56"/>
      </w:rPr>
      <w:t></w:t>
    </w:r>
    <w:r w:rsidRPr="009B5220">
      <w:rPr>
        <w:rFonts w:ascii="C39T30Lfz" w:hAnsi="C39T30Lfz"/>
        <w:sz w:val="56"/>
      </w:rPr>
      <w:t></w:t>
    </w:r>
    <w:r w:rsidRPr="009B5220">
      <w:rPr>
        <w:rFonts w:ascii="C39T30Lfz" w:hAnsi="C39T30Lfz"/>
        <w:sz w:val="56"/>
      </w:rPr>
      <w:t></w:t>
    </w:r>
    <w:r w:rsidRPr="009B5220">
      <w:rPr>
        <w:rFonts w:ascii="C39T30Lfz" w:hAnsi="C39T30Lfz"/>
        <w:sz w:val="56"/>
      </w:rPr>
      <w:t></w:t>
    </w:r>
    <w:r w:rsidRPr="009B5220">
      <w:rPr>
        <w:rFonts w:ascii="C39T30Lfz" w:hAnsi="C39T30Lfz"/>
        <w:sz w:val="56"/>
      </w:rPr>
      <w:t></w:t>
    </w:r>
    <w:r w:rsidRPr="009B522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C0C" w:rsidRPr="00AC3823" w:rsidRDefault="00225C0C" w:rsidP="00AC3823">
      <w:pPr>
        <w:pStyle w:val="Footer"/>
        <w:tabs>
          <w:tab w:val="right" w:pos="2155"/>
        </w:tabs>
        <w:spacing w:after="80" w:line="240" w:lineRule="atLeast"/>
        <w:ind w:left="680"/>
        <w:rPr>
          <w:u w:val="single"/>
        </w:rPr>
      </w:pPr>
      <w:r>
        <w:rPr>
          <w:u w:val="single"/>
        </w:rPr>
        <w:tab/>
      </w:r>
    </w:p>
  </w:footnote>
  <w:footnote w:type="continuationSeparator" w:id="0">
    <w:p w:rsidR="00225C0C" w:rsidRPr="00AC3823" w:rsidRDefault="00225C0C" w:rsidP="00AC3823">
      <w:pPr>
        <w:pStyle w:val="Footer"/>
        <w:tabs>
          <w:tab w:val="right" w:pos="2155"/>
        </w:tabs>
        <w:spacing w:after="80" w:line="240" w:lineRule="atLeast"/>
        <w:ind w:left="680"/>
        <w:rPr>
          <w:u w:val="single"/>
        </w:rPr>
      </w:pPr>
      <w:r>
        <w:rPr>
          <w:u w:val="single"/>
        </w:rPr>
        <w:tab/>
      </w:r>
    </w:p>
  </w:footnote>
  <w:footnote w:type="continuationNotice" w:id="1">
    <w:p w:rsidR="00225C0C" w:rsidRPr="00AC3823" w:rsidRDefault="00225C0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0C" w:rsidRPr="009B5220" w:rsidRDefault="00024B78">
    <w:pPr>
      <w:pStyle w:val="Header"/>
    </w:pPr>
    <w:r>
      <w:fldChar w:fldCharType="begin"/>
    </w:r>
    <w:r>
      <w:instrText xml:space="preserve"> TITLE  \* MERGEFORMAT </w:instrText>
    </w:r>
    <w:r>
      <w:fldChar w:fldCharType="separate"/>
    </w:r>
    <w:r w:rsidR="004933BC">
      <w:t>ECE/TRANS/WP.29/GRE/78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0C" w:rsidRPr="009B5220" w:rsidRDefault="00024B78" w:rsidP="009B5220">
    <w:pPr>
      <w:pStyle w:val="Header"/>
      <w:jc w:val="right"/>
    </w:pPr>
    <w:r>
      <w:fldChar w:fldCharType="begin"/>
    </w:r>
    <w:r>
      <w:instrText xml:space="preserve"> TITLE  \* MERGEFORMAT </w:instrText>
    </w:r>
    <w:r>
      <w:fldChar w:fldCharType="separate"/>
    </w:r>
    <w:r w:rsidR="004933BC">
      <w:t>ECE/TRANS/WP.29/GRE/78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08090001">
        <w:start w:val="1"/>
        <w:numFmt w:val="bullet"/>
        <w:lvlText w:val=""/>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kAnnotations="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2F"/>
    <w:rsid w:val="00017F94"/>
    <w:rsid w:val="00023842"/>
    <w:rsid w:val="00024B78"/>
    <w:rsid w:val="000334F9"/>
    <w:rsid w:val="00045FEB"/>
    <w:rsid w:val="0007796D"/>
    <w:rsid w:val="000B7790"/>
    <w:rsid w:val="000C3905"/>
    <w:rsid w:val="00111F2F"/>
    <w:rsid w:val="0014365E"/>
    <w:rsid w:val="00143C66"/>
    <w:rsid w:val="00176178"/>
    <w:rsid w:val="001847F6"/>
    <w:rsid w:val="001F525A"/>
    <w:rsid w:val="00223272"/>
    <w:rsid w:val="00225C0C"/>
    <w:rsid w:val="0024779E"/>
    <w:rsid w:val="00250E04"/>
    <w:rsid w:val="00257168"/>
    <w:rsid w:val="0026524A"/>
    <w:rsid w:val="00271F61"/>
    <w:rsid w:val="002744B8"/>
    <w:rsid w:val="002832AC"/>
    <w:rsid w:val="002C582E"/>
    <w:rsid w:val="002D7C93"/>
    <w:rsid w:val="00305801"/>
    <w:rsid w:val="0032532F"/>
    <w:rsid w:val="00337EC1"/>
    <w:rsid w:val="003916DE"/>
    <w:rsid w:val="00404823"/>
    <w:rsid w:val="00441C3B"/>
    <w:rsid w:val="00446FE5"/>
    <w:rsid w:val="00452396"/>
    <w:rsid w:val="004837D8"/>
    <w:rsid w:val="00486EC1"/>
    <w:rsid w:val="004933BC"/>
    <w:rsid w:val="004E468C"/>
    <w:rsid w:val="005505B7"/>
    <w:rsid w:val="005567F4"/>
    <w:rsid w:val="00573BE5"/>
    <w:rsid w:val="00586ED3"/>
    <w:rsid w:val="00596AA9"/>
    <w:rsid w:val="00671974"/>
    <w:rsid w:val="0071601D"/>
    <w:rsid w:val="007A62E6"/>
    <w:rsid w:val="007F20FA"/>
    <w:rsid w:val="0080684C"/>
    <w:rsid w:val="008262FD"/>
    <w:rsid w:val="00871C75"/>
    <w:rsid w:val="008776DC"/>
    <w:rsid w:val="008E05CD"/>
    <w:rsid w:val="009446C0"/>
    <w:rsid w:val="009705C8"/>
    <w:rsid w:val="009B5220"/>
    <w:rsid w:val="009C1CF4"/>
    <w:rsid w:val="009D03EC"/>
    <w:rsid w:val="009F6B74"/>
    <w:rsid w:val="00A12100"/>
    <w:rsid w:val="00A30353"/>
    <w:rsid w:val="00AA3FFD"/>
    <w:rsid w:val="00AC3823"/>
    <w:rsid w:val="00AE323C"/>
    <w:rsid w:val="00AF0CB5"/>
    <w:rsid w:val="00B00181"/>
    <w:rsid w:val="00B00B0D"/>
    <w:rsid w:val="00B448D0"/>
    <w:rsid w:val="00B765F7"/>
    <w:rsid w:val="00BA0CA9"/>
    <w:rsid w:val="00C02897"/>
    <w:rsid w:val="00C9523A"/>
    <w:rsid w:val="00C97039"/>
    <w:rsid w:val="00CA6519"/>
    <w:rsid w:val="00D0672B"/>
    <w:rsid w:val="00D3439C"/>
    <w:rsid w:val="00D678E1"/>
    <w:rsid w:val="00DB1831"/>
    <w:rsid w:val="00DD3BFD"/>
    <w:rsid w:val="00DE3B57"/>
    <w:rsid w:val="00DF6678"/>
    <w:rsid w:val="00E0299A"/>
    <w:rsid w:val="00E566EA"/>
    <w:rsid w:val="00E85C74"/>
    <w:rsid w:val="00EA6547"/>
    <w:rsid w:val="00EF2E22"/>
    <w:rsid w:val="00F35BAF"/>
    <w:rsid w:val="00F476B7"/>
    <w:rsid w:val="00F65470"/>
    <w:rsid w:val="00F660DF"/>
    <w:rsid w:val="00F7212F"/>
    <w:rsid w:val="00F94664"/>
    <w:rsid w:val="00F9573C"/>
    <w:rsid w:val="00F95C08"/>
    <w:rsid w:val="00FE2475"/>
    <w:rsid w:val="00FF28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CC8D04C-5E0F-4682-8041-B2823063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CommentReference">
    <w:name w:val="annotation reference"/>
    <w:rsid w:val="00D067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5180</Words>
  <Characters>29528</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ECE/TRANS/WP.29/GRE/78</vt:lpstr>
      <vt:lpstr>ECE/TRANS/WP.29/GRE/78</vt:lpstr>
    </vt:vector>
  </TitlesOfParts>
  <Company>DCM</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ECE/TRANS/WP.29/GRE/78</dc:title>
  <dc:subject/>
  <dc:creator>Christine  CHAUTAGNAT</dc:creator>
  <cp:keywords/>
  <cp:lastModifiedBy>Benedicte Boudol</cp:lastModifiedBy>
  <cp:revision>2</cp:revision>
  <cp:lastPrinted>2018-01-24T13:27:00Z</cp:lastPrinted>
  <dcterms:created xsi:type="dcterms:W3CDTF">2018-01-24T16:28:00Z</dcterms:created>
  <dcterms:modified xsi:type="dcterms:W3CDTF">2018-01-24T16:28:00Z</dcterms:modified>
</cp:coreProperties>
</file>