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295CCA">
        <w:trPr>
          <w:trHeight w:hRule="exact" w:val="851"/>
        </w:trPr>
        <w:tc>
          <w:tcPr>
            <w:tcW w:w="1276" w:type="dxa"/>
            <w:tcBorders>
              <w:bottom w:val="single" w:sz="4" w:space="0" w:color="auto"/>
            </w:tcBorders>
          </w:tcPr>
          <w:p w:rsidR="001433FD" w:rsidRPr="00DB58B5" w:rsidRDefault="001433FD" w:rsidP="00690CA2">
            <w:bookmarkStart w:id="0" w:name="_GoBack"/>
            <w:bookmarkEnd w:id="0"/>
          </w:p>
        </w:tc>
        <w:tc>
          <w:tcPr>
            <w:tcW w:w="2268" w:type="dxa"/>
            <w:tcBorders>
              <w:bottom w:val="single" w:sz="4" w:space="0" w:color="auto"/>
            </w:tcBorders>
            <w:vAlign w:val="bottom"/>
          </w:tcPr>
          <w:p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690CA2" w:rsidP="00690CA2">
            <w:pPr>
              <w:jc w:val="right"/>
            </w:pPr>
            <w:r w:rsidRPr="00690CA2">
              <w:rPr>
                <w:sz w:val="40"/>
              </w:rPr>
              <w:t>ECE</w:t>
            </w:r>
            <w:r>
              <w:t>/TRANS/WP.29/GRE/2017/24</w:t>
            </w:r>
          </w:p>
        </w:tc>
      </w:tr>
      <w:tr w:rsidR="001433FD" w:rsidRPr="00DB58B5" w:rsidTr="00295CCA">
        <w:trPr>
          <w:trHeight w:hRule="exact" w:val="2835"/>
        </w:trPr>
        <w:tc>
          <w:tcPr>
            <w:tcW w:w="1276" w:type="dxa"/>
            <w:tcBorders>
              <w:top w:val="single" w:sz="4" w:space="0" w:color="auto"/>
              <w:bottom w:val="single" w:sz="12" w:space="0" w:color="auto"/>
            </w:tcBorders>
          </w:tcPr>
          <w:p w:rsidR="001433FD" w:rsidRPr="00DB58B5" w:rsidRDefault="001433FD" w:rsidP="00295CCA">
            <w:pPr>
              <w:spacing w:before="120"/>
              <w:jc w:val="center"/>
            </w:pPr>
            <w:r>
              <w:rPr>
                <w:noProof/>
                <w:lang w:val="en-GB" w:eastAsia="en-GB"/>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690CA2" w:rsidP="00295CCA">
            <w:pPr>
              <w:spacing w:before="240"/>
            </w:pPr>
            <w:proofErr w:type="spellStart"/>
            <w:r>
              <w:t>Distr</w:t>
            </w:r>
            <w:proofErr w:type="spellEnd"/>
            <w:r>
              <w:t>. générale</w:t>
            </w:r>
          </w:p>
          <w:p w:rsidR="00690CA2" w:rsidRDefault="00690CA2" w:rsidP="00690CA2">
            <w:pPr>
              <w:spacing w:line="240" w:lineRule="exact"/>
            </w:pPr>
            <w:r>
              <w:t>4 août 2017</w:t>
            </w:r>
          </w:p>
          <w:p w:rsidR="00690CA2" w:rsidRDefault="00690CA2" w:rsidP="00690CA2">
            <w:pPr>
              <w:spacing w:line="240" w:lineRule="exact"/>
            </w:pPr>
            <w:r>
              <w:t>Français</w:t>
            </w:r>
          </w:p>
          <w:p w:rsidR="00690CA2" w:rsidRPr="00DB58B5" w:rsidRDefault="00690CA2" w:rsidP="00690CA2">
            <w:pPr>
              <w:spacing w:line="240" w:lineRule="exact"/>
            </w:pPr>
            <w:r>
              <w:t>Original : anglais</w:t>
            </w:r>
          </w:p>
        </w:tc>
      </w:tr>
    </w:tbl>
    <w:p w:rsidR="005316B0" w:rsidRPr="000312C0" w:rsidRDefault="005316B0" w:rsidP="005316B0">
      <w:pPr>
        <w:spacing w:before="120"/>
        <w:rPr>
          <w:b/>
          <w:sz w:val="28"/>
          <w:szCs w:val="28"/>
        </w:rPr>
      </w:pPr>
      <w:r w:rsidRPr="000312C0">
        <w:rPr>
          <w:b/>
          <w:sz w:val="28"/>
          <w:szCs w:val="28"/>
        </w:rPr>
        <w:t>Commission économique pour l’Europe</w:t>
      </w:r>
    </w:p>
    <w:p w:rsidR="00690CA2" w:rsidRPr="00690CA2" w:rsidRDefault="00690CA2" w:rsidP="00690CA2">
      <w:pPr>
        <w:spacing w:before="120" w:after="120"/>
        <w:rPr>
          <w:sz w:val="28"/>
          <w:szCs w:val="28"/>
        </w:rPr>
      </w:pPr>
      <w:r w:rsidRPr="00690CA2">
        <w:rPr>
          <w:sz w:val="28"/>
          <w:szCs w:val="28"/>
        </w:rPr>
        <w:t>Comité des transports intérieurs</w:t>
      </w:r>
    </w:p>
    <w:p w:rsidR="00690CA2" w:rsidRPr="00690CA2" w:rsidRDefault="00690CA2" w:rsidP="00690CA2">
      <w:pPr>
        <w:rPr>
          <w:b/>
          <w:sz w:val="24"/>
          <w:szCs w:val="24"/>
        </w:rPr>
      </w:pPr>
      <w:r w:rsidRPr="00690CA2">
        <w:rPr>
          <w:b/>
          <w:sz w:val="24"/>
          <w:szCs w:val="24"/>
        </w:rPr>
        <w:t>Forum mondial de l’harmonisation</w:t>
      </w:r>
      <w:r w:rsidRPr="00690CA2">
        <w:rPr>
          <w:b/>
          <w:sz w:val="24"/>
          <w:szCs w:val="24"/>
        </w:rPr>
        <w:br/>
        <w:t xml:space="preserve">des Règlements concernant les véhicules </w:t>
      </w:r>
    </w:p>
    <w:p w:rsidR="00690CA2" w:rsidRPr="00690CA2" w:rsidRDefault="00690CA2" w:rsidP="00690CA2">
      <w:pPr>
        <w:spacing w:before="120" w:after="120"/>
        <w:rPr>
          <w:b/>
        </w:rPr>
      </w:pPr>
      <w:r w:rsidRPr="00690CA2">
        <w:rPr>
          <w:b/>
        </w:rPr>
        <w:t xml:space="preserve">Groupe de travail de l’éclairage et de la signalisation lumineuse </w:t>
      </w:r>
    </w:p>
    <w:p w:rsidR="00690CA2" w:rsidRPr="00690CA2" w:rsidRDefault="00690CA2" w:rsidP="00690CA2">
      <w:pPr>
        <w:rPr>
          <w:b/>
        </w:rPr>
      </w:pPr>
      <w:r w:rsidRPr="00690CA2">
        <w:rPr>
          <w:b/>
        </w:rPr>
        <w:t>Soixante-dix-huitième session</w:t>
      </w:r>
    </w:p>
    <w:p w:rsidR="00690CA2" w:rsidRPr="00690CA2" w:rsidRDefault="00690CA2" w:rsidP="00690CA2">
      <w:pPr>
        <w:rPr>
          <w:bCs/>
        </w:rPr>
      </w:pPr>
      <w:r w:rsidRPr="00690CA2">
        <w:t>Genève</w:t>
      </w:r>
      <w:r w:rsidRPr="00690CA2">
        <w:rPr>
          <w:bCs/>
        </w:rPr>
        <w:t>, 24</w:t>
      </w:r>
      <w:r>
        <w:rPr>
          <w:bCs/>
        </w:rPr>
        <w:t>-</w:t>
      </w:r>
      <w:r w:rsidRPr="00690CA2">
        <w:rPr>
          <w:bCs/>
        </w:rPr>
        <w:t>27 octobre 2017</w:t>
      </w:r>
    </w:p>
    <w:p w:rsidR="00690CA2" w:rsidRPr="00690CA2" w:rsidRDefault="00690CA2" w:rsidP="00690CA2">
      <w:pPr>
        <w:rPr>
          <w:bCs/>
        </w:rPr>
      </w:pPr>
      <w:r w:rsidRPr="00690CA2">
        <w:rPr>
          <w:bCs/>
        </w:rPr>
        <w:t>Point 6 a) de l’ordre du jour provisoire</w:t>
      </w:r>
    </w:p>
    <w:p w:rsidR="00690CA2" w:rsidRPr="00690CA2" w:rsidRDefault="00690CA2" w:rsidP="00690CA2">
      <w:pPr>
        <w:rPr>
          <w:b/>
          <w:bCs/>
        </w:rPr>
      </w:pPr>
      <w:r w:rsidRPr="00690CA2">
        <w:rPr>
          <w:b/>
        </w:rPr>
        <w:t xml:space="preserve">Règlement </w:t>
      </w:r>
      <w:r w:rsidRPr="00690CA2">
        <w:rPr>
          <w:rFonts w:eastAsia="MS Mincho"/>
          <w:b/>
        </w:rPr>
        <w:t>n</w:t>
      </w:r>
      <w:r w:rsidRPr="00690CA2">
        <w:rPr>
          <w:rFonts w:eastAsia="MS Mincho"/>
          <w:b/>
          <w:vertAlign w:val="superscript"/>
        </w:rPr>
        <w:t>o</w:t>
      </w:r>
      <w:r>
        <w:rPr>
          <w:b/>
        </w:rPr>
        <w:t> </w:t>
      </w:r>
      <w:r w:rsidRPr="00690CA2">
        <w:rPr>
          <w:b/>
        </w:rPr>
        <w:t>48 (Installat</w:t>
      </w:r>
      <w:r>
        <w:rPr>
          <w:b/>
        </w:rPr>
        <w:t>ion des dispositifs d’éclairage</w:t>
      </w:r>
      <w:r>
        <w:rPr>
          <w:b/>
        </w:rPr>
        <w:br/>
      </w:r>
      <w:r w:rsidRPr="00690CA2">
        <w:rPr>
          <w:b/>
        </w:rPr>
        <w:t>et de signalisation lumineuse)</w:t>
      </w:r>
      <w:r w:rsidR="006F6CDC">
        <w:rPr>
          <w:b/>
          <w:bCs/>
        </w:rPr>
        <w:t xml:space="preserve"> : </w:t>
      </w:r>
      <w:r>
        <w:rPr>
          <w:b/>
        </w:rPr>
        <w:t>Propositions d’amendements</w:t>
      </w:r>
      <w:r>
        <w:rPr>
          <w:b/>
        </w:rPr>
        <w:br/>
      </w:r>
      <w:r w:rsidRPr="00690CA2">
        <w:rPr>
          <w:b/>
        </w:rPr>
        <w:t xml:space="preserve">aux séries 05 et 06 d’amendements </w:t>
      </w:r>
    </w:p>
    <w:p w:rsidR="00690CA2" w:rsidRPr="00690CA2" w:rsidRDefault="00690CA2" w:rsidP="00690CA2">
      <w:pPr>
        <w:pStyle w:val="HChG"/>
      </w:pPr>
      <w:r>
        <w:tab/>
      </w:r>
      <w:r>
        <w:tab/>
      </w:r>
      <w:r w:rsidRPr="00690CA2">
        <w:t xml:space="preserve">Proposition de complément 11 à la série 06 d’amendements au Règlement </w:t>
      </w:r>
      <w:r w:rsidR="006F6CDC">
        <w:rPr>
          <w:rFonts w:eastAsia="MS Mincho"/>
        </w:rPr>
        <w:t>n</w:t>
      </w:r>
      <w:r w:rsidR="006F6CDC">
        <w:rPr>
          <w:rFonts w:eastAsia="MS Mincho"/>
          <w:vertAlign w:val="superscript"/>
        </w:rPr>
        <w:t>o</w:t>
      </w:r>
      <w:r w:rsidR="006F6CDC">
        <w:t> </w:t>
      </w:r>
      <w:r w:rsidRPr="00690CA2">
        <w:t>48 (Installat</w:t>
      </w:r>
      <w:r>
        <w:t>ion des dispositifs d’éclairage</w:t>
      </w:r>
      <w:r>
        <w:br/>
      </w:r>
      <w:r w:rsidRPr="00690CA2">
        <w:t>et de signalisation lumineuse)</w:t>
      </w:r>
    </w:p>
    <w:p w:rsidR="00690CA2" w:rsidRPr="00690CA2" w:rsidRDefault="00690CA2" w:rsidP="00690CA2">
      <w:pPr>
        <w:pStyle w:val="H1G"/>
      </w:pPr>
      <w:r>
        <w:tab/>
      </w:r>
      <w:r>
        <w:tab/>
      </w:r>
      <w:r w:rsidRPr="00690CA2">
        <w:t>Communication de l’expert du Groupe de travail «</w:t>
      </w:r>
      <w:r>
        <w:t> Bruxelles 1952 </w:t>
      </w:r>
      <w:r w:rsidRPr="00690CA2">
        <w:t>»</w:t>
      </w:r>
      <w:r>
        <w:br/>
      </w:r>
      <w:r w:rsidRPr="00690CA2">
        <w:t>(GTB)</w:t>
      </w:r>
      <w:r w:rsidRPr="006F6CDC">
        <w:rPr>
          <w:rStyle w:val="FootnoteReference"/>
          <w:b w:val="0"/>
          <w:sz w:val="20"/>
          <w:vertAlign w:val="baseline"/>
        </w:rPr>
        <w:footnoteReference w:customMarkFollows="1" w:id="2"/>
        <w:t>*</w:t>
      </w:r>
    </w:p>
    <w:p w:rsidR="00690CA2" w:rsidRPr="00690CA2" w:rsidRDefault="00690CA2" w:rsidP="00690CA2">
      <w:pPr>
        <w:pStyle w:val="SingleTxtG"/>
        <w:ind w:firstLine="567"/>
        <w:rPr>
          <w:b/>
        </w:rPr>
      </w:pPr>
      <w:r w:rsidRPr="00690CA2">
        <w:t>Le texte ci-après a été établi par l’expert du GTB afin d’harmoniser les prescriptions relatives à la commutation des feux de position latéraux et des feux de position mutuellement incorporés. Les modifications qu’il est proposé d’apporter au texte actuel du Règlement figurent en caractères gras pour les ajouts et biffés pour les suppressions.</w:t>
      </w:r>
    </w:p>
    <w:p w:rsidR="00690CA2" w:rsidRPr="00690CA2" w:rsidRDefault="00690CA2" w:rsidP="00690CA2">
      <w:pPr>
        <w:pStyle w:val="HChG"/>
      </w:pPr>
      <w:r w:rsidRPr="00690CA2">
        <w:br w:type="page"/>
      </w:r>
      <w:r>
        <w:lastRenderedPageBreak/>
        <w:tab/>
      </w:r>
      <w:r w:rsidRPr="00690CA2">
        <w:t>I.</w:t>
      </w:r>
      <w:r w:rsidRPr="00690CA2">
        <w:tab/>
        <w:t>Proposition</w:t>
      </w:r>
    </w:p>
    <w:p w:rsidR="00690CA2" w:rsidRPr="00690CA2" w:rsidRDefault="00690CA2" w:rsidP="00690CA2">
      <w:pPr>
        <w:pStyle w:val="SingleTxtG"/>
      </w:pPr>
      <w:r w:rsidRPr="00690CA2">
        <w:rPr>
          <w:i/>
        </w:rPr>
        <w:t xml:space="preserve">Paragraphe 6.18.9, </w:t>
      </w:r>
      <w:proofErr w:type="gramStart"/>
      <w:r w:rsidRPr="00690CA2">
        <w:t>modifier</w:t>
      </w:r>
      <w:proofErr w:type="gramEnd"/>
      <w:r w:rsidRPr="00690CA2">
        <w:t xml:space="preserve"> comme suit</w:t>
      </w:r>
      <w:r>
        <w:t> </w:t>
      </w:r>
      <w:r w:rsidRPr="00690CA2">
        <w:t>:</w:t>
      </w:r>
    </w:p>
    <w:p w:rsidR="00690CA2" w:rsidRPr="00690CA2" w:rsidRDefault="00690CA2" w:rsidP="00690CA2">
      <w:pPr>
        <w:pStyle w:val="SingleTxtG"/>
      </w:pPr>
      <w:r w:rsidRPr="00690CA2">
        <w:rPr>
          <w:bCs/>
        </w:rPr>
        <w:t>« </w:t>
      </w:r>
      <w:r w:rsidRPr="00690CA2">
        <w:t>6.18.9</w:t>
      </w:r>
      <w:r w:rsidRPr="00690CA2">
        <w:tab/>
        <w:t>Autres prescriptions</w:t>
      </w:r>
    </w:p>
    <w:p w:rsidR="00690CA2" w:rsidRPr="00690CA2" w:rsidRDefault="00690CA2" w:rsidP="00690CA2">
      <w:pPr>
        <w:pStyle w:val="SingleTxtG"/>
        <w:ind w:left="2268" w:right="1701"/>
      </w:pPr>
      <w:r w:rsidRPr="00690CA2">
        <w:t>Si les feux de position latéraux les plus en arrière sont combinés avec des feux de position arrière eux-mêmes mutuellement incorporés aux feux de brouillard arrière ou aux feux-stop, leurs caractéristiques photométriques peuvent être modifiées lorsque les feux de brouillard arrière sont allumés.</w:t>
      </w:r>
    </w:p>
    <w:p w:rsidR="00690CA2" w:rsidRPr="00690CA2" w:rsidRDefault="00690CA2" w:rsidP="00690CA2">
      <w:pPr>
        <w:pStyle w:val="SingleTxtG"/>
        <w:ind w:left="2268" w:right="1701"/>
      </w:pPr>
      <w:r w:rsidRPr="00690CA2">
        <w:tab/>
        <w:t>Les feux de position latéraux arrière doivent être orange s’ils clignotent avec le feu de position arrière.</w:t>
      </w:r>
    </w:p>
    <w:p w:rsidR="00690CA2" w:rsidRPr="00690CA2" w:rsidRDefault="00690CA2" w:rsidP="00690CA2">
      <w:pPr>
        <w:pStyle w:val="SingleTxtG"/>
        <w:ind w:left="2268" w:right="1701"/>
        <w:rPr>
          <w:i/>
        </w:rPr>
      </w:pPr>
      <w:r w:rsidRPr="00690CA2">
        <w:rPr>
          <w:b/>
        </w:rPr>
        <w:tab/>
        <w:t>Si un feu de position latéral facultatif est groupé ou combiné avec un feu de position lui-même mutuellement incorporé ou groupé avec le feu indicateur de direction, les branchements électriques du feu de position latéral du côté correspondant du véhicule doivent être conçus de telle sorte que le feu de position latéral soit éteint pendant la totalité de la période d’activation du feu indicateur de direction (y compris pendant les phases d’extinction). </w:t>
      </w:r>
      <w:r w:rsidRPr="00690CA2">
        <w:t>».</w:t>
      </w:r>
    </w:p>
    <w:p w:rsidR="00690CA2" w:rsidRPr="00690CA2" w:rsidRDefault="00690CA2" w:rsidP="00690CA2">
      <w:pPr>
        <w:pStyle w:val="HChG"/>
      </w:pPr>
      <w:r w:rsidRPr="00690CA2">
        <w:tab/>
        <w:t>II.</w:t>
      </w:r>
      <w:r w:rsidRPr="00690CA2">
        <w:tab/>
        <w:t>Justification</w:t>
      </w:r>
    </w:p>
    <w:p w:rsidR="00690CA2" w:rsidRPr="00690CA2" w:rsidRDefault="00690CA2" w:rsidP="00690CA2">
      <w:pPr>
        <w:pStyle w:val="SingleTxtG"/>
      </w:pPr>
      <w:r w:rsidRPr="00690CA2">
        <w:t>1.</w:t>
      </w:r>
      <w:r w:rsidRPr="00690CA2">
        <w:tab/>
        <w:t>De plus en plus souvent, les véhicules modernes sont conçus de telle sorte que les feux enveloppent les angles du véhicule.</w:t>
      </w:r>
    </w:p>
    <w:p w:rsidR="00690CA2" w:rsidRDefault="00690CA2" w:rsidP="00690CA2">
      <w:pPr>
        <w:pStyle w:val="SingleTxtG"/>
      </w:pPr>
      <w:r w:rsidRPr="00690CA2">
        <w:t>2.</w:t>
      </w:r>
      <w:r w:rsidRPr="00690CA2">
        <w:tab/>
        <w:t>Si un feu de position latéral, monté en tant que feu facultatif, est groupé ou combiné avec un feu de position lui-même mutuellement incorporé au feu indicateur de direction, il est souhaitable que le feu de position latéral soit éteint, à l’instar du feu de position, de sorte que l’indicateur de direction soit mieux reconnaissable. La netteté du signal du feu indicateur de direction s’en trouvera augmentée, puisqu’une seule couleur sera visible lorsque l’indicateur de direction sera en fonctionnement.</w:t>
      </w:r>
    </w:p>
    <w:p w:rsidR="00690CA2" w:rsidRPr="00690CA2" w:rsidRDefault="00690CA2" w:rsidP="00690CA2">
      <w:pPr>
        <w:pStyle w:val="SingleTxtG"/>
        <w:spacing w:before="240" w:after="0"/>
        <w:jc w:val="center"/>
        <w:rPr>
          <w:u w:val="single"/>
        </w:rPr>
      </w:pPr>
      <w:r>
        <w:rPr>
          <w:u w:val="single"/>
        </w:rPr>
        <w:tab/>
      </w:r>
      <w:r>
        <w:rPr>
          <w:u w:val="single"/>
        </w:rPr>
        <w:tab/>
      </w:r>
      <w:r>
        <w:rPr>
          <w:u w:val="single"/>
        </w:rPr>
        <w:tab/>
      </w:r>
    </w:p>
    <w:sectPr w:rsidR="00690CA2" w:rsidRPr="00690CA2" w:rsidSect="00690CA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A16" w:rsidRDefault="009B0A16" w:rsidP="00F95C08">
      <w:pPr>
        <w:spacing w:line="240" w:lineRule="auto"/>
      </w:pPr>
    </w:p>
  </w:endnote>
  <w:endnote w:type="continuationSeparator" w:id="0">
    <w:p w:rsidR="009B0A16" w:rsidRPr="00AC3823" w:rsidRDefault="009B0A16" w:rsidP="00AC3823">
      <w:pPr>
        <w:pStyle w:val="Footer"/>
      </w:pPr>
    </w:p>
  </w:endnote>
  <w:endnote w:type="continuationNotice" w:id="1">
    <w:p w:rsidR="009B0A16" w:rsidRDefault="009B0A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A2" w:rsidRPr="00690CA2" w:rsidRDefault="00690CA2" w:rsidP="00690CA2">
    <w:pPr>
      <w:pStyle w:val="Footer"/>
      <w:tabs>
        <w:tab w:val="right" w:pos="9638"/>
      </w:tabs>
    </w:pPr>
    <w:r w:rsidRPr="00690CA2">
      <w:rPr>
        <w:b/>
        <w:sz w:val="18"/>
      </w:rPr>
      <w:fldChar w:fldCharType="begin"/>
    </w:r>
    <w:r w:rsidRPr="00690CA2">
      <w:rPr>
        <w:b/>
        <w:sz w:val="18"/>
      </w:rPr>
      <w:instrText xml:space="preserve"> PAGE  \* MERGEFORMAT </w:instrText>
    </w:r>
    <w:r w:rsidRPr="00690CA2">
      <w:rPr>
        <w:b/>
        <w:sz w:val="18"/>
      </w:rPr>
      <w:fldChar w:fldCharType="separate"/>
    </w:r>
    <w:r w:rsidR="00B964BF">
      <w:rPr>
        <w:b/>
        <w:noProof/>
        <w:sz w:val="18"/>
      </w:rPr>
      <w:t>2</w:t>
    </w:r>
    <w:r w:rsidRPr="00690CA2">
      <w:rPr>
        <w:b/>
        <w:sz w:val="18"/>
      </w:rPr>
      <w:fldChar w:fldCharType="end"/>
    </w:r>
    <w:r>
      <w:rPr>
        <w:b/>
        <w:sz w:val="18"/>
      </w:rPr>
      <w:tab/>
    </w:r>
    <w:r>
      <w:t>GE.17-13404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A2" w:rsidRPr="00690CA2" w:rsidRDefault="00690CA2" w:rsidP="00690CA2">
    <w:pPr>
      <w:pStyle w:val="Footer"/>
      <w:tabs>
        <w:tab w:val="right" w:pos="9638"/>
      </w:tabs>
      <w:rPr>
        <w:b/>
        <w:sz w:val="18"/>
      </w:rPr>
    </w:pPr>
    <w:r>
      <w:t>GE.17-13404</w:t>
    </w:r>
    <w:r>
      <w:tab/>
    </w:r>
    <w:r w:rsidRPr="00690CA2">
      <w:rPr>
        <w:b/>
        <w:sz w:val="18"/>
      </w:rPr>
      <w:fldChar w:fldCharType="begin"/>
    </w:r>
    <w:r w:rsidRPr="00690CA2">
      <w:rPr>
        <w:b/>
        <w:sz w:val="18"/>
      </w:rPr>
      <w:instrText xml:space="preserve"> PAGE  \* MERGEFORMAT </w:instrText>
    </w:r>
    <w:r w:rsidRPr="00690CA2">
      <w:rPr>
        <w:b/>
        <w:sz w:val="18"/>
      </w:rPr>
      <w:fldChar w:fldCharType="separate"/>
    </w:r>
    <w:r w:rsidR="004B3B96">
      <w:rPr>
        <w:b/>
        <w:noProof/>
        <w:sz w:val="18"/>
      </w:rPr>
      <w:t>2</w:t>
    </w:r>
    <w:r w:rsidRPr="00690CA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EE9" w:rsidRPr="00690CA2" w:rsidRDefault="00690CA2" w:rsidP="00690CA2">
    <w:pPr>
      <w:pStyle w:val="Footer"/>
      <w:spacing w:before="120"/>
      <w:rPr>
        <w:sz w:val="20"/>
      </w:rPr>
    </w:pPr>
    <w:r>
      <w:rPr>
        <w:sz w:val="20"/>
      </w:rPr>
      <w:t>GE.</w:t>
    </w:r>
    <w:r w:rsidR="000D3EE9">
      <w:rPr>
        <w:noProof/>
        <w:lang w:val="en-GB" w:eastAsia="en-GB"/>
      </w:rPr>
      <w:drawing>
        <wp:anchor distT="0" distB="0" distL="114300" distR="114300" simplePos="0" relativeHeight="251659264"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17-13404  (F)    280817    310817</w:t>
    </w:r>
    <w:r>
      <w:rPr>
        <w:sz w:val="20"/>
      </w:rPr>
      <w:br/>
    </w:r>
    <w:r w:rsidRPr="00690CA2">
      <w:rPr>
        <w:rFonts w:ascii="C39T30Lfz" w:hAnsi="C39T30Lfz"/>
        <w:sz w:val="56"/>
      </w:rPr>
      <w:t></w:t>
    </w:r>
    <w:r w:rsidRPr="00690CA2">
      <w:rPr>
        <w:rFonts w:ascii="C39T30Lfz" w:hAnsi="C39T30Lfz"/>
        <w:sz w:val="56"/>
      </w:rPr>
      <w:t></w:t>
    </w:r>
    <w:r w:rsidRPr="00690CA2">
      <w:rPr>
        <w:rFonts w:ascii="C39T30Lfz" w:hAnsi="C39T30Lfz"/>
        <w:sz w:val="56"/>
      </w:rPr>
      <w:t></w:t>
    </w:r>
    <w:r w:rsidRPr="00690CA2">
      <w:rPr>
        <w:rFonts w:ascii="C39T30Lfz" w:hAnsi="C39T30Lfz"/>
        <w:sz w:val="56"/>
      </w:rPr>
      <w:t></w:t>
    </w:r>
    <w:r w:rsidRPr="00690CA2">
      <w:rPr>
        <w:rFonts w:ascii="C39T30Lfz" w:hAnsi="C39T30Lfz"/>
        <w:sz w:val="56"/>
      </w:rPr>
      <w:t></w:t>
    </w:r>
    <w:r w:rsidRPr="00690CA2">
      <w:rPr>
        <w:rFonts w:ascii="C39T30Lfz" w:hAnsi="C39T30Lfz"/>
        <w:sz w:val="56"/>
      </w:rPr>
      <w:t></w:t>
    </w:r>
    <w:r w:rsidRPr="00690CA2">
      <w:rPr>
        <w:rFonts w:ascii="C39T30Lfz" w:hAnsi="C39T30Lfz"/>
        <w:sz w:val="56"/>
      </w:rPr>
      <w:t></w:t>
    </w:r>
    <w:r w:rsidRPr="00690CA2">
      <w:rPr>
        <w:rFonts w:ascii="C39T30Lfz" w:hAnsi="C39T30Lfz"/>
        <w:sz w:val="56"/>
      </w:rPr>
      <w:t></w:t>
    </w:r>
    <w:r w:rsidRPr="00690CA2">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TRANS/WP.29/GRE/2017/2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7/2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A16" w:rsidRPr="00AC3823" w:rsidRDefault="009B0A16" w:rsidP="00AC3823">
      <w:pPr>
        <w:pStyle w:val="Footer"/>
        <w:tabs>
          <w:tab w:val="right" w:pos="2155"/>
        </w:tabs>
        <w:spacing w:after="80" w:line="240" w:lineRule="atLeast"/>
        <w:ind w:left="680"/>
        <w:rPr>
          <w:u w:val="single"/>
        </w:rPr>
      </w:pPr>
      <w:r>
        <w:rPr>
          <w:u w:val="single"/>
        </w:rPr>
        <w:tab/>
      </w:r>
    </w:p>
  </w:footnote>
  <w:footnote w:type="continuationSeparator" w:id="0">
    <w:p w:rsidR="009B0A16" w:rsidRPr="00AC3823" w:rsidRDefault="009B0A16" w:rsidP="00AC3823">
      <w:pPr>
        <w:pStyle w:val="Footer"/>
        <w:tabs>
          <w:tab w:val="right" w:pos="2155"/>
        </w:tabs>
        <w:spacing w:after="80" w:line="240" w:lineRule="atLeast"/>
        <w:ind w:left="680"/>
        <w:rPr>
          <w:u w:val="single"/>
        </w:rPr>
      </w:pPr>
      <w:r>
        <w:rPr>
          <w:u w:val="single"/>
        </w:rPr>
        <w:tab/>
      </w:r>
    </w:p>
  </w:footnote>
  <w:footnote w:type="continuationNotice" w:id="1">
    <w:p w:rsidR="009B0A16" w:rsidRPr="00AC3823" w:rsidRDefault="009B0A16">
      <w:pPr>
        <w:spacing w:line="240" w:lineRule="auto"/>
        <w:rPr>
          <w:sz w:val="2"/>
          <w:szCs w:val="2"/>
        </w:rPr>
      </w:pPr>
    </w:p>
  </w:footnote>
  <w:footnote w:id="2">
    <w:p w:rsidR="00690CA2" w:rsidRPr="00690CA2" w:rsidRDefault="00690CA2">
      <w:pPr>
        <w:pStyle w:val="FootnoteText"/>
      </w:pPr>
      <w:r>
        <w:rPr>
          <w:rStyle w:val="FootnoteReference"/>
        </w:rPr>
        <w:tab/>
      </w:r>
      <w:r w:rsidRPr="00690CA2">
        <w:rPr>
          <w:rStyle w:val="FootnoteReference"/>
          <w:sz w:val="20"/>
          <w:vertAlign w:val="baseline"/>
        </w:rPr>
        <w:t>*</w:t>
      </w:r>
      <w:r>
        <w:rPr>
          <w:rStyle w:val="FootnoteReference"/>
          <w:sz w:val="20"/>
          <w:vertAlign w:val="baseline"/>
        </w:rPr>
        <w:tab/>
      </w:r>
      <w:r w:rsidRPr="006643FD">
        <w:t>Conformément au programme de travail du Comité des transports intérieurs pour la période</w:t>
      </w:r>
      <w:r>
        <w:t xml:space="preserve"> 2016-2017 (ECE/TRANS/254, par. </w:t>
      </w:r>
      <w:r w:rsidRPr="006643FD">
        <w:t>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A2" w:rsidRPr="00690CA2" w:rsidRDefault="00B964BF">
    <w:pPr>
      <w:pStyle w:val="Header"/>
    </w:pPr>
    <w:r>
      <w:fldChar w:fldCharType="begin"/>
    </w:r>
    <w:r>
      <w:instrText xml:space="preserve"> TITLE  \* MERGEFORMAT </w:instrText>
    </w:r>
    <w:r>
      <w:fldChar w:fldCharType="separate"/>
    </w:r>
    <w:r w:rsidR="00E86BF2">
      <w:t>ECE/TRANS/WP.29/GRE/2017/24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A2" w:rsidRPr="00690CA2" w:rsidRDefault="00B964BF" w:rsidP="00690CA2">
    <w:pPr>
      <w:pStyle w:val="Header"/>
      <w:jc w:val="right"/>
    </w:pPr>
    <w:r>
      <w:fldChar w:fldCharType="begin"/>
    </w:r>
    <w:r>
      <w:instrText xml:space="preserve"> TITLE  \* MERGEFORMAT </w:instrText>
    </w:r>
    <w:r>
      <w:fldChar w:fldCharType="separate"/>
    </w:r>
    <w:r w:rsidR="00E86BF2">
      <w:t>ECE/TRANS/WP.29/GRE/2017/24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A16"/>
    <w:rsid w:val="00017F94"/>
    <w:rsid w:val="00023842"/>
    <w:rsid w:val="000334F9"/>
    <w:rsid w:val="0007796D"/>
    <w:rsid w:val="000B7790"/>
    <w:rsid w:val="000D3EE9"/>
    <w:rsid w:val="00111F2F"/>
    <w:rsid w:val="001433FD"/>
    <w:rsid w:val="0014365E"/>
    <w:rsid w:val="001541D3"/>
    <w:rsid w:val="00176178"/>
    <w:rsid w:val="001F525A"/>
    <w:rsid w:val="00223272"/>
    <w:rsid w:val="0024779E"/>
    <w:rsid w:val="002832AC"/>
    <w:rsid w:val="00295CCA"/>
    <w:rsid w:val="002D7C93"/>
    <w:rsid w:val="00441C3B"/>
    <w:rsid w:val="00446B0A"/>
    <w:rsid w:val="00446FE5"/>
    <w:rsid w:val="00452396"/>
    <w:rsid w:val="004B3B96"/>
    <w:rsid w:val="004E468C"/>
    <w:rsid w:val="00506BE1"/>
    <w:rsid w:val="005316B0"/>
    <w:rsid w:val="005505B7"/>
    <w:rsid w:val="00573BE5"/>
    <w:rsid w:val="00586ED3"/>
    <w:rsid w:val="00596AA9"/>
    <w:rsid w:val="005F2353"/>
    <w:rsid w:val="00690CA2"/>
    <w:rsid w:val="006F6CDC"/>
    <w:rsid w:val="00706363"/>
    <w:rsid w:val="0071601D"/>
    <w:rsid w:val="0074674C"/>
    <w:rsid w:val="007A62E6"/>
    <w:rsid w:val="0080684C"/>
    <w:rsid w:val="00871C75"/>
    <w:rsid w:val="008776DC"/>
    <w:rsid w:val="009705C8"/>
    <w:rsid w:val="009B0A16"/>
    <w:rsid w:val="009C1CF4"/>
    <w:rsid w:val="00A30353"/>
    <w:rsid w:val="00AA113A"/>
    <w:rsid w:val="00AC3823"/>
    <w:rsid w:val="00AE323C"/>
    <w:rsid w:val="00B00181"/>
    <w:rsid w:val="00B00B0D"/>
    <w:rsid w:val="00B765F7"/>
    <w:rsid w:val="00B964BF"/>
    <w:rsid w:val="00BA0CA9"/>
    <w:rsid w:val="00C02897"/>
    <w:rsid w:val="00D3439C"/>
    <w:rsid w:val="00DB1831"/>
    <w:rsid w:val="00DD3BFD"/>
    <w:rsid w:val="00DF6678"/>
    <w:rsid w:val="00E86BF2"/>
    <w:rsid w:val="00EF2E22"/>
    <w:rsid w:val="00F660DF"/>
    <w:rsid w:val="00F95C08"/>
    <w:rsid w:val="00FE189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7467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7467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74674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4674C"/>
    <w:pPr>
      <w:spacing w:line="240" w:lineRule="auto"/>
    </w:pPr>
    <w:rPr>
      <w:sz w:val="16"/>
    </w:rPr>
  </w:style>
  <w:style w:type="character" w:customStyle="1" w:styleId="FooterChar">
    <w:name w:val="Footer Char"/>
    <w:aliases w:val="3_G Char"/>
    <w:basedOn w:val="DefaultParagraphFont"/>
    <w:link w:val="Footer"/>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FootnoteReference">
    <w:name w:val="footnote reference"/>
    <w:aliases w:val="4_G,(Footnote Reference),BVI fnr, BVI fnr,Footnote symbol,Footnote,Footnote Reference Superscript,SUPERS,-E Fußnotenzeichen"/>
    <w:basedOn w:val="DefaultParagraphFont"/>
    <w:qFormat/>
    <w:rsid w:val="0074674C"/>
    <w:rPr>
      <w:rFonts w:ascii="Times New Roman" w:hAnsi="Times New Roman"/>
      <w:sz w:val="18"/>
      <w:vertAlign w:val="superscript"/>
      <w:lang w:val="fr-CH"/>
    </w:rPr>
  </w:style>
  <w:style w:type="character" w:styleId="EndnoteReference">
    <w:name w:val="endnote reference"/>
    <w:aliases w:val="1_G"/>
    <w:basedOn w:val="FootnoteReference"/>
    <w:qFormat/>
    <w:rsid w:val="0074674C"/>
    <w:rPr>
      <w:rFonts w:ascii="Times New Roman" w:hAnsi="Times New Roman"/>
      <w:sz w:val="18"/>
      <w:vertAlign w:val="superscript"/>
      <w:lang w:val="fr-CH"/>
    </w:rPr>
  </w:style>
  <w:style w:type="table" w:styleId="TableGrid">
    <w:name w:val="Table Grid"/>
    <w:basedOn w:val="Table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4674C"/>
    <w:rPr>
      <w:color w:val="0000FF"/>
      <w:u w:val="none"/>
    </w:rPr>
  </w:style>
  <w:style w:type="character" w:styleId="FollowedHyperlink">
    <w:name w:val="FollowedHyperlink"/>
    <w:basedOn w:val="DefaultParagraphFont"/>
    <w:unhideWhenUsed/>
    <w:rsid w:val="0074674C"/>
    <w:rPr>
      <w:color w:val="0000FF"/>
      <w:u w:val="none"/>
    </w:rPr>
  </w:style>
  <w:style w:type="paragraph" w:styleId="FootnoteText">
    <w:name w:val="footnote text"/>
    <w:aliases w:val="5_G"/>
    <w:basedOn w:val="Normal"/>
    <w:link w:val="FootnoteTextChar"/>
    <w:qFormat/>
    <w:rsid w:val="007467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4674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4674C"/>
  </w:style>
  <w:style w:type="character" w:customStyle="1" w:styleId="EndnoteTextChar">
    <w:name w:val="Endnote Text Char"/>
    <w:aliases w:val="2_G Char"/>
    <w:basedOn w:val="DefaultParagraphFont"/>
    <w:link w:val="EndnoteText"/>
    <w:rsid w:val="0074674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74674C"/>
    <w:rPr>
      <w:rFonts w:ascii="Times New Roman" w:hAnsi="Times New Roman"/>
      <w:b/>
      <w:sz w:val="18"/>
      <w:lang w:val="fr-CH"/>
    </w:rPr>
  </w:style>
  <w:style w:type="character" w:customStyle="1" w:styleId="Heading1Char">
    <w:name w:val="Heading 1 Char"/>
    <w:aliases w:val="Table_G Char"/>
    <w:basedOn w:val="DefaultParagraphFont"/>
    <w:link w:val="Heading1"/>
    <w:rsid w:val="0074674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7467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7467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74674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4674C"/>
    <w:pPr>
      <w:spacing w:line="240" w:lineRule="auto"/>
    </w:pPr>
    <w:rPr>
      <w:sz w:val="16"/>
    </w:rPr>
  </w:style>
  <w:style w:type="character" w:customStyle="1" w:styleId="FooterChar">
    <w:name w:val="Footer Char"/>
    <w:aliases w:val="3_G Char"/>
    <w:basedOn w:val="DefaultParagraphFont"/>
    <w:link w:val="Footer"/>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FootnoteReference">
    <w:name w:val="footnote reference"/>
    <w:aliases w:val="4_G,(Footnote Reference),BVI fnr, BVI fnr,Footnote symbol,Footnote,Footnote Reference Superscript,SUPERS,-E Fußnotenzeichen"/>
    <w:basedOn w:val="DefaultParagraphFont"/>
    <w:qFormat/>
    <w:rsid w:val="0074674C"/>
    <w:rPr>
      <w:rFonts w:ascii="Times New Roman" w:hAnsi="Times New Roman"/>
      <w:sz w:val="18"/>
      <w:vertAlign w:val="superscript"/>
      <w:lang w:val="fr-CH"/>
    </w:rPr>
  </w:style>
  <w:style w:type="character" w:styleId="EndnoteReference">
    <w:name w:val="endnote reference"/>
    <w:aliases w:val="1_G"/>
    <w:basedOn w:val="FootnoteReference"/>
    <w:qFormat/>
    <w:rsid w:val="0074674C"/>
    <w:rPr>
      <w:rFonts w:ascii="Times New Roman" w:hAnsi="Times New Roman"/>
      <w:sz w:val="18"/>
      <w:vertAlign w:val="superscript"/>
      <w:lang w:val="fr-CH"/>
    </w:rPr>
  </w:style>
  <w:style w:type="table" w:styleId="TableGrid">
    <w:name w:val="Table Grid"/>
    <w:basedOn w:val="Table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4674C"/>
    <w:rPr>
      <w:color w:val="0000FF"/>
      <w:u w:val="none"/>
    </w:rPr>
  </w:style>
  <w:style w:type="character" w:styleId="FollowedHyperlink">
    <w:name w:val="FollowedHyperlink"/>
    <w:basedOn w:val="DefaultParagraphFont"/>
    <w:unhideWhenUsed/>
    <w:rsid w:val="0074674C"/>
    <w:rPr>
      <w:color w:val="0000FF"/>
      <w:u w:val="none"/>
    </w:rPr>
  </w:style>
  <w:style w:type="paragraph" w:styleId="FootnoteText">
    <w:name w:val="footnote text"/>
    <w:aliases w:val="5_G"/>
    <w:basedOn w:val="Normal"/>
    <w:link w:val="FootnoteTextChar"/>
    <w:qFormat/>
    <w:rsid w:val="007467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4674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4674C"/>
  </w:style>
  <w:style w:type="character" w:customStyle="1" w:styleId="EndnoteTextChar">
    <w:name w:val="Endnote Text Char"/>
    <w:aliases w:val="2_G Char"/>
    <w:basedOn w:val="DefaultParagraphFont"/>
    <w:link w:val="EndnoteText"/>
    <w:rsid w:val="0074674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74674C"/>
    <w:rPr>
      <w:rFonts w:ascii="Times New Roman" w:hAnsi="Times New Roman"/>
      <w:b/>
      <w:sz w:val="18"/>
      <w:lang w:val="fr-CH"/>
    </w:rPr>
  </w:style>
  <w:style w:type="character" w:customStyle="1" w:styleId="Heading1Char">
    <w:name w:val="Heading 1 Char"/>
    <w:aliases w:val="Table_G Char"/>
    <w:basedOn w:val="DefaultParagraphFont"/>
    <w:link w:val="Heading1"/>
    <w:rsid w:val="0074674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2367</Characters>
  <Application>Microsoft Office Word</Application>
  <DocSecurity>4</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ECE/TRANS/WP.29/GRE/2017/24</vt:lpstr>
      <vt:lpstr>ECE/TRANS/WP.29/GRE/2017/24</vt:lpstr>
    </vt:vector>
  </TitlesOfParts>
  <Company>DCM</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ECE/TRANS/WP.29/GRE/2017/24</dc:title>
  <dc:creator>Annie BEAUNEE</dc:creator>
  <cp:lastModifiedBy>Benedicte Boudol</cp:lastModifiedBy>
  <cp:revision>2</cp:revision>
  <cp:lastPrinted>2017-08-31T07:20:00Z</cp:lastPrinted>
  <dcterms:created xsi:type="dcterms:W3CDTF">2017-08-31T12:46:00Z</dcterms:created>
  <dcterms:modified xsi:type="dcterms:W3CDTF">2017-08-31T12:46:00Z</dcterms:modified>
</cp:coreProperties>
</file>