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54033E">
            <w:pPr>
              <w:jc w:val="right"/>
            </w:pPr>
            <w:r w:rsidRPr="00C64574">
              <w:rPr>
                <w:sz w:val="40"/>
              </w:rPr>
              <w:t>ECE</w:t>
            </w:r>
            <w:r w:rsidRPr="00C64574">
              <w:t>/TRANS/WP.29/GR</w:t>
            </w:r>
            <w:r w:rsidR="009B385D">
              <w:t>E</w:t>
            </w:r>
            <w:r w:rsidRPr="00C64574">
              <w:t>/201</w:t>
            </w:r>
            <w:r w:rsidR="00A138B2">
              <w:t>7</w:t>
            </w:r>
            <w:r w:rsidRPr="00C64574">
              <w:t>/</w:t>
            </w:r>
            <w:r w:rsidR="00A138B2">
              <w:t>2</w:t>
            </w:r>
            <w:r w:rsidR="0054033E">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7A3BAE" w:rsidP="00D5792F">
            <w:pPr>
              <w:spacing w:line="240" w:lineRule="exact"/>
            </w:pPr>
            <w:r>
              <w:t>4 August 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54033E" w:rsidP="0054033E">
      <w:pPr>
        <w:rPr>
          <w:b/>
        </w:rPr>
      </w:pPr>
      <w:r w:rsidRPr="004B2237">
        <w:rPr>
          <w:b/>
        </w:rPr>
        <w:t>Seventy-</w:t>
      </w:r>
      <w:r>
        <w:rPr>
          <w:b/>
        </w:rPr>
        <w:t>eighth</w:t>
      </w:r>
      <w:r w:rsidRPr="004B2237">
        <w:rPr>
          <w:b/>
        </w:rPr>
        <w:t xml:space="preserve"> session</w:t>
      </w:r>
    </w:p>
    <w:p w:rsidR="0054033E" w:rsidRPr="00D315CD" w:rsidRDefault="0054033E" w:rsidP="0054033E">
      <w:pPr>
        <w:rPr>
          <w:bCs/>
        </w:rPr>
      </w:pPr>
      <w:r w:rsidRPr="00D315CD">
        <w:t>Geneva</w:t>
      </w:r>
      <w:r w:rsidRPr="00D315CD">
        <w:rPr>
          <w:bCs/>
        </w:rPr>
        <w:t>, 24–27 October 2017</w:t>
      </w:r>
    </w:p>
    <w:p w:rsidR="0054033E" w:rsidRPr="00D912FF" w:rsidRDefault="0054033E" w:rsidP="0054033E">
      <w:pPr>
        <w:ind w:right="1134"/>
        <w:rPr>
          <w:bCs/>
        </w:rPr>
      </w:pPr>
      <w:r w:rsidRPr="00D912FF">
        <w:rPr>
          <w:bCs/>
        </w:rPr>
        <w:t xml:space="preserve">Item </w:t>
      </w:r>
      <w:r>
        <w:rPr>
          <w:bCs/>
        </w:rPr>
        <w:t>6</w:t>
      </w:r>
      <w:r w:rsidRPr="00D912FF">
        <w:rPr>
          <w:bCs/>
        </w:rPr>
        <w:t xml:space="preserve"> </w:t>
      </w:r>
      <w:r>
        <w:rPr>
          <w:bCs/>
        </w:rPr>
        <w:t xml:space="preserve">(a) </w:t>
      </w:r>
      <w:r w:rsidRPr="00D912FF">
        <w:rPr>
          <w:bCs/>
        </w:rPr>
        <w:t>of the provisional agenda</w:t>
      </w:r>
    </w:p>
    <w:p w:rsidR="0054033E" w:rsidRDefault="0054033E" w:rsidP="0054033E">
      <w:pPr>
        <w:ind w:right="1134"/>
        <w:rPr>
          <w:b/>
          <w:bCs/>
        </w:rPr>
      </w:pPr>
      <w:r w:rsidRPr="00D315CD">
        <w:rPr>
          <w:b/>
          <w:bCs/>
        </w:rPr>
        <w:t>Regulation No. 48 (Installation of lighting and light-signalling devices)</w:t>
      </w:r>
      <w:r>
        <w:rPr>
          <w:b/>
          <w:bCs/>
        </w:rPr>
        <w:t xml:space="preserve"> - </w:t>
      </w:r>
    </w:p>
    <w:p w:rsidR="0054033E" w:rsidRPr="004B2237" w:rsidRDefault="0054033E" w:rsidP="0054033E">
      <w:pPr>
        <w:ind w:right="1134"/>
        <w:rPr>
          <w:bCs/>
        </w:rPr>
      </w:pPr>
      <w:r w:rsidRPr="00D315CD">
        <w:rPr>
          <w:b/>
          <w:bCs/>
        </w:rPr>
        <w:t>Proposals for amendments to the 05 and 06 series of amendments</w:t>
      </w:r>
    </w:p>
    <w:p w:rsidR="0054033E" w:rsidRPr="004D1FAA" w:rsidRDefault="0054033E" w:rsidP="0054033E">
      <w:pPr>
        <w:rPr>
          <w:b/>
        </w:rPr>
      </w:pPr>
    </w:p>
    <w:p w:rsidR="0054033E" w:rsidRPr="00190E1E" w:rsidRDefault="0054033E" w:rsidP="0054033E">
      <w:pPr>
        <w:pStyle w:val="HChG"/>
        <w:tabs>
          <w:tab w:val="clear" w:pos="851"/>
        </w:tabs>
        <w:ind w:firstLine="0"/>
        <w:rPr>
          <w:szCs w:val="28"/>
        </w:rPr>
      </w:pPr>
      <w:r w:rsidRPr="00190E1E">
        <w:rPr>
          <w:szCs w:val="28"/>
        </w:rPr>
        <w:t>Proposal for Supplement 11 to the 06 series of amendments to Regulation No. 48 (Installation of lighting and light-signalling devices)</w:t>
      </w:r>
    </w:p>
    <w:p w:rsidR="0054033E" w:rsidRPr="00D315CD" w:rsidRDefault="0054033E" w:rsidP="0054033E">
      <w:pPr>
        <w:pStyle w:val="H1G"/>
        <w:ind w:right="1467" w:firstLine="0"/>
        <w:jc w:val="both"/>
      </w:pPr>
      <w:r w:rsidRPr="00D315CD">
        <w:t>Submitted by the expert from the International Automotive Lighting and Light</w:t>
      </w:r>
      <w:r>
        <w:t>-</w:t>
      </w:r>
      <w:r w:rsidRPr="00D315CD">
        <w:t>Signalling Expert Group (GTB)</w:t>
      </w:r>
      <w:r w:rsidRPr="0054033E">
        <w:rPr>
          <w:vertAlign w:val="superscript"/>
        </w:rPr>
        <w:t xml:space="preserve"> </w:t>
      </w:r>
      <w:r w:rsidRPr="00DF418A">
        <w:rPr>
          <w:vertAlign w:val="superscript"/>
        </w:rPr>
        <w:footnoteReference w:customMarkFollows="1" w:id="2"/>
        <w:t>*</w:t>
      </w:r>
    </w:p>
    <w:p w:rsidR="0054033E" w:rsidRDefault="0054033E" w:rsidP="0054033E">
      <w:pPr>
        <w:spacing w:before="120"/>
        <w:ind w:left="1134" w:right="1134"/>
        <w:jc w:val="both"/>
        <w:rPr>
          <w:b/>
        </w:rPr>
      </w:pPr>
      <w:r w:rsidRPr="00D315CD">
        <w:t xml:space="preserve">The text reproduced below was prepared by the expert from GTB to </w:t>
      </w:r>
      <w:r>
        <w:t>harmonize the switching requirements for side-marker and position lamps when mutually incorporated</w:t>
      </w:r>
      <w:r w:rsidRPr="00D315CD">
        <w:t>. The modifications to the existing text of the Regulation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rsidR="0054033E" w:rsidRPr="0054033E" w:rsidRDefault="0054033E" w:rsidP="0054033E">
      <w:pPr>
        <w:spacing w:after="120"/>
        <w:ind w:left="2268" w:right="1134" w:hanging="1134"/>
        <w:jc w:val="both"/>
        <w:rPr>
          <w:bCs/>
        </w:rPr>
      </w:pPr>
      <w:r>
        <w:rPr>
          <w:bCs/>
          <w:i/>
        </w:rPr>
        <w:t>P</w:t>
      </w:r>
      <w:r w:rsidRPr="00EA6840">
        <w:rPr>
          <w:bCs/>
          <w:i/>
        </w:rPr>
        <w:t xml:space="preserve">aragraph </w:t>
      </w:r>
      <w:r>
        <w:rPr>
          <w:bCs/>
          <w:i/>
        </w:rPr>
        <w:t>6.18.9</w:t>
      </w:r>
      <w:r w:rsidRPr="00EA6840">
        <w:rPr>
          <w:bCs/>
          <w:i/>
        </w:rPr>
        <w:t xml:space="preserve">., </w:t>
      </w:r>
      <w:r w:rsidRPr="0054033E">
        <w:rPr>
          <w:bCs/>
        </w:rPr>
        <w:t>amend to read:</w:t>
      </w:r>
    </w:p>
    <w:p w:rsidR="0054033E" w:rsidRPr="007A07AF" w:rsidRDefault="0054033E" w:rsidP="0054033E">
      <w:pPr>
        <w:autoSpaceDE w:val="0"/>
        <w:autoSpaceDN w:val="0"/>
        <w:adjustRightInd w:val="0"/>
        <w:spacing w:after="120"/>
        <w:ind w:left="2268" w:right="1134" w:hanging="1134"/>
        <w:jc w:val="both"/>
        <w:rPr>
          <w:lang w:val="en-US"/>
        </w:rPr>
      </w:pPr>
      <w:r>
        <w:rPr>
          <w:bCs/>
        </w:rPr>
        <w:t>"</w:t>
      </w:r>
      <w:r w:rsidRPr="007A07AF">
        <w:rPr>
          <w:lang w:val="en-US"/>
        </w:rPr>
        <w:t>6.18.9.</w:t>
      </w:r>
      <w:r w:rsidRPr="007A07AF">
        <w:rPr>
          <w:lang w:val="en-US"/>
        </w:rPr>
        <w:tab/>
        <w:t>Other requirements</w:t>
      </w:r>
    </w:p>
    <w:p w:rsidR="0054033E" w:rsidRPr="0027265D" w:rsidRDefault="0054033E" w:rsidP="0054033E">
      <w:pPr>
        <w:autoSpaceDE w:val="0"/>
        <w:autoSpaceDN w:val="0"/>
        <w:adjustRightInd w:val="0"/>
        <w:spacing w:after="120"/>
        <w:ind w:left="2268" w:right="1134" w:hanging="1134"/>
        <w:jc w:val="both"/>
        <w:rPr>
          <w:lang w:val="en-US"/>
        </w:rPr>
      </w:pPr>
      <w:r w:rsidRPr="0027265D">
        <w:rPr>
          <w:lang w:val="en-US"/>
        </w:rPr>
        <w:tab/>
        <w:t>When the rearmost side-marker lamp is combined with the rear position lamp reciprocally incorporated with the rear fog lamp or stop lamp, the photometric characteristics of the side-marker lamp may be modified during the illumination of the rear fog lamp or stop lamp.</w:t>
      </w:r>
    </w:p>
    <w:p w:rsidR="0054033E" w:rsidRPr="007A07AF" w:rsidRDefault="0054033E" w:rsidP="0054033E">
      <w:pPr>
        <w:autoSpaceDE w:val="0"/>
        <w:autoSpaceDN w:val="0"/>
        <w:adjustRightInd w:val="0"/>
        <w:spacing w:after="120"/>
        <w:ind w:left="2268" w:right="1134" w:hanging="1134"/>
        <w:jc w:val="both"/>
        <w:rPr>
          <w:lang w:val="en-US"/>
        </w:rPr>
      </w:pPr>
      <w:r w:rsidRPr="007A07AF">
        <w:rPr>
          <w:lang w:val="en-US"/>
        </w:rPr>
        <w:tab/>
        <w:t>Rear side-marker lamps shall be amber if they flash with the rear direction indicator lamp.</w:t>
      </w:r>
    </w:p>
    <w:p w:rsidR="001405F0" w:rsidRPr="005A467E" w:rsidRDefault="0054033E" w:rsidP="0054033E">
      <w:pPr>
        <w:autoSpaceDE w:val="0"/>
        <w:autoSpaceDN w:val="0"/>
        <w:adjustRightInd w:val="0"/>
        <w:spacing w:after="120"/>
        <w:ind w:left="2268" w:right="1134" w:hanging="1134"/>
        <w:jc w:val="both"/>
        <w:rPr>
          <w:i/>
        </w:rPr>
      </w:pPr>
      <w:r w:rsidRPr="0027265D">
        <w:rPr>
          <w:b/>
          <w:lang w:val="en-US"/>
        </w:rPr>
        <w:tab/>
      </w:r>
      <w:r w:rsidRPr="001F1097">
        <w:rPr>
          <w:b/>
          <w:lang w:val="en-US"/>
        </w:rPr>
        <w:t>When an optional side-marker lamp is grouped or combined with a position lamp</w:t>
      </w:r>
      <w:r>
        <w:rPr>
          <w:b/>
          <w:lang w:val="en-US"/>
        </w:rPr>
        <w:t xml:space="preserve"> that is</w:t>
      </w:r>
      <w:r w:rsidRPr="001F1097">
        <w:rPr>
          <w:b/>
          <w:lang w:val="en-US"/>
        </w:rPr>
        <w:t xml:space="preserve"> reciprocally incorporated </w:t>
      </w:r>
      <w:r>
        <w:rPr>
          <w:b/>
          <w:lang w:val="en-US"/>
        </w:rPr>
        <w:t xml:space="preserve">or grouped </w:t>
      </w:r>
      <w:r w:rsidRPr="001F1097">
        <w:rPr>
          <w:b/>
          <w:lang w:val="en-US"/>
        </w:rPr>
        <w:t>with the direction indicator</w:t>
      </w:r>
      <w:r>
        <w:rPr>
          <w:b/>
          <w:lang w:val="en-US"/>
        </w:rPr>
        <w:t>,</w:t>
      </w:r>
      <w:r w:rsidRPr="001F1097">
        <w:rPr>
          <w:b/>
          <w:lang w:val="en-US"/>
        </w:rPr>
        <w:t xml:space="preserve"> </w:t>
      </w:r>
      <w:r>
        <w:rPr>
          <w:b/>
          <w:lang w:val="en-US"/>
        </w:rPr>
        <w:t>t</w:t>
      </w:r>
      <w:r w:rsidRPr="001F1097">
        <w:rPr>
          <w:b/>
          <w:lang w:val="en-US"/>
        </w:rPr>
        <w:t>he electrical connection of the side-marker lamp on the relevant side of the vehicle may be such that it is switched OFF during the entire period (both ON and OFF cycle) of activation of the direction indicator lamp.</w:t>
      </w:r>
      <w:r>
        <w:rPr>
          <w:b/>
          <w:lang w:val="en-US"/>
        </w:rPr>
        <w:t>"</w:t>
      </w:r>
    </w:p>
    <w:p w:rsidR="00DF418A" w:rsidRPr="00DF418A" w:rsidRDefault="00E87504" w:rsidP="00980C28">
      <w:pPr>
        <w:pStyle w:val="HChG"/>
        <w:ind w:left="0" w:firstLine="0"/>
      </w:pPr>
      <w:r>
        <w:tab/>
        <w:t>II.</w:t>
      </w:r>
      <w:r>
        <w:tab/>
        <w:t>Justification</w:t>
      </w:r>
    </w:p>
    <w:p w:rsidR="0054033E" w:rsidRPr="0054033E" w:rsidRDefault="0054033E" w:rsidP="0054033E">
      <w:pPr>
        <w:widowControl w:val="0"/>
        <w:tabs>
          <w:tab w:val="left" w:pos="-1440"/>
        </w:tabs>
        <w:autoSpaceDE w:val="0"/>
        <w:autoSpaceDN w:val="0"/>
        <w:adjustRightInd w:val="0"/>
        <w:spacing w:after="120"/>
        <w:ind w:left="1134" w:right="1134"/>
        <w:jc w:val="both"/>
        <w:rPr>
          <w:lang w:val="en-US"/>
        </w:rPr>
      </w:pPr>
      <w:r>
        <w:rPr>
          <w:lang w:val="en-US"/>
        </w:rPr>
        <w:t>1.</w:t>
      </w:r>
      <w:r>
        <w:rPr>
          <w:lang w:val="en-US"/>
        </w:rPr>
        <w:tab/>
      </w:r>
      <w:r w:rsidRPr="0054033E">
        <w:rPr>
          <w:lang w:val="en-US"/>
        </w:rPr>
        <w:t xml:space="preserve">Increasingly the design of modern vehicles has a tendency to have lamps that wrap around the corners. </w:t>
      </w:r>
    </w:p>
    <w:p w:rsidR="00B51E98" w:rsidRDefault="0054033E" w:rsidP="00792D92">
      <w:pPr>
        <w:widowControl w:val="0"/>
        <w:tabs>
          <w:tab w:val="left" w:pos="-1440"/>
        </w:tabs>
        <w:autoSpaceDE w:val="0"/>
        <w:autoSpaceDN w:val="0"/>
        <w:adjustRightInd w:val="0"/>
        <w:spacing w:after="120"/>
        <w:ind w:left="1134" w:right="1134"/>
        <w:jc w:val="both"/>
        <w:rPr>
          <w:lang w:val="en-US"/>
        </w:rPr>
      </w:pPr>
      <w:r>
        <w:rPr>
          <w:lang w:val="en-US"/>
        </w:rPr>
        <w:t>2.</w:t>
      </w:r>
      <w:r>
        <w:rPr>
          <w:lang w:val="en-US"/>
        </w:rPr>
        <w:tab/>
      </w:r>
      <w:r w:rsidRPr="0054033E">
        <w:rPr>
          <w:lang w:val="en-US"/>
        </w:rPr>
        <w:t xml:space="preserve">Where the side-marker lamp, fitted as an optional lamp, is grouped or combined with a position lamp reciprocally incorporated with the direction indicator, it is desirable to allow the side-marker lamp to be switched off, in the same way as the position lamp, to improve the recognition of the direction indicator.  There will be an increase of conspicuity of the direction indicator lamp signal, since only one </w:t>
      </w:r>
      <w:proofErr w:type="spellStart"/>
      <w:r w:rsidRPr="0054033E">
        <w:rPr>
          <w:lang w:val="en-US"/>
        </w:rPr>
        <w:t>colour</w:t>
      </w:r>
      <w:proofErr w:type="spellEnd"/>
      <w:r w:rsidRPr="0054033E">
        <w:rPr>
          <w:lang w:val="en-US"/>
        </w:rPr>
        <w:t xml:space="preserve"> will be seen during the operation of the direction indicator.</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2008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4033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DD" w:rsidRDefault="002E73DD" w:rsidP="002E73DD">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5550032</wp:posOffset>
          </wp:positionH>
          <wp:positionV relativeFrom="margin">
            <wp:posOffset>7915976</wp:posOffset>
          </wp:positionV>
          <wp:extent cx="638175" cy="638175"/>
          <wp:effectExtent l="0" t="0" r="9525" b="9525"/>
          <wp:wrapNone/>
          <wp:docPr id="2" name="Picture 1" descr="https://undocs.org/m2/QRCode.ashx?DS=ECE/TRANS/WP.29/GRE/20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4391660</wp:posOffset>
          </wp:positionH>
          <wp:positionV relativeFrom="margin">
            <wp:posOffset>8266430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E73DD" w:rsidRDefault="002E73DD" w:rsidP="002E73DD">
    <w:pPr>
      <w:pStyle w:val="Footer"/>
      <w:ind w:right="1134"/>
      <w:rPr>
        <w:sz w:val="20"/>
      </w:rPr>
    </w:pPr>
    <w:r>
      <w:rPr>
        <w:sz w:val="20"/>
      </w:rPr>
      <w:t>GE.17-13404(E)</w:t>
    </w:r>
  </w:p>
  <w:p w:rsidR="002E73DD" w:rsidRPr="002E73DD" w:rsidRDefault="002E73DD" w:rsidP="002E73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Pr="00A138B2">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A138B2">
      <w:t>7</w:t>
    </w:r>
    <w:r w:rsidRPr="00DF418A">
      <w:t>/</w:t>
    </w:r>
    <w:r w:rsidR="00F2422D">
      <w:t>2</w:t>
    </w:r>
    <w:r w:rsidR="0054033E">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ECE/TRANS/WP.29/GRE/2015/</w:t>
    </w:r>
    <w:r w:rsidR="008927C5">
      <w:t>4</w:t>
    </w:r>
    <w:r w:rsidR="00F2422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0E7"/>
    <w:rsid w:val="008257B1"/>
    <w:rsid w:val="00832334"/>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B0"/>
    <w:rsid w:val="00A138B2"/>
    <w:rsid w:val="00A14A4D"/>
    <w:rsid w:val="00A1546E"/>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5DC0"/>
    <w:rsid w:val="00F20293"/>
    <w:rsid w:val="00F211B8"/>
    <w:rsid w:val="00F2422D"/>
    <w:rsid w:val="00F2770E"/>
    <w:rsid w:val="00F31279"/>
    <w:rsid w:val="00F31E5F"/>
    <w:rsid w:val="00F435BD"/>
    <w:rsid w:val="00F452EF"/>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80C-4431-4A2E-AD6C-D1711657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369</Words>
  <Characters>2108</Characters>
  <Application>Microsoft Office Word</Application>
  <DocSecurity>4</DocSecurity>
  <Lines>17</Lines>
  <Paragraphs>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1713404</vt:lpstr>
      <vt:lpstr>United Nations</vt:lpstr>
      <vt:lpstr>United Nations</vt:lpstr>
    </vt:vector>
  </TitlesOfParts>
  <Company>CSD</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1713404</dc:title>
  <dc:subject>ECE/TRANS/WP.29/GRE/2017/24</dc:subject>
  <dc:creator>Romain HUBERT</dc:creator>
  <cp:lastModifiedBy>Benedicte Boudol</cp:lastModifiedBy>
  <cp:revision>2</cp:revision>
  <cp:lastPrinted>2017-08-04T14:01:00Z</cp:lastPrinted>
  <dcterms:created xsi:type="dcterms:W3CDTF">2017-08-31T12:46:00Z</dcterms:created>
  <dcterms:modified xsi:type="dcterms:W3CDTF">2017-08-31T12:46:00Z</dcterms:modified>
</cp:coreProperties>
</file>