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A61EE7">
            <w:pPr>
              <w:jc w:val="right"/>
            </w:pPr>
            <w:r w:rsidRPr="00C64574">
              <w:rPr>
                <w:sz w:val="40"/>
              </w:rPr>
              <w:t>ECE</w:t>
            </w:r>
            <w:r w:rsidRPr="00C64574">
              <w:t>/TRANS/WP.29/GR</w:t>
            </w:r>
            <w:r w:rsidR="009B385D">
              <w:t>E</w:t>
            </w:r>
            <w:r w:rsidRPr="00C64574">
              <w:t>/201</w:t>
            </w:r>
            <w:r w:rsidR="00A138B2">
              <w:t>7</w:t>
            </w:r>
            <w:r w:rsidRPr="00C64574">
              <w:t>/</w:t>
            </w:r>
            <w:r w:rsidR="00A138B2">
              <w:t>2</w:t>
            </w:r>
            <w:r w:rsidR="00A61EE7">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7A3BAE" w:rsidP="00D5792F">
            <w:pPr>
              <w:spacing w:line="240" w:lineRule="exact"/>
            </w:pPr>
            <w:r>
              <w:t>4 August 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54033E" w:rsidP="0054033E">
      <w:pPr>
        <w:rPr>
          <w:b/>
        </w:rPr>
      </w:pPr>
      <w:r w:rsidRPr="004B2237">
        <w:rPr>
          <w:b/>
        </w:rPr>
        <w:t>Seventy-</w:t>
      </w:r>
      <w:r>
        <w:rPr>
          <w:b/>
        </w:rPr>
        <w:t>eighth</w:t>
      </w:r>
      <w:r w:rsidRPr="004B2237">
        <w:rPr>
          <w:b/>
        </w:rPr>
        <w:t xml:space="preserve"> session</w:t>
      </w:r>
    </w:p>
    <w:p w:rsidR="0054033E" w:rsidRPr="00D315CD" w:rsidRDefault="0054033E" w:rsidP="0054033E">
      <w:pPr>
        <w:rPr>
          <w:bCs/>
        </w:rPr>
      </w:pPr>
      <w:r w:rsidRPr="00D315CD">
        <w:t>Geneva</w:t>
      </w:r>
      <w:r w:rsidRPr="00D315CD">
        <w:rPr>
          <w:bCs/>
        </w:rPr>
        <w:t>, 24–27 October 2017</w:t>
      </w:r>
    </w:p>
    <w:p w:rsidR="0054033E" w:rsidRPr="00D912FF" w:rsidRDefault="0054033E" w:rsidP="0054033E">
      <w:pPr>
        <w:ind w:right="1134"/>
        <w:rPr>
          <w:bCs/>
        </w:rPr>
      </w:pPr>
      <w:r w:rsidRPr="00D912FF">
        <w:rPr>
          <w:bCs/>
        </w:rPr>
        <w:t xml:space="preserve">Item </w:t>
      </w:r>
      <w:r>
        <w:rPr>
          <w:bCs/>
        </w:rPr>
        <w:t>6</w:t>
      </w:r>
      <w:r w:rsidRPr="00D912FF">
        <w:rPr>
          <w:bCs/>
        </w:rPr>
        <w:t xml:space="preserve"> </w:t>
      </w:r>
      <w:r>
        <w:rPr>
          <w:bCs/>
        </w:rPr>
        <w:t xml:space="preserve">(a) </w:t>
      </w:r>
      <w:r w:rsidRPr="00D912FF">
        <w:rPr>
          <w:bCs/>
        </w:rPr>
        <w:t>of the provisional agenda</w:t>
      </w:r>
    </w:p>
    <w:p w:rsidR="0054033E" w:rsidRDefault="0054033E" w:rsidP="0054033E">
      <w:pPr>
        <w:ind w:right="1134"/>
        <w:rPr>
          <w:b/>
          <w:bCs/>
        </w:rPr>
      </w:pPr>
      <w:r w:rsidRPr="00D315CD">
        <w:rPr>
          <w:b/>
          <w:bCs/>
        </w:rPr>
        <w:t>Regulation No. 48 (Installation of lighting and light-signalling devices)</w:t>
      </w:r>
      <w:r>
        <w:rPr>
          <w:b/>
          <w:bCs/>
        </w:rPr>
        <w:t xml:space="preserve"> - </w:t>
      </w:r>
    </w:p>
    <w:p w:rsidR="0054033E" w:rsidRPr="004B2237" w:rsidRDefault="0054033E" w:rsidP="0054033E">
      <w:pPr>
        <w:ind w:right="1134"/>
        <w:rPr>
          <w:bCs/>
        </w:rPr>
      </w:pPr>
      <w:r w:rsidRPr="00D315CD">
        <w:rPr>
          <w:b/>
          <w:bCs/>
        </w:rPr>
        <w:t>Proposals for amendments to the 05 and 06 series of amendments</w:t>
      </w:r>
    </w:p>
    <w:p w:rsidR="0054033E" w:rsidRPr="004D1FAA" w:rsidRDefault="0054033E" w:rsidP="0054033E">
      <w:pPr>
        <w:rPr>
          <w:b/>
        </w:rPr>
      </w:pPr>
    </w:p>
    <w:p w:rsidR="0054033E" w:rsidRPr="00190E1E" w:rsidRDefault="0054033E" w:rsidP="0054033E">
      <w:pPr>
        <w:pStyle w:val="HChG"/>
        <w:tabs>
          <w:tab w:val="clear" w:pos="851"/>
        </w:tabs>
        <w:ind w:firstLine="0"/>
        <w:rPr>
          <w:szCs w:val="28"/>
        </w:rPr>
      </w:pPr>
      <w:r w:rsidRPr="00190E1E">
        <w:rPr>
          <w:szCs w:val="28"/>
        </w:rPr>
        <w:t>Proposal for Supplement 11 to the 06 series of amendments to Regulation No. 48 (Installation of lighting and light-signalling devices)</w:t>
      </w:r>
    </w:p>
    <w:p w:rsidR="00A61EE7" w:rsidRPr="00AD2F18" w:rsidRDefault="00A61EE7" w:rsidP="00A61EE7">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t xml:space="preserve">Submitted by the </w:t>
      </w:r>
      <w:r>
        <w:rPr>
          <w:b/>
          <w:sz w:val="24"/>
          <w:lang w:val="en-US"/>
        </w:rPr>
        <w:t xml:space="preserve">experts from the Czech Republic and Italy, with the support of </w:t>
      </w:r>
      <w:r w:rsidRPr="00A61EE7">
        <w:rPr>
          <w:b/>
          <w:sz w:val="24"/>
          <w:lang w:val="en-US"/>
        </w:rPr>
        <w:t>the Task Force on Headlamp Switching (TF</w:t>
      </w:r>
      <w:r>
        <w:rPr>
          <w:b/>
          <w:sz w:val="24"/>
          <w:lang w:val="en-US"/>
        </w:rPr>
        <w:t xml:space="preserve"> </w:t>
      </w:r>
      <w:r w:rsidRPr="00A61EE7">
        <w:rPr>
          <w:b/>
          <w:sz w:val="24"/>
          <w:lang w:val="en-US"/>
        </w:rPr>
        <w:t>HS)</w:t>
      </w:r>
      <w:r w:rsidRPr="00DF418A">
        <w:rPr>
          <w:vertAlign w:val="superscript"/>
        </w:rPr>
        <w:footnoteReference w:customMarkFollows="1" w:id="2"/>
        <w:t>*</w:t>
      </w:r>
    </w:p>
    <w:p w:rsidR="00A61EE7" w:rsidRPr="00A61EE7" w:rsidRDefault="00A61EE7" w:rsidP="00A61EE7">
      <w:pPr>
        <w:spacing w:after="120"/>
        <w:ind w:left="1134" w:right="1134" w:firstLine="567"/>
        <w:jc w:val="both"/>
        <w:rPr>
          <w:lang w:val="en-US"/>
        </w:rPr>
      </w:pPr>
      <w:r w:rsidRPr="00A61EE7">
        <w:rPr>
          <w:lang w:val="en-US"/>
        </w:rPr>
        <w:t>The text reproduced below was prepared by the experts from Czech Republic and Italy, with the support of TF</w:t>
      </w:r>
      <w:r>
        <w:rPr>
          <w:lang w:val="en-US"/>
        </w:rPr>
        <w:t xml:space="preserve"> </w:t>
      </w:r>
      <w:r w:rsidRPr="00A61EE7">
        <w:rPr>
          <w:lang w:val="en-US"/>
        </w:rPr>
        <w:t>HS, to correct and clarify the requirements for daytime running lamps (DRL) in conjunction with rear position lamps. The modifications to the existing text of the Regulation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rsidR="00A61EE7" w:rsidRDefault="00A61EE7" w:rsidP="00A61EE7">
      <w:pPr>
        <w:tabs>
          <w:tab w:val="left" w:pos="2300"/>
          <w:tab w:val="left" w:pos="2800"/>
        </w:tabs>
        <w:spacing w:after="120"/>
        <w:ind w:left="2268" w:right="1134" w:hanging="1134"/>
        <w:jc w:val="both"/>
      </w:pPr>
      <w:r w:rsidRPr="00E9173F">
        <w:rPr>
          <w:i/>
        </w:rPr>
        <w:t xml:space="preserve">Add </w:t>
      </w:r>
      <w:r>
        <w:rPr>
          <w:i/>
        </w:rPr>
        <w:t xml:space="preserve">a </w:t>
      </w:r>
      <w:r w:rsidRPr="00E9173F">
        <w:rPr>
          <w:i/>
        </w:rPr>
        <w:t xml:space="preserve">new </w:t>
      </w:r>
      <w:r>
        <w:rPr>
          <w:i/>
        </w:rPr>
        <w:t>p</w:t>
      </w:r>
      <w:r w:rsidRPr="00E9173F">
        <w:rPr>
          <w:i/>
        </w:rPr>
        <w:t>aragraph 5.11.1.3.</w:t>
      </w:r>
      <w:r w:rsidRPr="00E9173F">
        <w:t>, to read:</w:t>
      </w:r>
    </w:p>
    <w:p w:rsidR="00A61EE7" w:rsidRDefault="00A61EE7" w:rsidP="00A61EE7">
      <w:pPr>
        <w:tabs>
          <w:tab w:val="left" w:pos="2300"/>
          <w:tab w:val="left" w:pos="2800"/>
        </w:tabs>
        <w:spacing w:after="120"/>
        <w:ind w:left="2268" w:right="1134" w:hanging="1134"/>
        <w:jc w:val="both"/>
      </w:pPr>
      <w:r w:rsidRPr="00E9173F">
        <w:t>“</w:t>
      </w:r>
      <w:r w:rsidRPr="00E9173F">
        <w:rPr>
          <w:b/>
        </w:rPr>
        <w:t>5.11.1.3.</w:t>
      </w:r>
      <w:r w:rsidRPr="00E9173F">
        <w:rPr>
          <w:b/>
        </w:rPr>
        <w:tab/>
        <w:t>When light signalling system operates according to paragraph 6.19.7.4.</w:t>
      </w:r>
      <w:r w:rsidRPr="00E9173F">
        <w:t>”</w:t>
      </w:r>
    </w:p>
    <w:p w:rsidR="00A61EE7" w:rsidRDefault="00A61EE7" w:rsidP="00A61EE7">
      <w:pPr>
        <w:tabs>
          <w:tab w:val="left" w:pos="2300"/>
          <w:tab w:val="left" w:pos="2800"/>
        </w:tabs>
        <w:spacing w:after="120"/>
        <w:ind w:left="2268" w:right="1134" w:hanging="1134"/>
        <w:jc w:val="both"/>
      </w:pPr>
      <w:r w:rsidRPr="00E9173F">
        <w:rPr>
          <w:i/>
        </w:rPr>
        <w:t>Paragraph 6.2.7.7.</w:t>
      </w:r>
      <w:r w:rsidRPr="00E9173F">
        <w:t>, amend to read:</w:t>
      </w:r>
    </w:p>
    <w:p w:rsidR="00A61EE7" w:rsidRDefault="00A61EE7" w:rsidP="00A61EE7">
      <w:pPr>
        <w:tabs>
          <w:tab w:val="left" w:pos="2300"/>
          <w:tab w:val="left" w:pos="2800"/>
        </w:tabs>
        <w:spacing w:after="120"/>
        <w:ind w:left="2268" w:right="1134" w:hanging="1134"/>
        <w:jc w:val="both"/>
      </w:pPr>
      <w:r w:rsidRPr="00E9173F">
        <w:t xml:space="preserve">“6.2.7.7. </w:t>
      </w:r>
      <w:r w:rsidRPr="00E9173F">
        <w:tab/>
        <w:t>Without prejudice to paragraph 6.2.7.6.</w:t>
      </w:r>
      <w:r w:rsidRPr="00E9173F">
        <w:rPr>
          <w:strike/>
        </w:rPr>
        <w:t>1</w:t>
      </w:r>
      <w:r w:rsidRPr="00E9173F">
        <w:t>., the dipped-beam headlamps may switch ON and OFF automatically relative to other factors such as time or ambient conditions (e.g. time of the day, vehicle location, rain, fog, etc.).”</w:t>
      </w:r>
    </w:p>
    <w:p w:rsidR="00A61EE7" w:rsidRDefault="00A61EE7" w:rsidP="00A61EE7">
      <w:pPr>
        <w:tabs>
          <w:tab w:val="left" w:pos="2300"/>
          <w:tab w:val="left" w:pos="2800"/>
        </w:tabs>
        <w:spacing w:after="120"/>
        <w:ind w:left="2268" w:right="1134" w:hanging="1134"/>
        <w:jc w:val="both"/>
      </w:pPr>
      <w:r w:rsidRPr="00E9173F">
        <w:rPr>
          <w:i/>
        </w:rPr>
        <w:t>Paragraph 6.9.8.</w:t>
      </w:r>
      <w:r w:rsidRPr="00E9173F">
        <w:t>, amend to read:</w:t>
      </w:r>
    </w:p>
    <w:p w:rsidR="00A61EE7" w:rsidRPr="00E9173F" w:rsidRDefault="00A61EE7" w:rsidP="00A61EE7">
      <w:pPr>
        <w:tabs>
          <w:tab w:val="left" w:pos="2300"/>
          <w:tab w:val="left" w:pos="2800"/>
        </w:tabs>
        <w:spacing w:after="120"/>
        <w:ind w:left="2268" w:right="1134" w:hanging="1134"/>
        <w:jc w:val="both"/>
      </w:pPr>
      <w:r w:rsidRPr="00E9173F">
        <w:t>“6.9.8</w:t>
      </w:r>
      <w:r w:rsidRPr="00E9173F">
        <w:tab/>
      </w:r>
      <w:r w:rsidRPr="00E9173F">
        <w:rPr>
          <w:rFonts w:eastAsia="MS Mincho"/>
          <w:lang w:eastAsia="fr-FR"/>
        </w:rPr>
        <w:t>Tell-tale</w:t>
      </w:r>
    </w:p>
    <w:p w:rsidR="00A61EE7" w:rsidRPr="00E9173F" w:rsidRDefault="00A61EE7" w:rsidP="00A61EE7">
      <w:pPr>
        <w:tabs>
          <w:tab w:val="left" w:pos="2800"/>
        </w:tabs>
        <w:spacing w:after="120"/>
        <w:ind w:left="2268" w:right="1134"/>
        <w:jc w:val="both"/>
        <w:rPr>
          <w:rFonts w:eastAsia="MS Mincho"/>
          <w:lang w:eastAsia="fr-FR"/>
        </w:rPr>
      </w:pPr>
      <w:r w:rsidRPr="00E9173F">
        <w:rPr>
          <w:rFonts w:eastAsia="MS Mincho"/>
          <w:lang w:eastAsia="fr-FR"/>
        </w:rPr>
        <w:t xml:space="preserve">Circuit-closed tell-tale mandatory. This tell-tale shall be non-flashing and shall not be required if the instrument panel lighting can only be </w:t>
      </w:r>
      <w:r>
        <w:rPr>
          <w:rFonts w:eastAsia="MS Mincho"/>
          <w:lang w:eastAsia="fr-FR"/>
        </w:rPr>
        <w:t>switched</w:t>
      </w:r>
      <w:r w:rsidRPr="00E9173F">
        <w:rPr>
          <w:rFonts w:eastAsia="MS Mincho"/>
          <w:lang w:eastAsia="fr-FR"/>
        </w:rPr>
        <w:t xml:space="preserve"> ON</w:t>
      </w:r>
      <w:r w:rsidRPr="00E9173F">
        <w:rPr>
          <w:rFonts w:eastAsia="MS Mincho"/>
          <w:bCs/>
          <w:lang w:eastAsia="fr-FR"/>
        </w:rPr>
        <w:t xml:space="preserve"> </w:t>
      </w:r>
      <w:r w:rsidRPr="00E9173F">
        <w:rPr>
          <w:rFonts w:eastAsia="MS Mincho"/>
          <w:lang w:eastAsia="fr-FR"/>
        </w:rPr>
        <w:t>simultaneously with the front position lamps.</w:t>
      </w:r>
    </w:p>
    <w:p w:rsidR="00A61EE7" w:rsidRPr="00E9173F" w:rsidRDefault="00A61EE7" w:rsidP="00A61EE7">
      <w:pPr>
        <w:tabs>
          <w:tab w:val="left" w:pos="2800"/>
        </w:tabs>
        <w:spacing w:after="120"/>
        <w:ind w:left="2268" w:right="1134"/>
        <w:jc w:val="both"/>
        <w:rPr>
          <w:rFonts w:eastAsia="MS Mincho"/>
          <w:b/>
          <w:lang w:eastAsia="fr-FR"/>
        </w:rPr>
      </w:pPr>
      <w:r w:rsidRPr="00E9173F">
        <w:rPr>
          <w:rFonts w:eastAsia="MS Mincho"/>
          <w:b/>
          <w:lang w:eastAsia="fr-FR"/>
        </w:rPr>
        <w:t xml:space="preserve">This requirement does not apply when </w:t>
      </w:r>
      <w:r w:rsidRPr="00E23B39">
        <w:rPr>
          <w:rFonts w:eastAsia="MS Mincho"/>
          <w:b/>
          <w:lang w:eastAsia="fr-FR"/>
        </w:rPr>
        <w:t>light signalling system operates</w:t>
      </w:r>
      <w:r w:rsidRPr="00E9173F">
        <w:rPr>
          <w:rFonts w:eastAsia="MS Mincho"/>
          <w:b/>
          <w:lang w:eastAsia="fr-FR"/>
        </w:rPr>
        <w:t xml:space="preserve"> according to paragraph 6.19.7.4.</w:t>
      </w:r>
    </w:p>
    <w:p w:rsidR="00A61EE7" w:rsidRPr="00E9173F" w:rsidRDefault="00A61EE7" w:rsidP="00A61EE7">
      <w:pPr>
        <w:tabs>
          <w:tab w:val="left" w:pos="2800"/>
        </w:tabs>
        <w:spacing w:after="120"/>
        <w:ind w:left="2268" w:right="1134"/>
        <w:jc w:val="both"/>
        <w:rPr>
          <w:rFonts w:eastAsia="MS Mincho"/>
          <w:lang w:eastAsia="fr-FR"/>
        </w:rPr>
      </w:pPr>
      <w:r w:rsidRPr="00E9173F">
        <w:rPr>
          <w:rFonts w:eastAsia="MS Mincho"/>
          <w:lang w:eastAsia="fr-FR"/>
        </w:rPr>
        <w:t>However, a tell-tale indicating failure is mandatory if required by the component regulation.”</w:t>
      </w:r>
    </w:p>
    <w:p w:rsidR="00A61EE7" w:rsidRPr="00E9173F" w:rsidRDefault="00A61EE7" w:rsidP="00A61EE7">
      <w:pPr>
        <w:tabs>
          <w:tab w:val="left" w:pos="2300"/>
          <w:tab w:val="left" w:pos="2800"/>
        </w:tabs>
        <w:spacing w:after="120"/>
        <w:ind w:left="2268" w:right="1134" w:hanging="1134"/>
        <w:jc w:val="both"/>
      </w:pPr>
      <w:r w:rsidRPr="00E9173F">
        <w:rPr>
          <w:i/>
        </w:rPr>
        <w:t>Paragraph 6.10.8.</w:t>
      </w:r>
      <w:r w:rsidRPr="00E9173F">
        <w:t>, amend to read:</w:t>
      </w:r>
    </w:p>
    <w:p w:rsidR="00A61EE7" w:rsidRPr="00E9173F" w:rsidRDefault="00A61EE7" w:rsidP="00A61EE7">
      <w:pPr>
        <w:tabs>
          <w:tab w:val="left" w:pos="2300"/>
          <w:tab w:val="left" w:pos="2800"/>
        </w:tabs>
        <w:spacing w:after="120"/>
        <w:ind w:left="2268" w:right="1134" w:hanging="1134"/>
        <w:jc w:val="both"/>
      </w:pPr>
      <w:r w:rsidRPr="00E9173F">
        <w:t>“6.10.8</w:t>
      </w:r>
      <w:r w:rsidRPr="00E9173F">
        <w:tab/>
        <w:t>Tell-tale</w:t>
      </w:r>
    </w:p>
    <w:p w:rsidR="00A61EE7" w:rsidRPr="00E9173F" w:rsidRDefault="00A61EE7" w:rsidP="00A61EE7">
      <w:pPr>
        <w:tabs>
          <w:tab w:val="left" w:pos="2800"/>
        </w:tabs>
        <w:spacing w:after="120"/>
        <w:ind w:left="2268" w:right="1134"/>
        <w:jc w:val="both"/>
        <w:rPr>
          <w:rFonts w:eastAsia="MS Mincho"/>
          <w:lang w:eastAsia="fr-FR"/>
        </w:rPr>
      </w:pPr>
      <w:r w:rsidRPr="0035516E">
        <w:rPr>
          <w:rFonts w:eastAsia="MS Mincho"/>
          <w:lang w:eastAsia="fr-FR"/>
        </w:rPr>
        <w:t>Circuit</w:t>
      </w:r>
      <w:r w:rsidRPr="00E9173F">
        <w:rPr>
          <w:rFonts w:eastAsia="MS Mincho"/>
          <w:lang w:eastAsia="fr-FR"/>
        </w:rPr>
        <w:t>-closed tell-tale mandatory. It shall be combined with that of the front position lamps.</w:t>
      </w:r>
    </w:p>
    <w:p w:rsidR="00A61EE7" w:rsidRPr="00E9173F" w:rsidRDefault="00A61EE7" w:rsidP="00A61EE7">
      <w:pPr>
        <w:tabs>
          <w:tab w:val="left" w:pos="2800"/>
        </w:tabs>
        <w:spacing w:after="120"/>
        <w:ind w:left="2268" w:right="1134"/>
        <w:jc w:val="both"/>
        <w:rPr>
          <w:rFonts w:eastAsia="MS Mincho"/>
          <w:b/>
          <w:lang w:eastAsia="fr-FR"/>
        </w:rPr>
      </w:pPr>
      <w:r w:rsidRPr="00E9173F">
        <w:rPr>
          <w:rFonts w:eastAsia="MS Mincho"/>
          <w:b/>
          <w:lang w:eastAsia="fr-FR"/>
        </w:rPr>
        <w:t xml:space="preserve">This requirement does not apply when </w:t>
      </w:r>
      <w:r w:rsidRPr="00E23B39">
        <w:rPr>
          <w:rFonts w:eastAsia="MS Mincho"/>
          <w:b/>
          <w:lang w:eastAsia="fr-FR"/>
        </w:rPr>
        <w:t>light signalling system operates</w:t>
      </w:r>
      <w:r w:rsidRPr="00E9173F" w:rsidDel="006E564B">
        <w:rPr>
          <w:rFonts w:eastAsia="MS Mincho"/>
          <w:b/>
          <w:lang w:eastAsia="fr-FR"/>
        </w:rPr>
        <w:t xml:space="preserve"> </w:t>
      </w:r>
      <w:r w:rsidRPr="00E9173F">
        <w:rPr>
          <w:rFonts w:eastAsia="MS Mincho"/>
          <w:b/>
          <w:lang w:eastAsia="fr-FR"/>
        </w:rPr>
        <w:t>according to paragraph 6.19.7.4.</w:t>
      </w:r>
    </w:p>
    <w:p w:rsidR="00A61EE7" w:rsidRPr="0035516E" w:rsidRDefault="00A61EE7" w:rsidP="00A61EE7">
      <w:pPr>
        <w:tabs>
          <w:tab w:val="left" w:pos="2800"/>
        </w:tabs>
        <w:spacing w:after="120"/>
        <w:ind w:left="2268" w:right="1134"/>
        <w:jc w:val="both"/>
        <w:rPr>
          <w:rFonts w:eastAsia="MS Mincho"/>
          <w:lang w:eastAsia="fr-FR"/>
        </w:rPr>
      </w:pPr>
      <w:r w:rsidRPr="00E9173F">
        <w:rPr>
          <w:rFonts w:eastAsia="MS Mincho"/>
          <w:lang w:eastAsia="fr-FR"/>
        </w:rPr>
        <w:t>However, a tell-tale indicating failure is mandatory if required by the component regulation.”</w:t>
      </w:r>
    </w:p>
    <w:p w:rsidR="00A61EE7" w:rsidRPr="00E9173F" w:rsidRDefault="00A61EE7" w:rsidP="00A61EE7">
      <w:pPr>
        <w:tabs>
          <w:tab w:val="left" w:pos="2300"/>
          <w:tab w:val="left" w:pos="2800"/>
        </w:tabs>
        <w:spacing w:after="120"/>
        <w:ind w:left="2268" w:right="1134" w:hanging="1134"/>
        <w:jc w:val="both"/>
      </w:pPr>
      <w:r w:rsidRPr="00E9173F">
        <w:rPr>
          <w:i/>
        </w:rPr>
        <w:t>Paragraph 6.19.7.4.</w:t>
      </w:r>
      <w:r w:rsidRPr="00E9173F">
        <w:t>, amend to read:</w:t>
      </w:r>
    </w:p>
    <w:p w:rsidR="001405F0" w:rsidRPr="005A467E" w:rsidRDefault="00A61EE7" w:rsidP="00A61EE7">
      <w:pPr>
        <w:tabs>
          <w:tab w:val="left" w:pos="2300"/>
          <w:tab w:val="left" w:pos="2800"/>
        </w:tabs>
        <w:spacing w:after="120"/>
        <w:ind w:left="2268" w:right="1134" w:hanging="1134"/>
        <w:jc w:val="both"/>
        <w:rPr>
          <w:i/>
        </w:rPr>
      </w:pPr>
      <w:r w:rsidRPr="00E9173F">
        <w:t>“6.19.7.4.</w:t>
      </w:r>
      <w:r w:rsidRPr="00E9173F">
        <w:tab/>
        <w:t xml:space="preserve">The lamps referred to in paragraph 5.11. may be switched ON when the daytime running lamps are switched ON. </w:t>
      </w:r>
      <w:r w:rsidRPr="00E9173F">
        <w:rPr>
          <w:b/>
        </w:rPr>
        <w:t>If this option is chosen, at least the rear position lamps shall be switched ON.</w:t>
      </w:r>
      <w:r w:rsidRPr="00E9173F">
        <w:t>”</w:t>
      </w:r>
    </w:p>
    <w:p w:rsidR="00DF418A" w:rsidRPr="00DF418A" w:rsidRDefault="00E87504" w:rsidP="00980C28">
      <w:pPr>
        <w:pStyle w:val="HChG"/>
        <w:ind w:left="0" w:firstLine="0"/>
      </w:pPr>
      <w:r>
        <w:tab/>
        <w:t>II.</w:t>
      </w:r>
      <w:r>
        <w:tab/>
        <w:t>Justification</w:t>
      </w:r>
    </w:p>
    <w:p w:rsidR="00A61EE7" w:rsidRPr="00324E8C" w:rsidRDefault="00A61EE7" w:rsidP="00A61EE7">
      <w:pPr>
        <w:spacing w:after="120"/>
        <w:ind w:left="1134" w:right="1134"/>
        <w:jc w:val="both"/>
        <w:rPr>
          <w:lang w:val="en-US"/>
        </w:rPr>
      </w:pPr>
      <w:r>
        <w:rPr>
          <w:lang w:val="en-US"/>
        </w:rPr>
        <w:t>1.</w:t>
      </w:r>
      <w:r>
        <w:rPr>
          <w:lang w:val="en-US"/>
        </w:rPr>
        <w:tab/>
        <w:t xml:space="preserve">At its seventy-seventh session, </w:t>
      </w:r>
      <w:r w:rsidRPr="00324E8C">
        <w:rPr>
          <w:lang w:val="en-US"/>
        </w:rPr>
        <w:t xml:space="preserve">GRE adopted </w:t>
      </w:r>
      <w:r w:rsidR="002D7565">
        <w:rPr>
          <w:lang w:val="en-US"/>
        </w:rPr>
        <w:t xml:space="preserve">draft </w:t>
      </w:r>
      <w:r w:rsidRPr="00F72F32">
        <w:rPr>
          <w:lang w:val="en-US"/>
        </w:rPr>
        <w:t>supplement</w:t>
      </w:r>
      <w:r w:rsidR="002D7565">
        <w:rPr>
          <w:lang w:val="en-US"/>
        </w:rPr>
        <w:t xml:space="preserve"> [10]</w:t>
      </w:r>
      <w:r w:rsidRPr="00F72F32">
        <w:rPr>
          <w:lang w:val="en-US"/>
        </w:rPr>
        <w:t xml:space="preserve"> to</w:t>
      </w:r>
      <w:r>
        <w:rPr>
          <w:lang w:val="en-US"/>
        </w:rPr>
        <w:t xml:space="preserve"> the</w:t>
      </w:r>
      <w:r w:rsidRPr="00F72F32">
        <w:rPr>
          <w:lang w:val="en-US"/>
        </w:rPr>
        <w:t xml:space="preserve"> 06 series of amendments to Regulation No. 48, amending the provisions on automatic switching between DRL</w:t>
      </w:r>
      <w:r>
        <w:rPr>
          <w:lang w:val="en-US"/>
        </w:rPr>
        <w:t>s</w:t>
      </w:r>
      <w:r w:rsidRPr="00F72F32">
        <w:rPr>
          <w:lang w:val="en-US"/>
        </w:rPr>
        <w:t xml:space="preserve"> and headlamps</w:t>
      </w:r>
      <w:r>
        <w:rPr>
          <w:lang w:val="en-US"/>
        </w:rPr>
        <w:t xml:space="preserve"> </w:t>
      </w:r>
      <w:r w:rsidRPr="00A61EE7">
        <w:rPr>
          <w:lang w:val="en-US"/>
        </w:rPr>
        <w:t>(ECE/TRANS/WP.29/GRE/77, para. 19 and Annex II to the report)</w:t>
      </w:r>
      <w:r>
        <w:rPr>
          <w:lang w:val="en-US"/>
        </w:rPr>
        <w:t xml:space="preserve">. </w:t>
      </w:r>
      <w:r w:rsidRPr="00324E8C">
        <w:rPr>
          <w:lang w:val="en-US"/>
        </w:rPr>
        <w:t xml:space="preserve">The proposal </w:t>
      </w:r>
      <w:r w:rsidRPr="000F3787">
        <w:rPr>
          <w:lang w:val="en-US"/>
        </w:rPr>
        <w:t xml:space="preserve">removed several subparagraphs (including 5.11.1.3.) that had transitional application only </w:t>
      </w:r>
      <w:r>
        <w:rPr>
          <w:lang w:val="en-US"/>
        </w:rPr>
        <w:t xml:space="preserve">for </w:t>
      </w:r>
      <w:r w:rsidRPr="000F3787">
        <w:rPr>
          <w:lang w:val="en-US"/>
        </w:rPr>
        <w:t>the</w:t>
      </w:r>
      <w:r w:rsidRPr="00324E8C">
        <w:rPr>
          <w:lang w:val="en-US"/>
        </w:rPr>
        <w:t xml:space="preserve"> 05 series of amendments, but were kept by mistake in the 06 series of amendments as well.</w:t>
      </w:r>
    </w:p>
    <w:p w:rsidR="00A61EE7" w:rsidRPr="00E23B39" w:rsidRDefault="00A61EE7" w:rsidP="00A61EE7">
      <w:pPr>
        <w:spacing w:after="120"/>
        <w:ind w:left="1134" w:right="1134"/>
        <w:jc w:val="both"/>
        <w:rPr>
          <w:highlight w:val="yellow"/>
          <w:lang w:val="en-US"/>
        </w:rPr>
      </w:pPr>
      <w:r>
        <w:rPr>
          <w:lang w:val="en-US"/>
        </w:rPr>
        <w:t>2.</w:t>
      </w:r>
      <w:r>
        <w:rPr>
          <w:lang w:val="en-US"/>
        </w:rPr>
        <w:tab/>
      </w:r>
      <w:r w:rsidRPr="00395252">
        <w:rPr>
          <w:lang w:val="en-US"/>
        </w:rPr>
        <w:t>However, during its first two meetings, TF</w:t>
      </w:r>
      <w:r>
        <w:rPr>
          <w:lang w:val="en-US"/>
        </w:rPr>
        <w:t xml:space="preserve"> </w:t>
      </w:r>
      <w:r w:rsidRPr="00395252">
        <w:rPr>
          <w:lang w:val="en-US"/>
        </w:rPr>
        <w:t>HS decided to retain the possibility to switch ON DRL</w:t>
      </w:r>
      <w:r>
        <w:rPr>
          <w:lang w:val="en-US"/>
        </w:rPr>
        <w:t>s</w:t>
      </w:r>
      <w:r w:rsidRPr="00395252">
        <w:rPr>
          <w:lang w:val="en-US"/>
        </w:rPr>
        <w:t xml:space="preserve"> in conjunction with at least rear position lamps, without the need for </w:t>
      </w:r>
      <w:r w:rsidR="002D7565">
        <w:rPr>
          <w:lang w:val="en-US"/>
        </w:rPr>
        <w:t xml:space="preserve">the </w:t>
      </w:r>
      <w:r w:rsidRPr="00395252">
        <w:rPr>
          <w:lang w:val="en-US"/>
        </w:rPr>
        <w:t>position</w:t>
      </w:r>
      <w:r w:rsidRPr="00324E8C">
        <w:rPr>
          <w:lang w:val="en-US"/>
        </w:rPr>
        <w:t xml:space="preserve"> lamps tell-tale in that case.</w:t>
      </w:r>
      <w:r>
        <w:rPr>
          <w:lang w:val="en-US"/>
        </w:rPr>
        <w:t xml:space="preserve"> </w:t>
      </w:r>
      <w:r w:rsidRPr="00053000">
        <w:rPr>
          <w:lang w:val="en-US"/>
        </w:rPr>
        <w:t>This</w:t>
      </w:r>
      <w:r>
        <w:rPr>
          <w:lang w:val="en-US"/>
        </w:rPr>
        <w:t xml:space="preserve"> </w:t>
      </w:r>
      <w:r w:rsidRPr="00324E8C">
        <w:rPr>
          <w:lang w:val="en-US"/>
        </w:rPr>
        <w:t xml:space="preserve">solution is necessary for </w:t>
      </w:r>
      <w:r w:rsidRPr="00053000">
        <w:rPr>
          <w:lang w:val="en-US"/>
        </w:rPr>
        <w:t xml:space="preserve">some </w:t>
      </w:r>
      <w:r>
        <w:rPr>
          <w:lang w:val="en-US"/>
        </w:rPr>
        <w:t>c</w:t>
      </w:r>
      <w:r w:rsidRPr="00053000">
        <w:rPr>
          <w:lang w:val="en-US"/>
        </w:rPr>
        <w:t>ountries</w:t>
      </w:r>
      <w:r w:rsidRPr="00324E8C">
        <w:rPr>
          <w:lang w:val="en-US"/>
        </w:rPr>
        <w:t xml:space="preserve"> and is also logical from an energy saving perspective, because not all other lamps (referred to in paragraph 5.11.) necessarily need to be switched ON. </w:t>
      </w:r>
      <w:r>
        <w:rPr>
          <w:lang w:val="en-US"/>
        </w:rPr>
        <w:t xml:space="preserve"> </w:t>
      </w:r>
    </w:p>
    <w:p w:rsidR="00A61EE7" w:rsidRDefault="00A61EE7" w:rsidP="0054033E">
      <w:pPr>
        <w:widowControl w:val="0"/>
        <w:tabs>
          <w:tab w:val="left" w:pos="-1440"/>
        </w:tabs>
        <w:autoSpaceDE w:val="0"/>
        <w:autoSpaceDN w:val="0"/>
        <w:adjustRightInd w:val="0"/>
        <w:spacing w:after="120"/>
        <w:ind w:left="1134" w:right="1134"/>
        <w:jc w:val="both"/>
        <w:rPr>
          <w:lang w:val="en-US"/>
        </w:rPr>
      </w:pPr>
      <w:r>
        <w:rPr>
          <w:lang w:val="en-US"/>
        </w:rPr>
        <w:lastRenderedPageBreak/>
        <w:t>3.</w:t>
      </w:r>
      <w:r>
        <w:rPr>
          <w:lang w:val="en-US"/>
        </w:rPr>
        <w:tab/>
      </w:r>
      <w:r w:rsidRPr="0056582E">
        <w:rPr>
          <w:lang w:val="en-US"/>
        </w:rPr>
        <w:t>In addition, this propos</w:t>
      </w:r>
      <w:r>
        <w:rPr>
          <w:lang w:val="en-US"/>
        </w:rPr>
        <w:t xml:space="preserve">al </w:t>
      </w:r>
      <w:r w:rsidRPr="0056582E">
        <w:rPr>
          <w:lang w:val="en-US"/>
        </w:rPr>
        <w:t>corrects a wrong reference to the deleted paragraph in paragraph 6.2.7.7.</w:t>
      </w:r>
      <w:r w:rsidR="002D7565">
        <w:rPr>
          <w:lang w:val="en-US"/>
        </w:rPr>
        <w:t xml:space="preserve">, which was introduced by draft </w:t>
      </w:r>
      <w:r w:rsidRPr="0056582E">
        <w:rPr>
          <w:lang w:val="en-US"/>
        </w:rPr>
        <w:t>supplement [</w:t>
      </w:r>
      <w:r w:rsidR="002D7565">
        <w:rPr>
          <w:lang w:val="en-US"/>
        </w:rPr>
        <w:t>10</w:t>
      </w:r>
      <w:r w:rsidRPr="0056582E">
        <w:rPr>
          <w:lang w:val="en-US"/>
        </w:rPr>
        <w:t xml:space="preserve">] to </w:t>
      </w:r>
      <w:r w:rsidR="002D7565">
        <w:rPr>
          <w:lang w:val="en-US"/>
        </w:rPr>
        <w:t xml:space="preserve">the 06 series of amendments to </w:t>
      </w:r>
      <w:r w:rsidRPr="0056582E">
        <w:rPr>
          <w:lang w:val="en-US"/>
        </w:rPr>
        <w:t>R</w:t>
      </w:r>
      <w:r w:rsidR="002D7565">
        <w:rPr>
          <w:lang w:val="en-US"/>
        </w:rPr>
        <w:t>egulation No. 48</w:t>
      </w:r>
      <w:r w:rsidRPr="0056582E">
        <w:rPr>
          <w:lang w:val="en-US"/>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95C7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95C73">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71" w:rsidRDefault="00D13871" w:rsidP="00D1387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5489413</wp:posOffset>
          </wp:positionH>
          <wp:positionV relativeFrom="margin">
            <wp:posOffset>7922880</wp:posOffset>
          </wp:positionV>
          <wp:extent cx="638175" cy="638175"/>
          <wp:effectExtent l="0" t="0" r="9525" b="9525"/>
          <wp:wrapNone/>
          <wp:docPr id="2" name="Picture 1" descr="https://undocs.org/m2/QRCode.ashx?DS=ECE/TRANS/WP.29/GRE/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4330700</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13871" w:rsidRDefault="00D13871" w:rsidP="00D13871">
    <w:pPr>
      <w:pStyle w:val="Footer"/>
      <w:ind w:right="1134"/>
      <w:rPr>
        <w:sz w:val="20"/>
      </w:rPr>
    </w:pPr>
    <w:r>
      <w:rPr>
        <w:sz w:val="20"/>
      </w:rPr>
      <w:t>GE.17-13403(E)</w:t>
    </w:r>
  </w:p>
  <w:p w:rsidR="00D13871" w:rsidRPr="00D13871" w:rsidRDefault="00D13871" w:rsidP="00D138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A61EE7" w:rsidRPr="00B14735" w:rsidRDefault="00A61EE7" w:rsidP="00A61EE7">
      <w:pPr>
        <w:pStyle w:val="FootnoteText"/>
        <w:tabs>
          <w:tab w:val="clear" w:pos="1021"/>
        </w:tabs>
        <w:ind w:hanging="283"/>
        <w:rPr>
          <w:rFonts w:eastAsia="Calibri"/>
        </w:rPr>
      </w:pPr>
      <w:r w:rsidRPr="007406A7">
        <w:rPr>
          <w:rStyle w:val="FootnoteReference"/>
          <w:vertAlign w:val="baseline"/>
        </w:rPr>
        <w:t>*</w:t>
      </w:r>
      <w:r w:rsidRPr="007406A7">
        <w:tab/>
      </w:r>
      <w:r w:rsidRPr="00A138B2">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A138B2">
      <w:t>7</w:t>
    </w:r>
    <w:r w:rsidRPr="00DF418A">
      <w:t>/</w:t>
    </w:r>
    <w:r w:rsidR="00F2422D">
      <w:t>2</w:t>
    </w:r>
    <w:r w:rsidR="00A61EE7">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ECE/TRANS/WP.29/GRE/201</w:t>
    </w:r>
    <w:r w:rsidR="00A61EE7">
      <w:t>7</w:t>
    </w:r>
    <w:r w:rsidRPr="00754B4B">
      <w:t>/</w:t>
    </w:r>
    <w:r w:rsidR="00F2422D">
      <w:t>2</w:t>
    </w:r>
    <w:r w:rsidR="00A61EE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5C73"/>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1BD3"/>
    <w:rsid w:val="0023072C"/>
    <w:rsid w:val="002324C6"/>
    <w:rsid w:val="00233BB0"/>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4643"/>
    <w:rsid w:val="002D4CFC"/>
    <w:rsid w:val="002D7565"/>
    <w:rsid w:val="002E093F"/>
    <w:rsid w:val="002E1678"/>
    <w:rsid w:val="002E2EB7"/>
    <w:rsid w:val="002E4283"/>
    <w:rsid w:val="002E5684"/>
    <w:rsid w:val="002E62DB"/>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3D36"/>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0E7"/>
    <w:rsid w:val="008257B1"/>
    <w:rsid w:val="00832334"/>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B0"/>
    <w:rsid w:val="00A138B2"/>
    <w:rsid w:val="00A14A4D"/>
    <w:rsid w:val="00A1546E"/>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DF1"/>
    <w:rsid w:val="00A54EBE"/>
    <w:rsid w:val="00A6129C"/>
    <w:rsid w:val="00A61EE7"/>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108"/>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12117"/>
    <w:rsid w:val="00D13871"/>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11A0"/>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5DC0"/>
    <w:rsid w:val="00F20293"/>
    <w:rsid w:val="00F211B8"/>
    <w:rsid w:val="00F2422D"/>
    <w:rsid w:val="00F2770E"/>
    <w:rsid w:val="00F31279"/>
    <w:rsid w:val="00F31E5F"/>
    <w:rsid w:val="00F435BD"/>
    <w:rsid w:val="00F452EF"/>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181B-6263-4D3A-A712-5286E71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548</Words>
  <Characters>3128</Characters>
  <Application>Microsoft Office Word</Application>
  <DocSecurity>4</DocSecurity>
  <Lines>26</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1713403</vt:lpstr>
      <vt:lpstr>United Nations</vt:lpstr>
      <vt:lpstr>United Nations</vt:lpstr>
    </vt:vector>
  </TitlesOfParts>
  <Company>CSD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1713403</dc:title>
  <dc:subject>ECE/TRANS/WP.29/GRE/2017/23</dc:subject>
  <dc:creator>Romain HUBERT</dc:creator>
  <cp:lastModifiedBy>Benedicte Boudol</cp:lastModifiedBy>
  <cp:revision>2</cp:revision>
  <cp:lastPrinted>2017-08-04T13:55:00Z</cp:lastPrinted>
  <dcterms:created xsi:type="dcterms:W3CDTF">2017-09-13T13:32:00Z</dcterms:created>
  <dcterms:modified xsi:type="dcterms:W3CDTF">2017-09-13T13:32:00Z</dcterms:modified>
</cp:coreProperties>
</file>