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F60E86">
            <w:pPr>
              <w:jc w:val="right"/>
            </w:pPr>
            <w:r w:rsidRPr="00C64574">
              <w:rPr>
                <w:sz w:val="40"/>
              </w:rPr>
              <w:t>ECE</w:t>
            </w:r>
            <w:r w:rsidRPr="00C64574">
              <w:t>/TRANS/WP.29/GR</w:t>
            </w:r>
            <w:r w:rsidR="009B385D">
              <w:t>E</w:t>
            </w:r>
            <w:r w:rsidRPr="00C64574">
              <w:t>/201</w:t>
            </w:r>
            <w:r w:rsidR="00A138B2">
              <w:t>7</w:t>
            </w:r>
            <w:r w:rsidRPr="00C64574">
              <w:t>/</w:t>
            </w:r>
            <w:r w:rsidR="00F60E86">
              <w:t>14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841D2C" w:rsidP="00D5792F">
            <w:pPr>
              <w:spacing w:line="240" w:lineRule="exact"/>
            </w:pPr>
            <w:r>
              <w:t>10</w:t>
            </w:r>
            <w:r w:rsidR="007A3BAE">
              <w:t xml:space="preserve"> August 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54033E" w:rsidP="0054033E">
      <w:pPr>
        <w:rPr>
          <w:b/>
        </w:rPr>
      </w:pPr>
      <w:r w:rsidRPr="004B2237">
        <w:rPr>
          <w:b/>
        </w:rPr>
        <w:t>Seventy-</w:t>
      </w:r>
      <w:r>
        <w:rPr>
          <w:b/>
        </w:rPr>
        <w:t>eighth</w:t>
      </w:r>
      <w:r w:rsidRPr="004B2237">
        <w:rPr>
          <w:b/>
        </w:rPr>
        <w:t xml:space="preserve"> </w:t>
      </w:r>
      <w:proofErr w:type="gramStart"/>
      <w:r w:rsidRPr="004B2237">
        <w:rPr>
          <w:b/>
        </w:rPr>
        <w:t>session</w:t>
      </w:r>
      <w:proofErr w:type="gramEnd"/>
    </w:p>
    <w:p w:rsidR="0054033E" w:rsidRPr="00D315CD" w:rsidRDefault="0054033E" w:rsidP="0054033E">
      <w:pPr>
        <w:rPr>
          <w:bCs/>
        </w:rPr>
      </w:pPr>
      <w:r w:rsidRPr="00D315CD">
        <w:t>Geneva</w:t>
      </w:r>
      <w:r w:rsidRPr="00D315CD">
        <w:rPr>
          <w:bCs/>
        </w:rPr>
        <w:t>, 24–27 October 2017</w:t>
      </w:r>
    </w:p>
    <w:p w:rsidR="00DE2082" w:rsidRPr="00DC35BB" w:rsidRDefault="00DE2082" w:rsidP="00DE2082">
      <w:pPr>
        <w:ind w:right="1134"/>
        <w:rPr>
          <w:bCs/>
        </w:rPr>
      </w:pPr>
      <w:r w:rsidRPr="00DC35BB">
        <w:rPr>
          <w:bCs/>
        </w:rPr>
        <w:t xml:space="preserve">Item </w:t>
      </w:r>
      <w:r w:rsidR="009D7631">
        <w:rPr>
          <w:bCs/>
        </w:rPr>
        <w:t>4</w:t>
      </w:r>
      <w:r w:rsidRPr="00DC35BB">
        <w:rPr>
          <w:bCs/>
        </w:rPr>
        <w:t xml:space="preserve"> of the provisional agenda</w:t>
      </w:r>
    </w:p>
    <w:p w:rsidR="00DE2082" w:rsidRDefault="009D7631" w:rsidP="00DE2082">
      <w:pPr>
        <w:ind w:right="1134"/>
        <w:rPr>
          <w:bCs/>
        </w:rPr>
      </w:pPr>
      <w:r>
        <w:rPr>
          <w:b/>
          <w:bCs/>
        </w:rPr>
        <w:t xml:space="preserve">Simplification of lighting and light-signalling </w:t>
      </w:r>
      <w:r w:rsidR="00DE2082" w:rsidRPr="00DC35BB">
        <w:rPr>
          <w:b/>
          <w:bCs/>
        </w:rPr>
        <w:t xml:space="preserve">Regulations </w:t>
      </w:r>
    </w:p>
    <w:p w:rsidR="0054033E" w:rsidRPr="00190E1E" w:rsidRDefault="009D7631" w:rsidP="0054033E">
      <w:pPr>
        <w:pStyle w:val="HChG"/>
        <w:tabs>
          <w:tab w:val="clear" w:pos="851"/>
        </w:tabs>
        <w:ind w:firstLine="0"/>
        <w:rPr>
          <w:szCs w:val="28"/>
        </w:rPr>
      </w:pPr>
      <w:r w:rsidRPr="009D7631">
        <w:rPr>
          <w:szCs w:val="28"/>
        </w:rPr>
        <w:t xml:space="preserve">Proposal to introduce requirements for the use of </w:t>
      </w:r>
      <w:r>
        <w:rPr>
          <w:szCs w:val="28"/>
        </w:rPr>
        <w:t xml:space="preserve">light emitting diode </w:t>
      </w:r>
      <w:r w:rsidRPr="009D7631">
        <w:rPr>
          <w:szCs w:val="28"/>
        </w:rPr>
        <w:t xml:space="preserve">substitute light sources in the new Regulation </w:t>
      </w:r>
      <w:r>
        <w:rPr>
          <w:szCs w:val="28"/>
        </w:rPr>
        <w:t>on L</w:t>
      </w:r>
      <w:r w:rsidRPr="009D7631">
        <w:rPr>
          <w:szCs w:val="28"/>
        </w:rPr>
        <w:t>ight</w:t>
      </w:r>
      <w:r w:rsidR="00CE4032">
        <w:rPr>
          <w:szCs w:val="28"/>
        </w:rPr>
        <w:t>-</w:t>
      </w:r>
      <w:r>
        <w:rPr>
          <w:szCs w:val="28"/>
        </w:rPr>
        <w:t>S</w:t>
      </w:r>
      <w:r w:rsidRPr="009D7631">
        <w:rPr>
          <w:szCs w:val="28"/>
        </w:rPr>
        <w:t xml:space="preserve">ignalling </w:t>
      </w:r>
      <w:r>
        <w:rPr>
          <w:szCs w:val="28"/>
        </w:rPr>
        <w:t>D</w:t>
      </w:r>
      <w:r w:rsidRPr="009D7631">
        <w:rPr>
          <w:szCs w:val="28"/>
        </w:rPr>
        <w:t>evices</w:t>
      </w:r>
      <w:r>
        <w:rPr>
          <w:szCs w:val="28"/>
        </w:rPr>
        <w:t xml:space="preserve"> </w:t>
      </w:r>
    </w:p>
    <w:p w:rsidR="0054033E" w:rsidRPr="00D315CD" w:rsidRDefault="0054033E" w:rsidP="0054033E">
      <w:pPr>
        <w:pStyle w:val="H1G"/>
        <w:ind w:right="1467" w:firstLine="0"/>
        <w:jc w:val="both"/>
      </w:pPr>
      <w:r w:rsidRPr="00D315CD">
        <w:t>Submitted by the expert from the International Automotive Lighting and Light</w:t>
      </w:r>
      <w:r>
        <w:t>-</w:t>
      </w:r>
      <w:r w:rsidRPr="00D315CD">
        <w:t>Signalling Expert Group (GTB)</w:t>
      </w:r>
      <w:r w:rsidRPr="00DF418A">
        <w:rPr>
          <w:vertAlign w:val="superscript"/>
        </w:rPr>
        <w:footnoteReference w:customMarkFollows="1" w:id="2"/>
        <w:t>*</w:t>
      </w:r>
    </w:p>
    <w:p w:rsidR="009D7631" w:rsidRDefault="009D7631" w:rsidP="00DE2082">
      <w:pPr>
        <w:spacing w:before="120"/>
        <w:ind w:left="1134" w:right="1134" w:firstLine="567"/>
        <w:jc w:val="both"/>
      </w:pPr>
      <w:r w:rsidRPr="009D7631">
        <w:t xml:space="preserve">The text reproduced below was prepared by the expert from GTB to introduce requirements for </w:t>
      </w:r>
      <w:r w:rsidRPr="00F7570D">
        <w:t>light emitting diode</w:t>
      </w:r>
      <w:r w:rsidRPr="009D7631">
        <w:t xml:space="preserve"> </w:t>
      </w:r>
      <w:r>
        <w:t>(</w:t>
      </w:r>
      <w:r w:rsidRPr="009D7631">
        <w:t>LED</w:t>
      </w:r>
      <w:r>
        <w:t>)</w:t>
      </w:r>
      <w:r w:rsidRPr="009D7631">
        <w:t xml:space="preserve"> substitute light sources into the draft</w:t>
      </w:r>
      <w:r>
        <w:t xml:space="preserve"> new</w:t>
      </w:r>
      <w:r w:rsidRPr="009D7631">
        <w:t xml:space="preserve"> Regulation </w:t>
      </w:r>
      <w:r>
        <w:t>on L</w:t>
      </w:r>
      <w:r w:rsidRPr="009D7631">
        <w:t>ight</w:t>
      </w:r>
      <w:r w:rsidR="00CE4032">
        <w:t>-</w:t>
      </w:r>
      <w:r>
        <w:t>S</w:t>
      </w:r>
      <w:r w:rsidRPr="009D7631">
        <w:t xml:space="preserve">ignalling </w:t>
      </w:r>
      <w:r>
        <w:t>D</w:t>
      </w:r>
      <w:r w:rsidRPr="009D7631">
        <w:t xml:space="preserve">evices (LSD). This text was already presented to </w:t>
      </w:r>
      <w:r>
        <w:t xml:space="preserve">the </w:t>
      </w:r>
      <w:r w:rsidRPr="009D7631">
        <w:t>Working Party on Lighting and Light-Signalling</w:t>
      </w:r>
      <w:r>
        <w:t xml:space="preserve"> (</w:t>
      </w:r>
      <w:r w:rsidRPr="009D7631">
        <w:t>GRE</w:t>
      </w:r>
      <w:r>
        <w:t>)</w:t>
      </w:r>
      <w:r w:rsidRPr="009D7631">
        <w:t xml:space="preserve"> at its </w:t>
      </w:r>
      <w:r>
        <w:t xml:space="preserve">seventy-seventh </w:t>
      </w:r>
      <w:r w:rsidRPr="009D7631">
        <w:t xml:space="preserve">session as </w:t>
      </w:r>
      <w:r>
        <w:t xml:space="preserve">informal document </w:t>
      </w:r>
      <w:r w:rsidRPr="009D7631">
        <w:t>GRE-77-15 and adopted in principle</w:t>
      </w:r>
      <w:r>
        <w:t>,</w:t>
      </w:r>
      <w:r w:rsidRPr="009D7631">
        <w:t xml:space="preserve"> pending a formal examination at the</w:t>
      </w:r>
      <w:r>
        <w:t xml:space="preserve"> seventy-eighth session of </w:t>
      </w:r>
      <w:r w:rsidRPr="009D7631">
        <w:t xml:space="preserve">GRE in conjunction with the final text of the new draft </w:t>
      </w:r>
      <w:r>
        <w:t>R</w:t>
      </w:r>
      <w:r w:rsidRPr="009D7631">
        <w:t>egulation. The modifications to the text of the new draft Regulation are marked in bold for new or striket</w:t>
      </w:r>
      <w:r w:rsidR="00D37F8F">
        <w:t>hrough for deleted characters.</w:t>
      </w:r>
    </w:p>
    <w:p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rsidR="009D7631" w:rsidRPr="00571091" w:rsidRDefault="009D7631" w:rsidP="009D7631">
      <w:pPr>
        <w:spacing w:after="120"/>
        <w:ind w:left="2268" w:right="1134" w:hanging="1134"/>
        <w:jc w:val="both"/>
      </w:pPr>
      <w:r w:rsidRPr="00571091">
        <w:rPr>
          <w:i/>
        </w:rPr>
        <w:t>Paragraph 2.1.1.,</w:t>
      </w:r>
      <w:r w:rsidRPr="00571091">
        <w:t xml:space="preserve"> amend to read:</w:t>
      </w:r>
    </w:p>
    <w:p w:rsidR="009D7631" w:rsidRPr="00571091" w:rsidRDefault="00D37F8F" w:rsidP="009D7631">
      <w:pPr>
        <w:pStyle w:val="SingleTxtG"/>
        <w:ind w:left="2268" w:hanging="1134"/>
        <w:rPr>
          <w:b/>
        </w:rPr>
      </w:pPr>
      <w:bookmarkStart w:id="1" w:name="_Toc473483452"/>
      <w:r>
        <w:rPr>
          <w:rFonts w:eastAsia="MS Mincho"/>
        </w:rPr>
        <w:t>"</w:t>
      </w:r>
      <w:r w:rsidR="009D7631" w:rsidRPr="00571091">
        <w:rPr>
          <w:bCs/>
        </w:rPr>
        <w:t>2</w:t>
      </w:r>
      <w:r w:rsidR="009D7631" w:rsidRPr="00571091">
        <w:t>.1.1.</w:t>
      </w:r>
      <w:r w:rsidR="009D7631" w:rsidRPr="00571091">
        <w:tab/>
      </w:r>
      <w:r w:rsidR="009D7631" w:rsidRPr="00571091">
        <w:rPr>
          <w:i/>
        </w:rPr>
        <w:t>"Lamps of different types"</w:t>
      </w:r>
      <w:r w:rsidR="009D7631" w:rsidRPr="00571091">
        <w:t xml:space="preserve"> means lamps, which differ in such essential respects as:</w:t>
      </w:r>
    </w:p>
    <w:p w:rsidR="009D7631" w:rsidRPr="00571091" w:rsidRDefault="00F55A63" w:rsidP="00F55A63">
      <w:pPr>
        <w:pStyle w:val="SingleTxtG"/>
        <w:ind w:left="2835" w:hanging="567"/>
        <w:rPr>
          <w:b/>
        </w:rPr>
      </w:pPr>
      <w:r>
        <w:t>(</w:t>
      </w:r>
      <w:r w:rsidR="00D37F8F">
        <w:t>a)</w:t>
      </w:r>
      <w:r w:rsidR="00D37F8F">
        <w:tab/>
        <w:t>T</w:t>
      </w:r>
      <w:r w:rsidR="009D7631" w:rsidRPr="00571091">
        <w:t>he trade name or mark:</w:t>
      </w:r>
    </w:p>
    <w:p w:rsidR="009D7631" w:rsidRPr="00F55A63" w:rsidRDefault="00D37F8F" w:rsidP="00F55A63">
      <w:pPr>
        <w:pStyle w:val="SingleTxtG"/>
        <w:ind w:left="3261" w:hanging="426"/>
        <w:rPr>
          <w:rFonts w:eastAsia="Times New Roman"/>
        </w:rPr>
      </w:pPr>
      <w:r>
        <w:rPr>
          <w:rFonts w:eastAsia="Times New Roman"/>
        </w:rPr>
        <w:t>(</w:t>
      </w:r>
      <w:proofErr w:type="spellStart"/>
      <w:r>
        <w:rPr>
          <w:rFonts w:eastAsia="Times New Roman"/>
        </w:rPr>
        <w:t>i</w:t>
      </w:r>
      <w:proofErr w:type="spellEnd"/>
      <w:r>
        <w:rPr>
          <w:rFonts w:eastAsia="Times New Roman"/>
        </w:rPr>
        <w:t>)</w:t>
      </w:r>
      <w:r>
        <w:rPr>
          <w:rFonts w:eastAsia="Times New Roman"/>
        </w:rPr>
        <w:tab/>
        <w:t>L</w:t>
      </w:r>
      <w:r w:rsidR="009D7631" w:rsidRPr="00F55A63">
        <w:rPr>
          <w:rFonts w:eastAsia="Times New Roman"/>
        </w:rPr>
        <w:t>amps bearing the same trade name or mark but produced by different manufacturers are considered as being of different types;</w:t>
      </w:r>
    </w:p>
    <w:p w:rsidR="009D7631" w:rsidRPr="00F55A63" w:rsidRDefault="00D37F8F" w:rsidP="00F55A63">
      <w:pPr>
        <w:pStyle w:val="SingleTxtG"/>
        <w:ind w:left="3261" w:hanging="426"/>
        <w:rPr>
          <w:rFonts w:eastAsia="Times New Roman"/>
        </w:rPr>
      </w:pPr>
      <w:r>
        <w:rPr>
          <w:rFonts w:eastAsia="Times New Roman"/>
        </w:rPr>
        <w:t>(ii)</w:t>
      </w:r>
      <w:r>
        <w:rPr>
          <w:rFonts w:eastAsia="Times New Roman"/>
        </w:rPr>
        <w:tab/>
        <w:t>L</w:t>
      </w:r>
      <w:r w:rsidR="009D7631" w:rsidRPr="00F55A63">
        <w:rPr>
          <w:rFonts w:eastAsia="Times New Roman"/>
        </w:rPr>
        <w:t>amps produced by the same manufacturer differing only by the trade name or mark are considered as being of the same type.</w:t>
      </w:r>
    </w:p>
    <w:p w:rsidR="009D7631" w:rsidRPr="00571091" w:rsidRDefault="00F55A63" w:rsidP="00F55A63">
      <w:pPr>
        <w:pStyle w:val="SingleTxtG"/>
        <w:ind w:left="2835" w:hanging="567"/>
      </w:pPr>
      <w:r>
        <w:t>(</w:t>
      </w:r>
      <w:r w:rsidR="00D37F8F">
        <w:t>b)</w:t>
      </w:r>
      <w:r w:rsidR="00D37F8F">
        <w:tab/>
        <w:t>T</w:t>
      </w:r>
      <w:r w:rsidR="009D7631" w:rsidRPr="00571091">
        <w:t>he characteristics of the optical system (levels of intensi</w:t>
      </w:r>
      <w:r w:rsidR="00D37F8F">
        <w:t>ty, light distribution angles,</w:t>
      </w:r>
      <w:r w:rsidR="009D7631" w:rsidRPr="00571091">
        <w:t xml:space="preserve"> inclusion or elimination of components capable of altering the optical effects by reflection, refraction, absorption and/or defo</w:t>
      </w:r>
      <w:r w:rsidR="00D37F8F">
        <w:t>rmation during operation, etc.);</w:t>
      </w:r>
    </w:p>
    <w:p w:rsidR="009D7631" w:rsidRPr="00571091" w:rsidRDefault="00F55A63" w:rsidP="00F55A63">
      <w:pPr>
        <w:pStyle w:val="SingleTxtG"/>
        <w:ind w:left="2835" w:hanging="567"/>
      </w:pPr>
      <w:r>
        <w:t>(</w:t>
      </w:r>
      <w:r w:rsidR="00D37F8F">
        <w:t>c)</w:t>
      </w:r>
      <w:r w:rsidR="00D37F8F">
        <w:tab/>
        <w:t>T</w:t>
      </w:r>
      <w:r w:rsidR="009D7631" w:rsidRPr="00571091">
        <w:t>he category or categories of light source(s) used and/or the specific identification code (s</w:t>
      </w:r>
      <w:r w:rsidR="00D37F8F">
        <w:t>) of the light source module(s);</w:t>
      </w:r>
    </w:p>
    <w:p w:rsidR="009D7631" w:rsidRPr="00571091" w:rsidRDefault="00F55A63" w:rsidP="00F55A63">
      <w:pPr>
        <w:pStyle w:val="SingleTxtG"/>
        <w:ind w:left="2835" w:hanging="567"/>
      </w:pPr>
      <w:r>
        <w:t>(</w:t>
      </w:r>
      <w:r w:rsidR="00D37F8F">
        <w:t>d)</w:t>
      </w:r>
      <w:r w:rsidR="00D37F8F">
        <w:tab/>
        <w:t>T</w:t>
      </w:r>
      <w:r w:rsidR="009D7631" w:rsidRPr="00571091">
        <w:t>he category of the lamp, if any;</w:t>
      </w:r>
    </w:p>
    <w:p w:rsidR="009D7631" w:rsidRPr="00571091" w:rsidRDefault="00F55A63" w:rsidP="00F55A63">
      <w:pPr>
        <w:pStyle w:val="SingleTxtG"/>
        <w:ind w:left="2835" w:hanging="567"/>
      </w:pPr>
      <w:r>
        <w:t>(</w:t>
      </w:r>
      <w:r w:rsidR="00D37F8F">
        <w:t>e)</w:t>
      </w:r>
      <w:r w:rsidR="00D37F8F">
        <w:tab/>
        <w:t>T</w:t>
      </w:r>
      <w:r w:rsidR="009D7631" w:rsidRPr="00571091">
        <w:t>he variable intensity control, if any;</w:t>
      </w:r>
    </w:p>
    <w:p w:rsidR="009D7631" w:rsidRPr="00571091" w:rsidRDefault="00F55A63" w:rsidP="00F55A63">
      <w:pPr>
        <w:pStyle w:val="SingleTxtG"/>
        <w:ind w:left="2835" w:hanging="567"/>
      </w:pPr>
      <w:r>
        <w:t>(</w:t>
      </w:r>
      <w:r w:rsidR="00D37F8F">
        <w:t>f)</w:t>
      </w:r>
      <w:r w:rsidR="00D37F8F">
        <w:tab/>
        <w:t>T</w:t>
      </w:r>
      <w:r w:rsidR="009D7631" w:rsidRPr="00571091">
        <w:t>he sequential activation of light sources, if any.</w:t>
      </w:r>
    </w:p>
    <w:p w:rsidR="009D7631" w:rsidRPr="00571091" w:rsidRDefault="009D7631" w:rsidP="009D7631">
      <w:pPr>
        <w:spacing w:after="120"/>
        <w:ind w:left="2268" w:right="1134"/>
        <w:jc w:val="both"/>
      </w:pPr>
      <w:r w:rsidRPr="00571091">
        <w:t xml:space="preserve">Nevertheless, direction indicators capable of being activated in different modes (sequential or not) without any modification of the optical characteristics of the lamp do not constitute </w:t>
      </w:r>
      <w:r w:rsidR="00D37F8F">
        <w:rPr>
          <w:rFonts w:eastAsia="MS Mincho"/>
        </w:rPr>
        <w:t>"</w:t>
      </w:r>
      <w:r w:rsidRPr="00571091">
        <w:rPr>
          <w:i/>
        </w:rPr>
        <w:t>Direction indicators of different types</w:t>
      </w:r>
      <w:r w:rsidR="00D37F8F">
        <w:t>.</w:t>
      </w:r>
      <w:r w:rsidR="00D37F8F">
        <w:rPr>
          <w:rFonts w:eastAsia="MS Mincho"/>
        </w:rPr>
        <w:t>"</w:t>
      </w:r>
    </w:p>
    <w:p w:rsidR="009D7631" w:rsidRPr="00571091" w:rsidRDefault="009D7631" w:rsidP="009D7631">
      <w:pPr>
        <w:pStyle w:val="SingleTxtG"/>
        <w:ind w:left="2268"/>
        <w:rPr>
          <w:bCs/>
        </w:rPr>
      </w:pPr>
      <w:r w:rsidRPr="00571091">
        <w:rPr>
          <w:bCs/>
        </w:rPr>
        <w:t>A change of the colour of the light source or the colour of any filter does n</w:t>
      </w:r>
      <w:r w:rsidR="00D37F8F">
        <w:rPr>
          <w:bCs/>
        </w:rPr>
        <w:t>ot constitute a change of type.</w:t>
      </w:r>
    </w:p>
    <w:bookmarkEnd w:id="1"/>
    <w:p w:rsidR="009D7631" w:rsidRPr="00571091" w:rsidRDefault="009D7631" w:rsidP="009D7631">
      <w:pPr>
        <w:pStyle w:val="para"/>
        <w:ind w:firstLine="0"/>
        <w:rPr>
          <w:b/>
          <w:lang w:val="en-GB"/>
        </w:rPr>
      </w:pPr>
      <w:r w:rsidRPr="00571091">
        <w:rPr>
          <w:b/>
          <w:lang w:val="en-GB"/>
        </w:rPr>
        <w:t>The use of LED substitute light source(s) does not constitute a chang</w:t>
      </w:r>
      <w:r w:rsidR="00D37F8F">
        <w:rPr>
          <w:b/>
          <w:lang w:val="en-GB"/>
        </w:rPr>
        <w:t xml:space="preserve">e of type. </w:t>
      </w:r>
      <w:r w:rsidRPr="00571091">
        <w:rPr>
          <w:b/>
          <w:lang w:val="en-GB"/>
        </w:rPr>
        <w:t xml:space="preserve">However paragraph 4.7.7. </w:t>
      </w:r>
      <w:proofErr w:type="gramStart"/>
      <w:r w:rsidRPr="00571091">
        <w:rPr>
          <w:b/>
          <w:lang w:val="en-GB"/>
        </w:rPr>
        <w:t>applies</w:t>
      </w:r>
      <w:proofErr w:type="gramEnd"/>
      <w:r w:rsidRPr="00571091">
        <w:rPr>
          <w:b/>
          <w:lang w:val="en-GB"/>
        </w:rPr>
        <w:t>.</w:t>
      </w:r>
      <w:r w:rsidR="00D37F8F">
        <w:rPr>
          <w:rFonts w:eastAsia="MS Mincho"/>
        </w:rPr>
        <w:t>"</w:t>
      </w:r>
    </w:p>
    <w:p w:rsidR="009D7631" w:rsidRPr="00571091" w:rsidRDefault="009D7631" w:rsidP="009D7631">
      <w:pPr>
        <w:widowControl w:val="0"/>
        <w:spacing w:after="120"/>
        <w:ind w:left="2268" w:right="1134" w:hanging="1134"/>
        <w:jc w:val="both"/>
        <w:rPr>
          <w:i/>
        </w:rPr>
      </w:pPr>
      <w:r w:rsidRPr="00571091">
        <w:rPr>
          <w:i/>
        </w:rPr>
        <w:t>Paragraph 3.1.2.2., amend to read:</w:t>
      </w:r>
    </w:p>
    <w:p w:rsidR="009D7631" w:rsidRPr="00571091" w:rsidRDefault="00D37F8F" w:rsidP="009D7631">
      <w:pPr>
        <w:pStyle w:val="SingleTxtG"/>
        <w:ind w:left="2268" w:hanging="1134"/>
        <w:rPr>
          <w:bCs/>
        </w:rPr>
      </w:pPr>
      <w:r>
        <w:rPr>
          <w:rFonts w:eastAsia="MS Mincho"/>
        </w:rPr>
        <w:t>"</w:t>
      </w:r>
      <w:r>
        <w:rPr>
          <w:bCs/>
        </w:rPr>
        <w:t>3.1.2.2.</w:t>
      </w:r>
      <w:r>
        <w:rPr>
          <w:bCs/>
        </w:rPr>
        <w:tab/>
        <w:t>A</w:t>
      </w:r>
      <w:r w:rsidR="009D7631" w:rsidRPr="00571091">
        <w:rPr>
          <w:bCs/>
        </w:rPr>
        <w:t xml:space="preserve"> brief technical description stating in particular, with the exception of lamps with non-replaceable light sources:</w:t>
      </w:r>
    </w:p>
    <w:p w:rsidR="009D7631" w:rsidRPr="00571091" w:rsidRDefault="00F55A63" w:rsidP="009D7631">
      <w:pPr>
        <w:pStyle w:val="SingleTxtG"/>
        <w:ind w:left="2835" w:hanging="567"/>
        <w:rPr>
          <w:bCs/>
        </w:rPr>
      </w:pPr>
      <w:r>
        <w:rPr>
          <w:bCs/>
        </w:rPr>
        <w:t>(</w:t>
      </w:r>
      <w:r w:rsidR="00D37F8F">
        <w:rPr>
          <w:bCs/>
        </w:rPr>
        <w:t>a)</w:t>
      </w:r>
      <w:r w:rsidR="00D37F8F">
        <w:rPr>
          <w:bCs/>
        </w:rPr>
        <w:tab/>
        <w:t>T</w:t>
      </w:r>
      <w:r w:rsidR="009D7631" w:rsidRPr="00571091">
        <w:rPr>
          <w:bCs/>
        </w:rPr>
        <w:t xml:space="preserve">he category or categories of filament light source(s) prescribed; this filament light source category shall </w:t>
      </w:r>
      <w:r w:rsidR="00D37F8F">
        <w:rPr>
          <w:bCs/>
        </w:rPr>
        <w:t>be one of those contained in UN </w:t>
      </w:r>
      <w:r w:rsidR="009D7631" w:rsidRPr="00571091">
        <w:rPr>
          <w:bCs/>
        </w:rPr>
        <w:t>Regulation No. 37;</w:t>
      </w:r>
    </w:p>
    <w:p w:rsidR="009D7631" w:rsidRPr="00571091" w:rsidRDefault="00F55A63" w:rsidP="009D7631">
      <w:pPr>
        <w:pStyle w:val="SingleTxtG"/>
        <w:ind w:left="2835" w:hanging="567"/>
        <w:rPr>
          <w:bCs/>
        </w:rPr>
      </w:pPr>
      <w:r>
        <w:rPr>
          <w:bCs/>
        </w:rPr>
        <w:t>(</w:t>
      </w:r>
      <w:r w:rsidR="00D37F8F">
        <w:rPr>
          <w:bCs/>
        </w:rPr>
        <w:t>b)</w:t>
      </w:r>
      <w:r w:rsidR="00D37F8F">
        <w:rPr>
          <w:bCs/>
        </w:rPr>
        <w:tab/>
        <w:t>T</w:t>
      </w:r>
      <w:r w:rsidR="009D7631" w:rsidRPr="00571091">
        <w:rPr>
          <w:bCs/>
        </w:rPr>
        <w:t xml:space="preserve">he category or categories of LED light source(s) prescribed; this LED light source category shall </w:t>
      </w:r>
      <w:r w:rsidR="00D37F8F">
        <w:rPr>
          <w:bCs/>
        </w:rPr>
        <w:t>be one of those contained in UN Regulation No. 128;</w:t>
      </w:r>
    </w:p>
    <w:p w:rsidR="009D7631" w:rsidRPr="00571091" w:rsidRDefault="00F55A63" w:rsidP="009D7631">
      <w:pPr>
        <w:widowControl w:val="0"/>
        <w:spacing w:after="120"/>
        <w:ind w:left="2835" w:right="1134" w:hanging="567"/>
        <w:jc w:val="both"/>
        <w:rPr>
          <w:b/>
        </w:rPr>
      </w:pPr>
      <w:r>
        <w:rPr>
          <w:bCs/>
        </w:rPr>
        <w:t>(</w:t>
      </w:r>
      <w:r w:rsidR="00D37F8F">
        <w:rPr>
          <w:bCs/>
        </w:rPr>
        <w:t>c)</w:t>
      </w:r>
      <w:r w:rsidR="00D37F8F">
        <w:rPr>
          <w:bCs/>
        </w:rPr>
        <w:tab/>
        <w:t>T</w:t>
      </w:r>
      <w:r w:rsidR="009D7631" w:rsidRPr="00571091">
        <w:rPr>
          <w:bCs/>
        </w:rPr>
        <w:t>he light source module specific identification code</w:t>
      </w:r>
      <w:r w:rsidR="009D7631" w:rsidRPr="00D37F8F">
        <w:t>;</w:t>
      </w:r>
    </w:p>
    <w:p w:rsidR="009D7631" w:rsidRPr="00571091" w:rsidRDefault="00F55A63" w:rsidP="009D7631">
      <w:pPr>
        <w:pStyle w:val="SingleTxtG"/>
        <w:ind w:left="2835" w:hanging="567"/>
        <w:rPr>
          <w:b/>
          <w:bCs/>
        </w:rPr>
      </w:pPr>
      <w:r>
        <w:rPr>
          <w:b/>
        </w:rPr>
        <w:t>(</w:t>
      </w:r>
      <w:r w:rsidR="00D37F8F">
        <w:rPr>
          <w:b/>
        </w:rPr>
        <w:t>d)</w:t>
      </w:r>
      <w:r w:rsidR="009D7631" w:rsidRPr="00571091">
        <w:rPr>
          <w:b/>
        </w:rPr>
        <w:tab/>
        <w:t xml:space="preserve">In the case where, at the discretion of the applicant, the lamp also has to be approved with the </w:t>
      </w:r>
      <w:r w:rsidR="009D7631" w:rsidRPr="00571091">
        <w:rPr>
          <w:b/>
          <w:bCs/>
        </w:rPr>
        <w:t xml:space="preserve">LED substitute light source(s) according to Regulation No. 128, this shall </w:t>
      </w:r>
      <w:r w:rsidR="00D37F8F">
        <w:rPr>
          <w:b/>
          <w:bCs/>
        </w:rPr>
        <w:t>be specified in the description</w:t>
      </w:r>
      <w:r w:rsidR="00D37F8F" w:rsidRPr="00D37F8F">
        <w:rPr>
          <w:bCs/>
        </w:rPr>
        <w:t>;</w:t>
      </w:r>
    </w:p>
    <w:p w:rsidR="009D7631" w:rsidRPr="00571091" w:rsidRDefault="00F55A63" w:rsidP="009D7631">
      <w:pPr>
        <w:pStyle w:val="SingleTxtG"/>
        <w:ind w:left="2835" w:hanging="567"/>
      </w:pPr>
      <w:r w:rsidRPr="00D37F8F">
        <w:rPr>
          <w:b/>
          <w:bCs/>
        </w:rPr>
        <w:lastRenderedPageBreak/>
        <w:t>(</w:t>
      </w:r>
      <w:r w:rsidR="009D7631" w:rsidRPr="00D37F8F">
        <w:rPr>
          <w:b/>
          <w:bCs/>
        </w:rPr>
        <w:t>e)</w:t>
      </w:r>
      <w:r w:rsidR="009D7631" w:rsidRPr="00571091">
        <w:rPr>
          <w:b/>
          <w:bCs/>
        </w:rPr>
        <w:tab/>
      </w:r>
      <w:r w:rsidR="00D37F8F">
        <w:rPr>
          <w:bCs/>
        </w:rPr>
        <w:t>I</w:t>
      </w:r>
      <w:r w:rsidR="009D7631" w:rsidRPr="00571091">
        <w:rPr>
          <w:bCs/>
        </w:rPr>
        <w:t>n the case of a category S3 or S4 stop lamp, which is intended to be mounted inside the vehicle, the technical description shall contain the specification of the optical properties (transmission, colour, inclination, etc.) of the rear window(s).</w:t>
      </w:r>
      <w:r w:rsidR="00D37F8F">
        <w:rPr>
          <w:rFonts w:eastAsia="MS Mincho"/>
        </w:rPr>
        <w:t>"</w:t>
      </w:r>
    </w:p>
    <w:p w:rsidR="009D7631" w:rsidRPr="00571091" w:rsidRDefault="009D7631" w:rsidP="009D7631">
      <w:pPr>
        <w:spacing w:after="120"/>
        <w:ind w:left="2268" w:right="1134" w:hanging="1134"/>
        <w:jc w:val="both"/>
      </w:pPr>
      <w:r w:rsidRPr="00571091">
        <w:rPr>
          <w:i/>
        </w:rPr>
        <w:t xml:space="preserve">Paragraph 3.3.4.1.1., </w:t>
      </w:r>
      <w:r w:rsidRPr="00571091">
        <w:t>amend to read:</w:t>
      </w:r>
    </w:p>
    <w:p w:rsidR="009D7631" w:rsidRPr="00571091" w:rsidRDefault="00D37F8F" w:rsidP="009D7631">
      <w:pPr>
        <w:spacing w:after="120"/>
        <w:ind w:left="2268" w:right="1134" w:hanging="1134"/>
        <w:jc w:val="both"/>
      </w:pPr>
      <w:r>
        <w:rPr>
          <w:rFonts w:eastAsia="MS Mincho"/>
        </w:rPr>
        <w:t>"</w:t>
      </w:r>
      <w:r w:rsidR="009D7631" w:rsidRPr="00571091">
        <w:t>3.3.4.1.1.</w:t>
      </w:r>
      <w:r w:rsidR="009D7631" w:rsidRPr="00571091">
        <w:tab/>
        <w:t>In any case the approval mark and the additional symbols or the Unique Identifier</w:t>
      </w:r>
      <w:r w:rsidR="009D7631" w:rsidRPr="00571091">
        <w:rPr>
          <w:b/>
        </w:rPr>
        <w:t>, as well as the category or categories of light source(s) prescribed,</w:t>
      </w:r>
      <w:r w:rsidR="009D7631" w:rsidRPr="00571091">
        <w:t xml:space="preserve"> shall be visible when the lamp is fitted on the vehicle or when a movable part such as the hood o</w:t>
      </w:r>
      <w:r>
        <w:t>r boot lid or a door is opened.</w:t>
      </w:r>
      <w:r>
        <w:rPr>
          <w:rFonts w:eastAsia="MS Mincho"/>
        </w:rPr>
        <w:t>"</w:t>
      </w:r>
    </w:p>
    <w:p w:rsidR="009D7631" w:rsidRPr="00571091" w:rsidRDefault="009D7631" w:rsidP="009D7631">
      <w:pPr>
        <w:spacing w:after="120"/>
        <w:ind w:left="2268" w:right="1134" w:hanging="1134"/>
        <w:jc w:val="both"/>
      </w:pPr>
      <w:r w:rsidRPr="00571091">
        <w:rPr>
          <w:i/>
        </w:rPr>
        <w:t xml:space="preserve">Paragraph 3.3.4.3., </w:t>
      </w:r>
      <w:r w:rsidRPr="00571091">
        <w:t>amend to read:</w:t>
      </w:r>
    </w:p>
    <w:p w:rsidR="009D7631" w:rsidRPr="00571091" w:rsidRDefault="00D37F8F" w:rsidP="009D7631">
      <w:pPr>
        <w:pStyle w:val="para"/>
        <w:rPr>
          <w:lang w:val="en-GB"/>
        </w:rPr>
      </w:pPr>
      <w:r>
        <w:rPr>
          <w:rFonts w:eastAsia="MS Mincho"/>
        </w:rPr>
        <w:t>"</w:t>
      </w:r>
      <w:r w:rsidR="009D7631" w:rsidRPr="00571091">
        <w:rPr>
          <w:lang w:val="en-GB"/>
        </w:rPr>
        <w:t>3.3.4.3.</w:t>
      </w:r>
      <w:r w:rsidR="009D7631" w:rsidRPr="00571091">
        <w:rPr>
          <w:lang w:val="en-GB"/>
        </w:rPr>
        <w:tab/>
        <w:t xml:space="preserve">With the exception of lamps with non-replaceable light sources, bear a clearly legible and indelible marking </w:t>
      </w:r>
      <w:proofErr w:type="gramStart"/>
      <w:r w:rsidR="009D7631" w:rsidRPr="00571091">
        <w:rPr>
          <w:lang w:val="en-GB"/>
        </w:rPr>
        <w:t>indicating:</w:t>
      </w:r>
      <w:proofErr w:type="gramEnd"/>
    </w:p>
    <w:p w:rsidR="009D7631" w:rsidRPr="00571091" w:rsidRDefault="00D37F8F" w:rsidP="009D7631">
      <w:pPr>
        <w:widowControl w:val="0"/>
        <w:spacing w:after="120"/>
        <w:ind w:left="2268" w:right="1134" w:hanging="1134"/>
        <w:jc w:val="both"/>
      </w:pPr>
      <w:r>
        <w:rPr>
          <w:snapToGrid w:val="0"/>
        </w:rPr>
        <w:tab/>
        <w:t>(a)</w:t>
      </w:r>
      <w:r>
        <w:rPr>
          <w:snapToGrid w:val="0"/>
        </w:rPr>
        <w:tab/>
        <w:t>T</w:t>
      </w:r>
      <w:r w:rsidR="009D7631" w:rsidRPr="00571091">
        <w:rPr>
          <w:snapToGrid w:val="0"/>
        </w:rPr>
        <w:t>he category or categories of light source(s) prescribed;</w:t>
      </w:r>
      <w:r w:rsidR="009D7631" w:rsidRPr="00571091">
        <w:rPr>
          <w:b/>
          <w:snapToGrid w:val="0"/>
        </w:rPr>
        <w:t xml:space="preserve"> </w:t>
      </w:r>
      <w:r w:rsidR="009D7631" w:rsidRPr="00571091">
        <w:rPr>
          <w:b/>
        </w:rPr>
        <w:t xml:space="preserve">in the case where the lamp has been approved for LED substitute light source(s), also the category or categories of the </w:t>
      </w:r>
      <w:r w:rsidR="009D7631" w:rsidRPr="00571091">
        <w:rPr>
          <w:b/>
          <w:bCs/>
        </w:rPr>
        <w:t>LED substitute light source(s)</w:t>
      </w:r>
      <w:r w:rsidR="009D7631" w:rsidRPr="00D37F8F">
        <w:rPr>
          <w:bCs/>
        </w:rPr>
        <w:t>;</w:t>
      </w:r>
      <w:r w:rsidR="009D7631" w:rsidRPr="00571091">
        <w:rPr>
          <w:snapToGrid w:val="0"/>
        </w:rPr>
        <w:t xml:space="preserve"> and/or</w:t>
      </w:r>
    </w:p>
    <w:p w:rsidR="009D7631" w:rsidRPr="00571091" w:rsidRDefault="00D37F8F" w:rsidP="009D7631">
      <w:pPr>
        <w:widowControl w:val="0"/>
        <w:spacing w:after="120"/>
        <w:ind w:left="2268" w:right="1134" w:hanging="1134"/>
        <w:jc w:val="both"/>
        <w:rPr>
          <w:b/>
        </w:rPr>
      </w:pPr>
      <w:r>
        <w:rPr>
          <w:snapToGrid w:val="0"/>
        </w:rPr>
        <w:tab/>
      </w:r>
      <w:proofErr w:type="gramStart"/>
      <w:r>
        <w:rPr>
          <w:snapToGrid w:val="0"/>
        </w:rPr>
        <w:t>(b)</w:t>
      </w:r>
      <w:r>
        <w:rPr>
          <w:snapToGrid w:val="0"/>
        </w:rPr>
        <w:tab/>
        <w:t>T</w:t>
      </w:r>
      <w:r w:rsidR="009D7631" w:rsidRPr="00571091">
        <w:rPr>
          <w:snapToGrid w:val="0"/>
        </w:rPr>
        <w:t>he light source module specific identification code.</w:t>
      </w:r>
      <w:r>
        <w:rPr>
          <w:rFonts w:eastAsia="MS Mincho"/>
        </w:rPr>
        <w:t>"</w:t>
      </w:r>
      <w:proofErr w:type="gramEnd"/>
    </w:p>
    <w:p w:rsidR="009D7631" w:rsidRPr="00571091" w:rsidRDefault="009D7631" w:rsidP="009D7631">
      <w:pPr>
        <w:spacing w:after="120"/>
        <w:ind w:left="2268" w:right="1134" w:hanging="1134"/>
        <w:jc w:val="both"/>
      </w:pPr>
      <w:r w:rsidRPr="00571091">
        <w:rPr>
          <w:i/>
        </w:rPr>
        <w:t>Insert a new paragraph 3.5.4.,</w:t>
      </w:r>
      <w:r w:rsidRPr="00571091">
        <w:t xml:space="preserve"> to read:</w:t>
      </w:r>
    </w:p>
    <w:p w:rsidR="009D7631" w:rsidRPr="00571091" w:rsidRDefault="00D37F8F" w:rsidP="009D7631">
      <w:pPr>
        <w:spacing w:after="120"/>
        <w:ind w:left="2268" w:right="1134" w:hanging="1134"/>
        <w:jc w:val="both"/>
        <w:rPr>
          <w:b/>
        </w:rPr>
      </w:pPr>
      <w:r>
        <w:rPr>
          <w:rFonts w:eastAsia="MS Mincho"/>
        </w:rPr>
        <w:t>"</w:t>
      </w:r>
      <w:r w:rsidR="009D7631" w:rsidRPr="00571091">
        <w:rPr>
          <w:b/>
        </w:rPr>
        <w:t>3.5.4.</w:t>
      </w:r>
      <w:r w:rsidR="009D7631" w:rsidRPr="00571091">
        <w:rPr>
          <w:b/>
        </w:rPr>
        <w:tab/>
        <w:t>Testing with LED substitute light sources is exempted from conformity of production control</w:t>
      </w:r>
      <w:r w:rsidR="009D7631" w:rsidRPr="000F5427">
        <w:t>.</w:t>
      </w:r>
      <w:r>
        <w:rPr>
          <w:rFonts w:eastAsia="MS Mincho"/>
        </w:rPr>
        <w:t>"</w:t>
      </w:r>
    </w:p>
    <w:p w:rsidR="009D7631" w:rsidRPr="00571091" w:rsidRDefault="009D7631" w:rsidP="009D7631">
      <w:pPr>
        <w:spacing w:after="120"/>
        <w:ind w:left="2268" w:right="1134" w:hanging="1134"/>
        <w:jc w:val="both"/>
      </w:pPr>
      <w:r w:rsidRPr="00571091">
        <w:rPr>
          <w:i/>
        </w:rPr>
        <w:t>Insert a new paragraph 4.7.7.,</w:t>
      </w:r>
      <w:r w:rsidRPr="00571091">
        <w:t xml:space="preserve"> to read:</w:t>
      </w:r>
    </w:p>
    <w:p w:rsidR="009D7631" w:rsidRPr="00571091" w:rsidRDefault="00D37F8F" w:rsidP="009D7631">
      <w:pPr>
        <w:spacing w:after="120"/>
        <w:ind w:left="2268" w:right="1134" w:hanging="1134"/>
        <w:jc w:val="both"/>
        <w:rPr>
          <w:b/>
        </w:rPr>
      </w:pPr>
      <w:r>
        <w:rPr>
          <w:rFonts w:eastAsia="MS Mincho"/>
        </w:rPr>
        <w:t>"</w:t>
      </w:r>
      <w:r w:rsidR="009D7631" w:rsidRPr="00571091">
        <w:rPr>
          <w:b/>
        </w:rPr>
        <w:t>4.7.7.</w:t>
      </w:r>
      <w:r w:rsidR="009D7631" w:rsidRPr="00571091">
        <w:rPr>
          <w:b/>
        </w:rPr>
        <w:tab/>
        <w:t xml:space="preserve">In the case where the lamp, at the </w:t>
      </w:r>
      <w:r w:rsidR="009D7631" w:rsidRPr="00571091">
        <w:rPr>
          <w:rFonts w:eastAsia="MS Mincho"/>
          <w:b/>
          <w:lang w:eastAsia="ja-JP"/>
        </w:rPr>
        <w:t>discretion</w:t>
      </w:r>
      <w:r w:rsidR="009D7631" w:rsidRPr="00571091">
        <w:rPr>
          <w:b/>
        </w:rPr>
        <w:t xml:space="preserve"> of the applicant, also has to be approved with </w:t>
      </w:r>
      <w:r w:rsidR="009D7631" w:rsidRPr="00571091">
        <w:rPr>
          <w:b/>
          <w:bCs/>
        </w:rPr>
        <w:t>LED substitute light source(s), a</w:t>
      </w:r>
      <w:r w:rsidR="009D7631" w:rsidRPr="00571091">
        <w:rPr>
          <w:b/>
        </w:rPr>
        <w:t xml:space="preserve">ll measurements, photometric and colorimetric, shall be repeated using the </w:t>
      </w:r>
      <w:r w:rsidR="009D7631" w:rsidRPr="00571091">
        <w:rPr>
          <w:b/>
          <w:bCs/>
        </w:rPr>
        <w:t xml:space="preserve">LED substitute light source(s) </w:t>
      </w:r>
      <w:r w:rsidR="009D7631" w:rsidRPr="00571091">
        <w:rPr>
          <w:b/>
          <w:bCs/>
          <w:snapToGrid w:val="0"/>
        </w:rPr>
        <w:t>prescribed</w:t>
      </w:r>
      <w:r w:rsidRPr="000F5427">
        <w:t>.</w:t>
      </w:r>
      <w:r>
        <w:rPr>
          <w:rFonts w:eastAsia="MS Mincho"/>
        </w:rPr>
        <w:t>"</w:t>
      </w:r>
    </w:p>
    <w:p w:rsidR="009D7631" w:rsidRPr="00571091" w:rsidRDefault="009D7631" w:rsidP="009D7631">
      <w:pPr>
        <w:spacing w:after="120"/>
        <w:ind w:left="2268" w:right="1134" w:hanging="1134"/>
        <w:jc w:val="both"/>
      </w:pPr>
      <w:r w:rsidRPr="00571091">
        <w:rPr>
          <w:i/>
        </w:rPr>
        <w:t xml:space="preserve">Annex 1, item 9.2., </w:t>
      </w:r>
      <w:proofErr w:type="gramStart"/>
      <w:r w:rsidRPr="00571091">
        <w:t>amend</w:t>
      </w:r>
      <w:proofErr w:type="gramEnd"/>
      <w:r w:rsidRPr="00571091">
        <w:t xml:space="preserve"> to read:</w:t>
      </w:r>
    </w:p>
    <w:p w:rsidR="009D7631" w:rsidRPr="00571091" w:rsidRDefault="00D37F8F" w:rsidP="009D7631">
      <w:pPr>
        <w:spacing w:after="120"/>
        <w:ind w:left="2268" w:right="1134" w:hanging="1134"/>
        <w:jc w:val="both"/>
      </w:pPr>
      <w:r>
        <w:rPr>
          <w:rFonts w:eastAsia="MS Mincho"/>
        </w:rPr>
        <w:t>"</w:t>
      </w:r>
      <w:r w:rsidR="009D7631" w:rsidRPr="00571091">
        <w:t>9.2</w:t>
      </w:r>
      <w:r w:rsidR="009D7631" w:rsidRPr="00571091">
        <w:tab/>
      </w:r>
      <w:proofErr w:type="gramStart"/>
      <w:r w:rsidR="009D7631" w:rsidRPr="00571091">
        <w:t>By</w:t>
      </w:r>
      <w:proofErr w:type="gramEnd"/>
      <w:r w:rsidR="009D7631" w:rsidRPr="00571091">
        <w:t xml:space="preserve"> light signalling function and category:</w:t>
      </w:r>
    </w:p>
    <w:p w:rsidR="009D7631" w:rsidRPr="00571091" w:rsidRDefault="009D7631" w:rsidP="009D7631">
      <w:pPr>
        <w:spacing w:after="120"/>
        <w:ind w:left="2268" w:right="1134" w:hanging="1134"/>
        <w:jc w:val="both"/>
      </w:pPr>
      <w:r w:rsidRPr="00571091">
        <w:tab/>
        <w:t>For mounting either outside or inside or both</w:t>
      </w:r>
      <w:r w:rsidRPr="00571091">
        <w:rPr>
          <w:rStyle w:val="FootnoteReference"/>
        </w:rPr>
        <w:t>2</w:t>
      </w:r>
    </w:p>
    <w:p w:rsidR="009D7631" w:rsidRPr="00571091" w:rsidRDefault="009D7631" w:rsidP="009D7631">
      <w:pPr>
        <w:spacing w:after="120"/>
        <w:ind w:left="2268" w:right="1134" w:hanging="1134"/>
        <w:jc w:val="both"/>
      </w:pPr>
      <w:r w:rsidRPr="00571091">
        <w:tab/>
        <w:t>Colour of light emitted: red/white/amber/colourless</w:t>
      </w:r>
      <w:r w:rsidRPr="00571091">
        <w:rPr>
          <w:rStyle w:val="FootnoteReference"/>
        </w:rPr>
        <w:t>2</w:t>
      </w:r>
    </w:p>
    <w:p w:rsidR="009D7631" w:rsidRPr="00571091" w:rsidRDefault="009D7631" w:rsidP="009D7631">
      <w:pPr>
        <w:spacing w:after="120"/>
        <w:ind w:left="2268" w:right="1134" w:hanging="1134"/>
        <w:jc w:val="both"/>
      </w:pPr>
      <w:r w:rsidRPr="00571091">
        <w:t xml:space="preserve">Number, category </w:t>
      </w:r>
      <w:r w:rsidRPr="00571091">
        <w:rPr>
          <w:b/>
        </w:rPr>
        <w:t xml:space="preserve">or categories </w:t>
      </w:r>
      <w:r w:rsidR="000F5427">
        <w:t xml:space="preserve">and kind of light source(s): </w:t>
      </w:r>
      <w:r w:rsidRPr="000F5427">
        <w:rPr>
          <w:b/>
          <w:sz w:val="18"/>
          <w:szCs w:val="18"/>
          <w:u w:val="single"/>
          <w:vertAlign w:val="superscript"/>
        </w:rPr>
        <w:t>3</w:t>
      </w:r>
      <w:r w:rsidRPr="000F5427">
        <w:rPr>
          <w:b/>
          <w:sz w:val="18"/>
          <w:szCs w:val="18"/>
          <w:vertAlign w:val="superscript"/>
        </w:rPr>
        <w:t>/</w:t>
      </w:r>
      <w:r w:rsidRPr="00571091">
        <w:tab/>
      </w:r>
    </w:p>
    <w:p w:rsidR="009D7631" w:rsidRPr="00571091" w:rsidRDefault="009D7631" w:rsidP="009D7631">
      <w:pPr>
        <w:spacing w:after="120"/>
        <w:ind w:left="2268" w:right="1134" w:hanging="1134"/>
        <w:jc w:val="both"/>
      </w:pPr>
      <w:r w:rsidRPr="00571091">
        <w:tab/>
      </w:r>
      <w:r w:rsidR="00D37F8F">
        <w:t>Voltage and wattage:</w:t>
      </w:r>
    </w:p>
    <w:p w:rsidR="009D7631" w:rsidRPr="00571091" w:rsidRDefault="00D37F8F" w:rsidP="009D7631">
      <w:pPr>
        <w:spacing w:after="120"/>
        <w:ind w:left="2268" w:right="1134" w:hanging="1134"/>
        <w:jc w:val="both"/>
      </w:pPr>
      <w:r>
        <w:t>….</w:t>
      </w:r>
      <w:r>
        <w:rPr>
          <w:rFonts w:eastAsia="MS Mincho"/>
        </w:rPr>
        <w:t>"</w:t>
      </w:r>
    </w:p>
    <w:p w:rsidR="009D7631" w:rsidRPr="00571091" w:rsidRDefault="009D7631" w:rsidP="009D7631">
      <w:pPr>
        <w:pStyle w:val="FootnoteText"/>
        <w:spacing w:after="120" w:line="240" w:lineRule="atLeast"/>
        <w:ind w:left="2268"/>
        <w:jc w:val="both"/>
        <w:rPr>
          <w:b/>
          <w:bCs/>
        </w:rPr>
      </w:pPr>
      <w:r w:rsidRPr="00571091">
        <w:rPr>
          <w:b/>
          <w:u w:val="single"/>
          <w:vertAlign w:val="superscript"/>
        </w:rPr>
        <w:t>3</w:t>
      </w:r>
      <w:r w:rsidRPr="00571091">
        <w:rPr>
          <w:b/>
          <w:vertAlign w:val="superscript"/>
        </w:rPr>
        <w:t>/</w:t>
      </w:r>
      <w:r w:rsidRPr="00571091">
        <w:rPr>
          <w:b/>
          <w:vertAlign w:val="superscript"/>
        </w:rPr>
        <w:tab/>
      </w:r>
      <w:r w:rsidRPr="00571091">
        <w:rPr>
          <w:b/>
          <w:bCs/>
        </w:rPr>
        <w:t>Indicate LED substitute light source(s) explicitly, if any</w:t>
      </w:r>
      <w:r w:rsidR="000F5427" w:rsidRPr="000F5427">
        <w:rPr>
          <w:bCs/>
        </w:rPr>
        <w:t>.</w:t>
      </w:r>
      <w:r w:rsidR="000F5427" w:rsidRPr="000F5427">
        <w:rPr>
          <w:rFonts w:eastAsia="MS Mincho"/>
        </w:rPr>
        <w:t xml:space="preserve"> </w:t>
      </w:r>
      <w:r w:rsidR="000F5427">
        <w:rPr>
          <w:rFonts w:eastAsia="MS Mincho"/>
        </w:rPr>
        <w:t>"</w:t>
      </w:r>
    </w:p>
    <w:p w:rsidR="00DF418A" w:rsidRPr="00DF418A" w:rsidRDefault="00E87504" w:rsidP="00980C28">
      <w:pPr>
        <w:pStyle w:val="HChG"/>
        <w:ind w:left="0" w:firstLine="0"/>
      </w:pPr>
      <w:r>
        <w:tab/>
        <w:t>II.</w:t>
      </w:r>
      <w:r>
        <w:tab/>
        <w:t>Justification</w:t>
      </w:r>
    </w:p>
    <w:p w:rsidR="009D7631" w:rsidRPr="009D7631" w:rsidRDefault="009D7631" w:rsidP="009D7631">
      <w:pPr>
        <w:widowControl w:val="0"/>
        <w:tabs>
          <w:tab w:val="left" w:pos="-1440"/>
        </w:tabs>
        <w:autoSpaceDE w:val="0"/>
        <w:autoSpaceDN w:val="0"/>
        <w:adjustRightInd w:val="0"/>
        <w:spacing w:after="120"/>
        <w:ind w:left="1134" w:right="1134"/>
        <w:jc w:val="both"/>
        <w:rPr>
          <w:lang w:val="en-US"/>
        </w:rPr>
      </w:pPr>
      <w:r w:rsidRPr="009D7631">
        <w:rPr>
          <w:lang w:val="en-US"/>
        </w:rPr>
        <w:t>1.</w:t>
      </w:r>
      <w:r w:rsidRPr="009D7631">
        <w:rPr>
          <w:lang w:val="en-US"/>
        </w:rPr>
        <w:tab/>
        <w:t>The use of LED substitute light sources in lamps and on vehicles for which such light sources w</w:t>
      </w:r>
      <w:r w:rsidR="00F55A63">
        <w:rPr>
          <w:lang w:val="en-US"/>
        </w:rPr>
        <w:t>ere</w:t>
      </w:r>
      <w:r w:rsidRPr="009D7631">
        <w:rPr>
          <w:lang w:val="en-US"/>
        </w:rPr>
        <w:t xml:space="preserve"> not foreseen during the original design of the lamp/vehicle needs to be verified to guarantee the correct operation of both </w:t>
      </w:r>
      <w:r w:rsidR="00F55A63">
        <w:rPr>
          <w:lang w:val="en-US"/>
        </w:rPr>
        <w:t xml:space="preserve">the </w:t>
      </w:r>
      <w:r w:rsidRPr="009D7631">
        <w:rPr>
          <w:lang w:val="en-US"/>
        </w:rPr>
        <w:t>lamp and the vehicle.</w:t>
      </w:r>
      <w:r w:rsidR="00F55A63">
        <w:rPr>
          <w:lang w:val="en-US"/>
        </w:rPr>
        <w:t xml:space="preserve"> </w:t>
      </w:r>
      <w:r w:rsidRPr="009D7631">
        <w:rPr>
          <w:lang w:val="en-US"/>
        </w:rPr>
        <w:t>For these reasons, in parallel to the introduction</w:t>
      </w:r>
      <w:r w:rsidR="00F55A63" w:rsidRPr="00F55A63">
        <w:rPr>
          <w:lang w:val="en-US"/>
        </w:rPr>
        <w:t xml:space="preserve"> </w:t>
      </w:r>
      <w:r w:rsidR="00F55A63" w:rsidRPr="009D7631">
        <w:rPr>
          <w:lang w:val="en-US"/>
        </w:rPr>
        <w:t>of the LED substitute light sources</w:t>
      </w:r>
      <w:r w:rsidRPr="009D7631">
        <w:rPr>
          <w:lang w:val="en-US"/>
        </w:rPr>
        <w:t xml:space="preserve"> in</w:t>
      </w:r>
      <w:r w:rsidR="00F55A63">
        <w:rPr>
          <w:lang w:val="en-US"/>
        </w:rPr>
        <w:t>to</w:t>
      </w:r>
      <w:r w:rsidRPr="009D7631">
        <w:rPr>
          <w:lang w:val="en-US"/>
        </w:rPr>
        <w:t xml:space="preserve"> Regulation No. 128 and in</w:t>
      </w:r>
      <w:r w:rsidR="00F55A63">
        <w:rPr>
          <w:lang w:val="en-US"/>
        </w:rPr>
        <w:t xml:space="preserve">to the Consolidated </w:t>
      </w:r>
      <w:r w:rsidRPr="009D7631">
        <w:rPr>
          <w:lang w:val="en-US"/>
        </w:rPr>
        <w:t>Resolution R.E.5</w:t>
      </w:r>
      <w:r w:rsidR="00F55A63">
        <w:rPr>
          <w:lang w:val="en-US"/>
        </w:rPr>
        <w:t>,</w:t>
      </w:r>
      <w:r w:rsidRPr="009D7631">
        <w:rPr>
          <w:lang w:val="en-US"/>
        </w:rPr>
        <w:t xml:space="preserve"> amendments to the Regulation</w:t>
      </w:r>
      <w:r w:rsidR="00F55A63">
        <w:rPr>
          <w:lang w:val="en-US"/>
        </w:rPr>
        <w:t>s</w:t>
      </w:r>
      <w:r w:rsidR="00D37F8F">
        <w:rPr>
          <w:lang w:val="en-US"/>
        </w:rPr>
        <w:t xml:space="preserve"> for </w:t>
      </w:r>
      <w:r w:rsidRPr="009D7631">
        <w:rPr>
          <w:lang w:val="en-US"/>
        </w:rPr>
        <w:t>type approval of lamps and for type approval of vehicles for their lamp installation are necessary.</w:t>
      </w:r>
    </w:p>
    <w:p w:rsidR="009D7631" w:rsidRPr="009D7631" w:rsidRDefault="009D7631" w:rsidP="009D7631">
      <w:pPr>
        <w:widowControl w:val="0"/>
        <w:tabs>
          <w:tab w:val="left" w:pos="-1440"/>
        </w:tabs>
        <w:autoSpaceDE w:val="0"/>
        <w:autoSpaceDN w:val="0"/>
        <w:adjustRightInd w:val="0"/>
        <w:spacing w:after="120"/>
        <w:ind w:left="1134" w:right="1134"/>
        <w:jc w:val="both"/>
        <w:rPr>
          <w:lang w:val="en-US"/>
        </w:rPr>
      </w:pPr>
      <w:r w:rsidRPr="009D7631">
        <w:rPr>
          <w:lang w:val="en-US"/>
        </w:rPr>
        <w:t>2.</w:t>
      </w:r>
      <w:r w:rsidRPr="009D7631">
        <w:rPr>
          <w:lang w:val="en-US"/>
        </w:rPr>
        <w:tab/>
        <w:t>Due to the schedule</w:t>
      </w:r>
      <w:r w:rsidR="00F55A63">
        <w:rPr>
          <w:lang w:val="en-US"/>
        </w:rPr>
        <w:t xml:space="preserve"> </w:t>
      </w:r>
      <w:r w:rsidRPr="009D7631">
        <w:rPr>
          <w:lang w:val="en-US"/>
        </w:rPr>
        <w:t>of the</w:t>
      </w:r>
      <w:r w:rsidR="00F55A63">
        <w:rPr>
          <w:lang w:val="en-US"/>
        </w:rPr>
        <w:t xml:space="preserve"> s</w:t>
      </w:r>
      <w:r w:rsidRPr="009D7631">
        <w:rPr>
          <w:lang w:val="en-US"/>
        </w:rPr>
        <w:t>implification of</w:t>
      </w:r>
      <w:r w:rsidR="00F55A63">
        <w:rPr>
          <w:lang w:val="en-US"/>
        </w:rPr>
        <w:t xml:space="preserve"> light and light-</w:t>
      </w:r>
      <w:proofErr w:type="spellStart"/>
      <w:r w:rsidR="00F55A63">
        <w:rPr>
          <w:lang w:val="en-US"/>
        </w:rPr>
        <w:t>signalling</w:t>
      </w:r>
      <w:proofErr w:type="spellEnd"/>
      <w:r w:rsidR="00F55A63">
        <w:rPr>
          <w:lang w:val="en-US"/>
        </w:rPr>
        <w:t xml:space="preserve"> Regulations (SLR) process, </w:t>
      </w:r>
      <w:r w:rsidRPr="009D7631">
        <w:rPr>
          <w:lang w:val="en-US"/>
        </w:rPr>
        <w:t xml:space="preserve">the </w:t>
      </w:r>
      <w:r w:rsidR="00CE4032">
        <w:rPr>
          <w:lang w:val="en-US"/>
        </w:rPr>
        <w:t xml:space="preserve">necessary </w:t>
      </w:r>
      <w:r w:rsidRPr="009D7631">
        <w:rPr>
          <w:lang w:val="en-US"/>
        </w:rPr>
        <w:t>changes to the various lamp Regulations (No</w:t>
      </w:r>
      <w:r w:rsidR="00CE4032">
        <w:rPr>
          <w:lang w:val="en-US"/>
        </w:rPr>
        <w:t>s</w:t>
      </w:r>
      <w:r w:rsidRPr="009D7631">
        <w:rPr>
          <w:lang w:val="en-US"/>
        </w:rPr>
        <w:t xml:space="preserve">. 4, 6, 7, etc.) could not be presented to GRE </w:t>
      </w:r>
      <w:r w:rsidR="00CE4032">
        <w:rPr>
          <w:lang w:val="en-US"/>
        </w:rPr>
        <w:t xml:space="preserve">before the </w:t>
      </w:r>
      <w:r w:rsidRPr="009D7631">
        <w:rPr>
          <w:lang w:val="en-US"/>
        </w:rPr>
        <w:t>time the</w:t>
      </w:r>
      <w:r w:rsidR="00CE4032">
        <w:rPr>
          <w:lang w:val="en-US"/>
        </w:rPr>
        <w:t xml:space="preserve">se Regulations </w:t>
      </w:r>
      <w:r w:rsidR="000F5427">
        <w:rPr>
          <w:lang w:val="en-US"/>
        </w:rPr>
        <w:t xml:space="preserve">were </w:t>
      </w:r>
      <w:r w:rsidR="000F5427">
        <w:rPr>
          <w:rFonts w:eastAsia="MS Mincho"/>
        </w:rPr>
        <w:t>"</w:t>
      </w:r>
      <w:r w:rsidR="000F5427">
        <w:rPr>
          <w:lang w:val="en-US"/>
        </w:rPr>
        <w:t>frozen</w:t>
      </w:r>
      <w:r w:rsidR="000F5427">
        <w:rPr>
          <w:rFonts w:eastAsia="MS Mincho"/>
        </w:rPr>
        <w:t>"</w:t>
      </w:r>
      <w:r w:rsidRPr="009D7631">
        <w:rPr>
          <w:lang w:val="en-US"/>
        </w:rPr>
        <w:t>. Consequently</w:t>
      </w:r>
      <w:r w:rsidR="00CE4032">
        <w:rPr>
          <w:lang w:val="en-US"/>
        </w:rPr>
        <w:t>,</w:t>
      </w:r>
      <w:r w:rsidRPr="009D7631">
        <w:rPr>
          <w:lang w:val="en-US"/>
        </w:rPr>
        <w:t xml:space="preserve"> the changes contained in the present document have been prepared </w:t>
      </w:r>
      <w:r w:rsidR="00CE4032">
        <w:rPr>
          <w:lang w:val="en-US"/>
        </w:rPr>
        <w:t xml:space="preserve">with the aim </w:t>
      </w:r>
      <w:r w:rsidRPr="009D7631">
        <w:rPr>
          <w:lang w:val="en-US"/>
        </w:rPr>
        <w:t xml:space="preserve">to be directly introduced in </w:t>
      </w:r>
      <w:r w:rsidR="00CE4032">
        <w:rPr>
          <w:lang w:val="en-US"/>
        </w:rPr>
        <w:t xml:space="preserve">the </w:t>
      </w:r>
      <w:r w:rsidR="00CE4032" w:rsidRPr="00CE4032">
        <w:rPr>
          <w:lang w:val="en-US"/>
        </w:rPr>
        <w:t>draft new Regulation on Light</w:t>
      </w:r>
      <w:r w:rsidR="00CE4032">
        <w:rPr>
          <w:lang w:val="en-US"/>
        </w:rPr>
        <w:t>-</w:t>
      </w:r>
      <w:proofErr w:type="spellStart"/>
      <w:r w:rsidR="00CE4032" w:rsidRPr="00CE4032">
        <w:rPr>
          <w:lang w:val="en-US"/>
        </w:rPr>
        <w:t>Signalling</w:t>
      </w:r>
      <w:proofErr w:type="spellEnd"/>
      <w:r w:rsidR="00CE4032" w:rsidRPr="00CE4032">
        <w:rPr>
          <w:lang w:val="en-US"/>
        </w:rPr>
        <w:t xml:space="preserve"> Devices</w:t>
      </w:r>
      <w:r w:rsidR="00CE4032">
        <w:rPr>
          <w:lang w:val="en-US"/>
        </w:rPr>
        <w:t xml:space="preserve"> (LSD).</w:t>
      </w:r>
    </w:p>
    <w:p w:rsidR="009D7631" w:rsidRPr="009D7631" w:rsidRDefault="009D7631" w:rsidP="009D7631">
      <w:pPr>
        <w:widowControl w:val="0"/>
        <w:tabs>
          <w:tab w:val="left" w:pos="-1440"/>
        </w:tabs>
        <w:autoSpaceDE w:val="0"/>
        <w:autoSpaceDN w:val="0"/>
        <w:adjustRightInd w:val="0"/>
        <w:spacing w:after="120"/>
        <w:ind w:left="1134" w:right="1134"/>
        <w:jc w:val="both"/>
        <w:rPr>
          <w:lang w:val="en-US"/>
        </w:rPr>
      </w:pPr>
      <w:r w:rsidRPr="009D7631">
        <w:rPr>
          <w:lang w:val="en-US"/>
        </w:rPr>
        <w:t>3.</w:t>
      </w:r>
      <w:r w:rsidRPr="009D7631">
        <w:rPr>
          <w:lang w:val="en-US"/>
        </w:rPr>
        <w:tab/>
        <w:t xml:space="preserve">The main changes </w:t>
      </w:r>
      <w:r w:rsidR="00CE4032">
        <w:rPr>
          <w:lang w:val="en-US"/>
        </w:rPr>
        <w:t xml:space="preserve">to </w:t>
      </w:r>
      <w:r w:rsidRPr="009D7631">
        <w:rPr>
          <w:lang w:val="en-US"/>
        </w:rPr>
        <w:t>the</w:t>
      </w:r>
      <w:r w:rsidR="00CE4032">
        <w:rPr>
          <w:lang w:val="en-US"/>
        </w:rPr>
        <w:t xml:space="preserve"> LSD </w:t>
      </w:r>
      <w:r w:rsidRPr="009D7631">
        <w:rPr>
          <w:lang w:val="en-US"/>
        </w:rPr>
        <w:t>Regulation are</w:t>
      </w:r>
      <w:r w:rsidR="00CE4032">
        <w:rPr>
          <w:lang w:val="en-US"/>
        </w:rPr>
        <w:t xml:space="preserve"> as follows</w:t>
      </w:r>
      <w:r w:rsidRPr="009D7631">
        <w:rPr>
          <w:lang w:val="en-US"/>
        </w:rPr>
        <w:t>:</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a)</w:t>
      </w:r>
      <w:r w:rsidR="009D7631" w:rsidRPr="009D7631">
        <w:rPr>
          <w:lang w:val="en-US"/>
        </w:rPr>
        <w:tab/>
        <w:t>Use of LED substitute light source(s) is allowed and does not constit</w:t>
      </w:r>
      <w:r w:rsidR="000F5427">
        <w:rPr>
          <w:lang w:val="en-US"/>
        </w:rPr>
        <w:t xml:space="preserve">ute a change of the lamp type. </w:t>
      </w:r>
      <w:r w:rsidR="009D7631" w:rsidRPr="009D7631">
        <w:rPr>
          <w:lang w:val="en-US"/>
        </w:rPr>
        <w:t>However</w:t>
      </w:r>
      <w:r>
        <w:rPr>
          <w:lang w:val="en-US"/>
        </w:rPr>
        <w:t>,</w:t>
      </w:r>
      <w:r w:rsidR="009D7631" w:rsidRPr="009D7631">
        <w:rPr>
          <w:lang w:val="en-US"/>
        </w:rPr>
        <w:t xml:space="preserve"> lamp performances shall be tested during type approval also with th</w:t>
      </w:r>
      <w:r w:rsidR="000F5427">
        <w:rPr>
          <w:lang w:val="en-US"/>
        </w:rPr>
        <w:t xml:space="preserve">e LED substitute light source. </w:t>
      </w:r>
      <w:r w:rsidR="009D7631" w:rsidRPr="009D7631">
        <w:rPr>
          <w:lang w:val="en-US"/>
        </w:rPr>
        <w:t>Approval of the lamp using filament light source(s) is a prerequisite for approval of the lamp using</w:t>
      </w:r>
      <w:r w:rsidR="00D37F8F">
        <w:rPr>
          <w:lang w:val="en-US"/>
        </w:rPr>
        <w:t xml:space="preserve"> LED substitute light source(s);</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b)</w:t>
      </w:r>
      <w:r w:rsidR="009D7631" w:rsidRPr="009D7631">
        <w:rPr>
          <w:lang w:val="en-US"/>
        </w:rPr>
        <w:tab/>
      </w:r>
      <w:r>
        <w:rPr>
          <w:lang w:val="en-US"/>
        </w:rPr>
        <w:t>Conformity of Production (</w:t>
      </w:r>
      <w:r w:rsidR="009D7631" w:rsidRPr="009D7631">
        <w:rPr>
          <w:lang w:val="en-US"/>
        </w:rPr>
        <w:t>COP</w:t>
      </w:r>
      <w:r>
        <w:rPr>
          <w:lang w:val="en-US"/>
        </w:rPr>
        <w:t>)</w:t>
      </w:r>
      <w:r w:rsidR="009D7631" w:rsidRPr="009D7631">
        <w:rPr>
          <w:lang w:val="en-US"/>
        </w:rPr>
        <w:t xml:space="preserve"> testing of the lamp is required with an (etalon) filament light source only, because the LED substitute is the counterpart light source of the filament light source, resulting in equivalent photometrical lamp performance. The quality</w:t>
      </w:r>
      <w:r>
        <w:rPr>
          <w:lang w:val="en-US"/>
        </w:rPr>
        <w:t>,</w:t>
      </w:r>
      <w:r w:rsidR="009D7631" w:rsidRPr="009D7631">
        <w:rPr>
          <w:lang w:val="en-US"/>
        </w:rPr>
        <w:t xml:space="preserve"> i.e. the equivalence </w:t>
      </w:r>
      <w:r>
        <w:rPr>
          <w:lang w:val="en-US"/>
        </w:rPr>
        <w:t xml:space="preserve">with </w:t>
      </w:r>
      <w:r w:rsidR="009D7631" w:rsidRPr="009D7631">
        <w:rPr>
          <w:lang w:val="en-US"/>
        </w:rPr>
        <w:t xml:space="preserve">the filament light source, is controlled </w:t>
      </w:r>
      <w:r>
        <w:rPr>
          <w:lang w:val="en-US"/>
        </w:rPr>
        <w:t xml:space="preserve">by Regulation No. </w:t>
      </w:r>
      <w:proofErr w:type="gramStart"/>
      <w:r w:rsidR="009D7631" w:rsidRPr="009D7631">
        <w:rPr>
          <w:lang w:val="en-US"/>
        </w:rPr>
        <w:t>128.</w:t>
      </w:r>
      <w:r w:rsidR="00D37F8F">
        <w:rPr>
          <w:lang w:val="en-US"/>
        </w:rPr>
        <w:t>;</w:t>
      </w:r>
      <w:proofErr w:type="gramEnd"/>
      <w:r w:rsidR="009D7631" w:rsidRPr="009D7631">
        <w:rPr>
          <w:lang w:val="en-US"/>
        </w:rPr>
        <w:t xml:space="preserve"> </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c)</w:t>
      </w:r>
      <w:r w:rsidR="009D7631" w:rsidRPr="009D7631">
        <w:rPr>
          <w:lang w:val="en-US"/>
        </w:rPr>
        <w:tab/>
        <w:t xml:space="preserve">Use of LED substitute light sources is at the discretion of the applicant, who shall declare this use, if any, to the </w:t>
      </w:r>
      <w:r>
        <w:rPr>
          <w:lang w:val="en-US"/>
        </w:rPr>
        <w:t xml:space="preserve">Type </w:t>
      </w:r>
      <w:r w:rsidR="009D7631" w:rsidRPr="009D7631">
        <w:rPr>
          <w:lang w:val="en-US"/>
        </w:rPr>
        <w:t xml:space="preserve">Approval Authorities at the time of application for the first lamp approval or subsequent extension of approval issued for the version using </w:t>
      </w:r>
      <w:r w:rsidR="00D37F8F">
        <w:rPr>
          <w:lang w:val="en-US"/>
        </w:rPr>
        <w:t>the LED substitute light source;</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d)</w:t>
      </w:r>
      <w:r w:rsidR="009D7631" w:rsidRPr="009D7631">
        <w:rPr>
          <w:lang w:val="en-US"/>
        </w:rPr>
        <w:tab/>
        <w:t xml:space="preserve">The use of LED substitute light source(s) in a certain lamp type shall be indicated on the lamp by marking of the LED substitute light source category, in addition to the marking of the filament light source of which the LED substitute </w:t>
      </w:r>
      <w:r w:rsidR="00D37F8F">
        <w:rPr>
          <w:lang w:val="en-US"/>
        </w:rPr>
        <w:t>light source is the counterpart;</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e)</w:t>
      </w:r>
      <w:r w:rsidR="009D7631" w:rsidRPr="009D7631">
        <w:rPr>
          <w:lang w:val="en-US"/>
        </w:rPr>
        <w:tab/>
        <w:t>This marking on the lamp will be used for checking the allowance for use of lamps with LED substitute light sources in application of the Regulation o</w:t>
      </w:r>
      <w:r w:rsidR="00D37F8F">
        <w:rPr>
          <w:lang w:val="en-US"/>
        </w:rPr>
        <w:t>n lamps installation on vehicle;</w:t>
      </w:r>
    </w:p>
    <w:p w:rsidR="009D7631" w:rsidRPr="009D7631" w:rsidRDefault="00CE4032" w:rsidP="00D37F8F">
      <w:pPr>
        <w:widowControl w:val="0"/>
        <w:spacing w:after="120"/>
        <w:ind w:left="2268" w:right="1134" w:hanging="567"/>
        <w:jc w:val="both"/>
        <w:rPr>
          <w:lang w:val="en-US"/>
        </w:rPr>
      </w:pPr>
      <w:r>
        <w:rPr>
          <w:lang w:val="en-US"/>
        </w:rPr>
        <w:t>(</w:t>
      </w:r>
      <w:r w:rsidR="009D7631" w:rsidRPr="009D7631">
        <w:rPr>
          <w:lang w:val="en-US"/>
        </w:rPr>
        <w:t>f)</w:t>
      </w:r>
      <w:r w:rsidR="009D7631" w:rsidRPr="009D7631">
        <w:rPr>
          <w:lang w:val="en-US"/>
        </w:rPr>
        <w:tab/>
        <w:t>The indication of both the filament light source and of its LED counterpart light source, if any, shall be explicitly pro</w:t>
      </w:r>
      <w:r w:rsidR="00D37F8F">
        <w:rPr>
          <w:lang w:val="en-US"/>
        </w:rPr>
        <w:t>vided in the communication form;</w:t>
      </w:r>
    </w:p>
    <w:p w:rsidR="00DE2082" w:rsidRDefault="00CE4032" w:rsidP="00D37F8F">
      <w:pPr>
        <w:widowControl w:val="0"/>
        <w:spacing w:after="120"/>
        <w:ind w:left="2268" w:right="1134" w:hanging="567"/>
        <w:jc w:val="both"/>
        <w:rPr>
          <w:lang w:val="en-US"/>
        </w:rPr>
      </w:pPr>
      <w:r>
        <w:rPr>
          <w:lang w:val="en-US"/>
        </w:rPr>
        <w:t>(</w:t>
      </w:r>
      <w:r w:rsidR="009D7631" w:rsidRPr="009D7631">
        <w:rPr>
          <w:lang w:val="en-US"/>
        </w:rPr>
        <w:t>g)</w:t>
      </w:r>
      <w:r w:rsidR="009D7631" w:rsidRPr="009D7631">
        <w:rPr>
          <w:lang w:val="en-US"/>
        </w:rPr>
        <w:tab/>
        <w:t>For legal enforcement verification purposes, the category of light sources shall be visible when the lamp is fitted on the vehicle or when a movable part such as the hood or boot lid or a door is opened.</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2D" w:rsidRDefault="00D4592D"/>
  </w:endnote>
  <w:endnote w:type="continuationSeparator" w:id="0">
    <w:p w:rsidR="00D4592D" w:rsidRDefault="00D4592D"/>
  </w:endnote>
  <w:endnote w:type="continuationNotice" w:id="1">
    <w:p w:rsidR="00D4592D" w:rsidRDefault="00D4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25144">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25144">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C" w:rsidRDefault="001E1D4C" w:rsidP="001E1D4C">
    <w:pPr>
      <w:pStyle w:val="Footer"/>
    </w:pPr>
  </w:p>
  <w:p w:rsidR="001E1D4C" w:rsidRDefault="001E1D4C" w:rsidP="001E1D4C">
    <w:pPr>
      <w:pStyle w:val="Footer"/>
      <w:ind w:right="1134"/>
      <w:rPr>
        <w:sz w:val="20"/>
      </w:rPr>
    </w:pPr>
    <w:r>
      <w:rPr>
        <w:rFonts w:ascii="C39T30Lfz" w:hAnsi="C39T30Lfz"/>
        <w:noProof/>
        <w:sz w:val="56"/>
        <w:lang w:eastAsia="en-GB"/>
      </w:rPr>
      <w:drawing>
        <wp:anchor distT="0" distB="0" distL="114300" distR="114300" simplePos="0" relativeHeight="251660288" behindDoc="0" locked="0" layoutInCell="1" allowOverlap="1" wp14:anchorId="3629A378" wp14:editId="7671004B">
          <wp:simplePos x="0" y="0"/>
          <wp:positionH relativeFrom="margin">
            <wp:posOffset>5400675</wp:posOffset>
          </wp:positionH>
          <wp:positionV relativeFrom="margin">
            <wp:posOffset>8050530</wp:posOffset>
          </wp:positionV>
          <wp:extent cx="638175" cy="638175"/>
          <wp:effectExtent l="0" t="0" r="9525" b="9525"/>
          <wp:wrapNone/>
          <wp:docPr id="2" name="Picture 1" descr="https://undocs.org/m2/QRCode.ashx?DS=ECE/TRANS/WP.29/GRE/2017/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49FC620" wp14:editId="508076EA">
          <wp:simplePos x="0" y="0"/>
          <wp:positionH relativeFrom="margin">
            <wp:posOffset>4335145</wp:posOffset>
          </wp:positionH>
          <wp:positionV relativeFrom="margin">
            <wp:posOffset>8380095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GE.17-13768(E)</w:t>
    </w:r>
  </w:p>
  <w:p w:rsidR="001E1D4C" w:rsidRPr="001E1D4C" w:rsidRDefault="001E1D4C" w:rsidP="001E1D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2D" w:rsidRPr="000B175B" w:rsidRDefault="00D4592D" w:rsidP="000B175B">
      <w:pPr>
        <w:tabs>
          <w:tab w:val="right" w:pos="2155"/>
        </w:tabs>
        <w:spacing w:after="80"/>
        <w:ind w:left="680"/>
        <w:rPr>
          <w:u w:val="single"/>
        </w:rPr>
      </w:pPr>
      <w:r>
        <w:rPr>
          <w:u w:val="single"/>
        </w:rPr>
        <w:tab/>
      </w:r>
    </w:p>
  </w:footnote>
  <w:footnote w:type="continuationSeparator" w:id="0">
    <w:p w:rsidR="00D4592D" w:rsidRPr="00FC68B7" w:rsidRDefault="00D4592D" w:rsidP="00FC68B7">
      <w:pPr>
        <w:tabs>
          <w:tab w:val="left" w:pos="2155"/>
        </w:tabs>
        <w:spacing w:after="80"/>
        <w:ind w:left="680"/>
        <w:rPr>
          <w:u w:val="single"/>
        </w:rPr>
      </w:pPr>
      <w:r>
        <w:rPr>
          <w:u w:val="single"/>
        </w:rPr>
        <w:tab/>
      </w:r>
    </w:p>
  </w:footnote>
  <w:footnote w:type="continuationNotice" w:id="1">
    <w:p w:rsidR="00D4592D" w:rsidRDefault="00D4592D"/>
  </w:footnote>
  <w:footnote w:id="2">
    <w:p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Pr="00A138B2">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A138B2">
      <w:t>7</w:t>
    </w:r>
    <w:r w:rsidRPr="00DF418A">
      <w:t>/</w:t>
    </w:r>
    <w:r w:rsidR="00F60E86">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AC6C6D" w:rsidP="00803BF8">
    <w:pPr>
      <w:pStyle w:val="Header"/>
      <w:jc w:val="right"/>
    </w:pPr>
    <w:r>
      <w:t>ECE/TRANS/WP.29/GRE/2017</w:t>
    </w:r>
    <w:r w:rsidR="00754B4B" w:rsidRPr="00754B4B">
      <w:t>/</w:t>
    </w:r>
    <w:r w:rsidR="00F60E86">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1"/>
  </w:num>
  <w:num w:numId="15">
    <w:abstractNumId w:val="23"/>
  </w:num>
  <w:num w:numId="16">
    <w:abstractNumId w:val="10"/>
  </w:num>
  <w:num w:numId="17">
    <w:abstractNumId w:val="16"/>
  </w:num>
  <w:num w:numId="18">
    <w:abstractNumId w:val="22"/>
  </w:num>
  <w:num w:numId="19">
    <w:abstractNumId w:val="15"/>
  </w:num>
  <w:num w:numId="20">
    <w:abstractNumId w:val="18"/>
  </w:num>
  <w:num w:numId="21">
    <w:abstractNumId w:val="11"/>
  </w:num>
  <w:num w:numId="22">
    <w:abstractNumId w:val="20"/>
  </w:num>
  <w:num w:numId="23">
    <w:abstractNumId w:val="17"/>
  </w:num>
  <w:num w:numId="24">
    <w:abstractNumId w:val="13"/>
  </w:num>
  <w:num w:numId="25">
    <w:abstractNumId w:val="21"/>
  </w:num>
  <w:num w:numId="26">
    <w:abstractNumId w:val="21"/>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0F5427"/>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0CA"/>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1D4C"/>
    <w:rsid w:val="001E2593"/>
    <w:rsid w:val="001E47B9"/>
    <w:rsid w:val="001E7B67"/>
    <w:rsid w:val="001F59D7"/>
    <w:rsid w:val="001F7781"/>
    <w:rsid w:val="00202BF3"/>
    <w:rsid w:val="00202DA8"/>
    <w:rsid w:val="002057AE"/>
    <w:rsid w:val="002073C2"/>
    <w:rsid w:val="0021164B"/>
    <w:rsid w:val="00211E0B"/>
    <w:rsid w:val="002134E0"/>
    <w:rsid w:val="00213F99"/>
    <w:rsid w:val="00221BD3"/>
    <w:rsid w:val="0023072C"/>
    <w:rsid w:val="002324C6"/>
    <w:rsid w:val="00233BB0"/>
    <w:rsid w:val="00236F28"/>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463"/>
    <w:rsid w:val="002C567B"/>
    <w:rsid w:val="002C64E5"/>
    <w:rsid w:val="002C6BB6"/>
    <w:rsid w:val="002D4643"/>
    <w:rsid w:val="002D4CFC"/>
    <w:rsid w:val="002E093F"/>
    <w:rsid w:val="002E1678"/>
    <w:rsid w:val="002E2EB7"/>
    <w:rsid w:val="002E4283"/>
    <w:rsid w:val="002E5684"/>
    <w:rsid w:val="002E62DB"/>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144"/>
    <w:rsid w:val="00325908"/>
    <w:rsid w:val="00326932"/>
    <w:rsid w:val="00330F1A"/>
    <w:rsid w:val="00336789"/>
    <w:rsid w:val="003406CC"/>
    <w:rsid w:val="0034168B"/>
    <w:rsid w:val="003450DD"/>
    <w:rsid w:val="003451F4"/>
    <w:rsid w:val="003516C1"/>
    <w:rsid w:val="00352181"/>
    <w:rsid w:val="00352709"/>
    <w:rsid w:val="00356E54"/>
    <w:rsid w:val="00356F12"/>
    <w:rsid w:val="00360814"/>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07687"/>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4E7A"/>
    <w:rsid w:val="005751FB"/>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679FE"/>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1ACA"/>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17C0F"/>
    <w:rsid w:val="00822B44"/>
    <w:rsid w:val="008231D3"/>
    <w:rsid w:val="008242D7"/>
    <w:rsid w:val="008250E7"/>
    <w:rsid w:val="008257B1"/>
    <w:rsid w:val="00832334"/>
    <w:rsid w:val="008339DF"/>
    <w:rsid w:val="00835C20"/>
    <w:rsid w:val="00841D2C"/>
    <w:rsid w:val="00843767"/>
    <w:rsid w:val="00847CEC"/>
    <w:rsid w:val="00851184"/>
    <w:rsid w:val="00854043"/>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153C"/>
    <w:rsid w:val="008F31D2"/>
    <w:rsid w:val="008F4D26"/>
    <w:rsid w:val="0090098B"/>
    <w:rsid w:val="009014EE"/>
    <w:rsid w:val="00906A89"/>
    <w:rsid w:val="0091023E"/>
    <w:rsid w:val="00915EF6"/>
    <w:rsid w:val="00920C5D"/>
    <w:rsid w:val="00921397"/>
    <w:rsid w:val="009223CA"/>
    <w:rsid w:val="009235EA"/>
    <w:rsid w:val="00927C2B"/>
    <w:rsid w:val="00932725"/>
    <w:rsid w:val="009348BE"/>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BEE"/>
    <w:rsid w:val="009D7631"/>
    <w:rsid w:val="009E15C8"/>
    <w:rsid w:val="009E28CD"/>
    <w:rsid w:val="009E5620"/>
    <w:rsid w:val="009F0B23"/>
    <w:rsid w:val="009F36A3"/>
    <w:rsid w:val="009F71D1"/>
    <w:rsid w:val="00A00697"/>
    <w:rsid w:val="00A00A3F"/>
    <w:rsid w:val="00A01326"/>
    <w:rsid w:val="00A01489"/>
    <w:rsid w:val="00A053B0"/>
    <w:rsid w:val="00A12786"/>
    <w:rsid w:val="00A138B2"/>
    <w:rsid w:val="00A14A4D"/>
    <w:rsid w:val="00A1546E"/>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C6C6D"/>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032"/>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37F8F"/>
    <w:rsid w:val="00D41A20"/>
    <w:rsid w:val="00D43252"/>
    <w:rsid w:val="00D4592D"/>
    <w:rsid w:val="00D45E95"/>
    <w:rsid w:val="00D46A88"/>
    <w:rsid w:val="00D46D61"/>
    <w:rsid w:val="00D47EEA"/>
    <w:rsid w:val="00D51801"/>
    <w:rsid w:val="00D54E2A"/>
    <w:rsid w:val="00D5792F"/>
    <w:rsid w:val="00D60A2A"/>
    <w:rsid w:val="00D66211"/>
    <w:rsid w:val="00D70083"/>
    <w:rsid w:val="00D75C92"/>
    <w:rsid w:val="00D773DF"/>
    <w:rsid w:val="00D84D1A"/>
    <w:rsid w:val="00D84F14"/>
    <w:rsid w:val="00D92E08"/>
    <w:rsid w:val="00D94543"/>
    <w:rsid w:val="00D94A0D"/>
    <w:rsid w:val="00D95303"/>
    <w:rsid w:val="00D95D10"/>
    <w:rsid w:val="00D978C6"/>
    <w:rsid w:val="00D97FCD"/>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2082"/>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404C"/>
    <w:rsid w:val="00EF52D2"/>
    <w:rsid w:val="00EF54BA"/>
    <w:rsid w:val="00F02C84"/>
    <w:rsid w:val="00F03A60"/>
    <w:rsid w:val="00F05945"/>
    <w:rsid w:val="00F11455"/>
    <w:rsid w:val="00F1224B"/>
    <w:rsid w:val="00F15DC0"/>
    <w:rsid w:val="00F20293"/>
    <w:rsid w:val="00F211B8"/>
    <w:rsid w:val="00F2422D"/>
    <w:rsid w:val="00F2770E"/>
    <w:rsid w:val="00F27DC0"/>
    <w:rsid w:val="00F31279"/>
    <w:rsid w:val="00F31E5F"/>
    <w:rsid w:val="00F4348A"/>
    <w:rsid w:val="00F435BD"/>
    <w:rsid w:val="00F452EF"/>
    <w:rsid w:val="00F51A5B"/>
    <w:rsid w:val="00F5203B"/>
    <w:rsid w:val="00F531FD"/>
    <w:rsid w:val="00F54668"/>
    <w:rsid w:val="00F55A63"/>
    <w:rsid w:val="00F55ADC"/>
    <w:rsid w:val="00F60E86"/>
    <w:rsid w:val="00F6100A"/>
    <w:rsid w:val="00F7336D"/>
    <w:rsid w:val="00F73CB2"/>
    <w:rsid w:val="00F7570D"/>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E5C3-B63D-4EDE-A192-D2D179B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1220</Words>
  <Characters>6956</Characters>
  <Application>Microsoft Office Word</Application>
  <DocSecurity>4</DocSecurity>
  <Lines>57</Lines>
  <Paragraphs>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1713768</vt:lpstr>
      <vt:lpstr>United Nations</vt:lpstr>
      <vt:lpstr>United Nations</vt:lpstr>
    </vt:vector>
  </TitlesOfParts>
  <Company>CSD</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1713768</dc:title>
  <dc:subject>ECE/TRANS/WP.29/GRE/2017/14</dc:subject>
  <dc:creator>Romain HUBERT</dc:creator>
  <cp:lastModifiedBy>Benedicte Boudol</cp:lastModifiedBy>
  <cp:revision>2</cp:revision>
  <cp:lastPrinted>2017-08-09T10:30:00Z</cp:lastPrinted>
  <dcterms:created xsi:type="dcterms:W3CDTF">2017-09-04T13:38:00Z</dcterms:created>
  <dcterms:modified xsi:type="dcterms:W3CDTF">2017-09-04T13:38:00Z</dcterms:modified>
</cp:coreProperties>
</file>