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E43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E437D" w:rsidP="00CE437D">
            <w:pPr>
              <w:jc w:val="right"/>
            </w:pPr>
            <w:r w:rsidRPr="00CE437D">
              <w:rPr>
                <w:sz w:val="40"/>
              </w:rPr>
              <w:t>ECE</w:t>
            </w:r>
            <w:r>
              <w:t>/TRANS/WP.29/GRE/2017/13</w:t>
            </w:r>
          </w:p>
        </w:tc>
      </w:tr>
      <w:tr w:rsidR="002D5AAC" w:rsidRPr="009F7C5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E437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E437D" w:rsidRDefault="00CE437D" w:rsidP="00CE43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August 2017</w:t>
            </w:r>
          </w:p>
          <w:p w:rsidR="00CE437D" w:rsidRDefault="00CE437D" w:rsidP="00CE43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E437D" w:rsidRPr="008D53B6" w:rsidRDefault="00CE437D" w:rsidP="00CE43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E437D" w:rsidRPr="00DC3F08" w:rsidRDefault="00CE437D" w:rsidP="00DC3F08">
      <w:pPr>
        <w:spacing w:before="120"/>
        <w:rPr>
          <w:sz w:val="28"/>
          <w:szCs w:val="28"/>
        </w:rPr>
      </w:pPr>
      <w:r w:rsidRPr="00DC3F08">
        <w:rPr>
          <w:sz w:val="28"/>
          <w:szCs w:val="28"/>
        </w:rPr>
        <w:t>Комитет по внутреннему транспорту</w:t>
      </w:r>
    </w:p>
    <w:p w:rsidR="00CE437D" w:rsidRPr="00DC3F08" w:rsidRDefault="00CE437D" w:rsidP="00DC3F08">
      <w:pPr>
        <w:spacing w:before="120"/>
        <w:rPr>
          <w:b/>
          <w:sz w:val="24"/>
          <w:szCs w:val="24"/>
        </w:rPr>
      </w:pPr>
      <w:r w:rsidRPr="00DC3F08">
        <w:rPr>
          <w:b/>
          <w:sz w:val="24"/>
          <w:szCs w:val="24"/>
        </w:rPr>
        <w:t xml:space="preserve">Всемирный форум для согласования правил </w:t>
      </w:r>
      <w:r w:rsidR="00DC3F08" w:rsidRPr="00DC3F08">
        <w:rPr>
          <w:b/>
          <w:sz w:val="24"/>
          <w:szCs w:val="24"/>
        </w:rPr>
        <w:br/>
      </w:r>
      <w:r w:rsidRPr="00DC3F08">
        <w:rPr>
          <w:b/>
          <w:sz w:val="24"/>
          <w:szCs w:val="24"/>
        </w:rPr>
        <w:t>в области транспортных средств</w:t>
      </w:r>
    </w:p>
    <w:p w:rsidR="00CE437D" w:rsidRPr="00DC3F08" w:rsidRDefault="00CE437D" w:rsidP="00DC3F08">
      <w:pPr>
        <w:spacing w:before="120"/>
        <w:rPr>
          <w:b/>
        </w:rPr>
      </w:pPr>
      <w:r w:rsidRPr="00DC3F08">
        <w:rPr>
          <w:b/>
        </w:rPr>
        <w:t xml:space="preserve">Рабочая группа по вопросам освещения </w:t>
      </w:r>
      <w:r w:rsidR="00DC3F08" w:rsidRPr="00DC3F08">
        <w:rPr>
          <w:b/>
        </w:rPr>
        <w:br/>
      </w:r>
      <w:r w:rsidRPr="00DC3F08">
        <w:rPr>
          <w:b/>
        </w:rPr>
        <w:t>и световой сигнализации</w:t>
      </w:r>
    </w:p>
    <w:p w:rsidR="00CE437D" w:rsidRPr="00DC3F08" w:rsidRDefault="00CE437D" w:rsidP="00DC3F08">
      <w:pPr>
        <w:spacing w:before="120"/>
        <w:rPr>
          <w:b/>
        </w:rPr>
      </w:pPr>
      <w:r w:rsidRPr="00DC3F08">
        <w:rPr>
          <w:b/>
        </w:rPr>
        <w:t>Семьдесят восьмая сессия</w:t>
      </w:r>
    </w:p>
    <w:p w:rsidR="00CE437D" w:rsidRPr="00DC3F08" w:rsidRDefault="00CE437D" w:rsidP="00DC3F08">
      <w:r w:rsidRPr="00DC3F08">
        <w:t>Женева, 24</w:t>
      </w:r>
      <w:r w:rsidR="00DC3F08" w:rsidRPr="009F7C51">
        <w:t>–</w:t>
      </w:r>
      <w:r w:rsidRPr="00DC3F08">
        <w:t>27 октября 2017 года</w:t>
      </w:r>
    </w:p>
    <w:p w:rsidR="00CE437D" w:rsidRPr="00DC3F08" w:rsidRDefault="00CE437D" w:rsidP="00DC3F08">
      <w:r w:rsidRPr="00DC3F08">
        <w:t>Пункт 4 предварительной повестки дня</w:t>
      </w:r>
    </w:p>
    <w:p w:rsidR="00CE437D" w:rsidRPr="00DC3F08" w:rsidRDefault="00CE437D" w:rsidP="00DC3F08">
      <w:pPr>
        <w:rPr>
          <w:b/>
        </w:rPr>
      </w:pPr>
      <w:r w:rsidRPr="00DC3F08">
        <w:rPr>
          <w:b/>
        </w:rPr>
        <w:t xml:space="preserve">Упрощение правил, касающихся устройств </w:t>
      </w:r>
      <w:r w:rsidR="00DC3F08" w:rsidRPr="00DC3F08">
        <w:rPr>
          <w:b/>
        </w:rPr>
        <w:br/>
      </w:r>
      <w:r w:rsidRPr="00DC3F08">
        <w:rPr>
          <w:b/>
        </w:rPr>
        <w:t xml:space="preserve">освещения и световой сигнализации </w:t>
      </w:r>
    </w:p>
    <w:p w:rsidR="00CE437D" w:rsidRPr="00CE437D" w:rsidRDefault="00CE437D" w:rsidP="00DC3F08">
      <w:pPr>
        <w:pStyle w:val="HChGR"/>
      </w:pPr>
      <w:r w:rsidRPr="00CE437D">
        <w:tab/>
      </w:r>
      <w:r w:rsidRPr="00CE437D">
        <w:tab/>
        <w:t>Общие поправки к правилам № 3, 4, 6, 7, 19, 23, 27, 38, 50, 69, 70, 77, 87, 91, 98, 104, 112, 113, 119 и 123</w:t>
      </w:r>
    </w:p>
    <w:p w:rsidR="00CE437D" w:rsidRPr="00CE437D" w:rsidRDefault="00CE437D" w:rsidP="00DC3F08">
      <w:pPr>
        <w:pStyle w:val="H1GR"/>
      </w:pPr>
      <w:r w:rsidRPr="00CE437D">
        <w:tab/>
      </w:r>
      <w:r w:rsidRPr="00CE437D">
        <w:tab/>
        <w:t xml:space="preserve">Представлено Неофициальной рабочей группой по упрощению правил в области освещения и световой сигнализации </w:t>
      </w:r>
      <w:r w:rsidR="00DC3F08" w:rsidRPr="00DC3F08">
        <w:br/>
      </w:r>
      <w:r w:rsidRPr="00CE437D">
        <w:t>(НРГ по УПО)</w:t>
      </w:r>
      <w:r w:rsidRPr="00DC3F08">
        <w:rPr>
          <w:b w:val="0"/>
          <w:sz w:val="20"/>
        </w:rPr>
        <w:footnoteReference w:customMarkFollows="1" w:id="1"/>
        <w:t>*</w:t>
      </w:r>
      <w:r w:rsidRPr="00CE437D">
        <w:t xml:space="preserve"> </w:t>
      </w:r>
    </w:p>
    <w:p w:rsidR="00E12C5F" w:rsidRPr="009F7C51" w:rsidRDefault="00DC3F08" w:rsidP="00CE437D">
      <w:pPr>
        <w:pStyle w:val="SingleTxtGR"/>
      </w:pPr>
      <w:r w:rsidRPr="009F7C51">
        <w:tab/>
      </w:r>
      <w:r w:rsidR="00CE437D" w:rsidRPr="00CE437D">
        <w:t>Воспроизведенный ниже текст был подготовлен НРГ по УПО, с тем чт</w:t>
      </w:r>
      <w:r w:rsidR="00CE437D" w:rsidRPr="00CE437D">
        <w:t>о</w:t>
      </w:r>
      <w:r w:rsidR="00CE437D" w:rsidRPr="00CE437D">
        <w:t>бы включить переходные положения в существующие правила по вопросам освещения и световой сигнализации в связи с введением трех новых упроще</w:t>
      </w:r>
      <w:r w:rsidR="00CE437D" w:rsidRPr="00CE437D">
        <w:t>н</w:t>
      </w:r>
      <w:r w:rsidR="00CE437D" w:rsidRPr="00CE437D">
        <w:t>ных правил, касающихся устройств световой сигнализации (УСС), устройств освещения дороги (УОД) и светоотражающих устройств (СОУ). Часть текста заключена в квадратные скобки для указания на то, что требуется продолжить обсуждение и принять решение.</w:t>
      </w:r>
    </w:p>
    <w:p w:rsidR="00CE437D" w:rsidRPr="009F7C51" w:rsidRDefault="00CE437D" w:rsidP="00CE437D">
      <w:pPr>
        <w:pStyle w:val="SingleTxtGR"/>
        <w:sectPr w:rsidR="00CE437D" w:rsidRPr="009F7C51" w:rsidSect="00CE437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CE437D" w:rsidRPr="00CE437D" w:rsidRDefault="00CE437D" w:rsidP="00DC3F08">
      <w:pPr>
        <w:pStyle w:val="HChGR"/>
      </w:pPr>
      <w:r w:rsidRPr="00CE437D">
        <w:lastRenderedPageBreak/>
        <w:tab/>
        <w:t>I.</w:t>
      </w:r>
      <w:r w:rsidRPr="00CE437D">
        <w:tab/>
        <w:t>Предложение</w:t>
      </w:r>
    </w:p>
    <w:p w:rsidR="00CE437D" w:rsidRPr="00CE437D" w:rsidRDefault="00DC3F08" w:rsidP="00DC3F08">
      <w:pPr>
        <w:pStyle w:val="H1GR"/>
      </w:pPr>
      <w:r w:rsidRPr="009F7C51">
        <w:tab/>
      </w:r>
      <w:r w:rsidR="00CE437D" w:rsidRPr="00CE437D">
        <w:t>A.</w:t>
      </w:r>
      <w:r w:rsidRPr="00DC3F08">
        <w:tab/>
      </w:r>
      <w:r w:rsidR="00CE437D" w:rsidRPr="00CE437D">
        <w:t>Предложение по поправкам серии 03 к Правилам № 3</w:t>
      </w:r>
      <w:r w:rsidR="00CE437D" w:rsidRPr="00DC3F08">
        <w:rPr>
          <w:b w:val="0"/>
          <w:sz w:val="18"/>
          <w:szCs w:val="18"/>
          <w:vertAlign w:val="superscript"/>
        </w:rPr>
        <w:footnoteReference w:id="2"/>
      </w:r>
    </w:p>
    <w:p w:rsidR="00CE437D" w:rsidRPr="00CE437D" w:rsidRDefault="00CE437D" w:rsidP="00CE437D">
      <w:pPr>
        <w:pStyle w:val="SingleTxtGR"/>
        <w:rPr>
          <w:iCs/>
        </w:rPr>
      </w:pPr>
      <w:r w:rsidRPr="00CE437D">
        <w:rPr>
          <w:i/>
          <w:iCs/>
        </w:rPr>
        <w:t>Пункт 12</w:t>
      </w:r>
      <w:r w:rsidRPr="00CE437D">
        <w:t xml:space="preserve"> изменить следующим образом:</w:t>
      </w:r>
    </w:p>
    <w:p w:rsidR="00CE437D" w:rsidRPr="00CE437D" w:rsidRDefault="00CE437D" w:rsidP="002B771E">
      <w:pPr>
        <w:pStyle w:val="SingleTxtGR"/>
        <w:tabs>
          <w:tab w:val="clear" w:pos="1701"/>
        </w:tabs>
      </w:pPr>
      <w:r w:rsidRPr="00CE437D">
        <w:t>«12.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12.1</w:t>
      </w:r>
      <w:r w:rsidRPr="00CE437D">
        <w:tab/>
        <w:t>По истечении [24]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12.2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12.3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12.4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12.5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926B87" w:rsidP="00926B87">
      <w:pPr>
        <w:pStyle w:val="H1GR"/>
      </w:pPr>
      <w:r w:rsidRPr="009F7C51">
        <w:tab/>
      </w:r>
      <w:r w:rsidR="00CE437D" w:rsidRPr="00CE437D">
        <w:rPr>
          <w:lang w:val="en-US"/>
        </w:rPr>
        <w:t>B</w:t>
      </w:r>
      <w:r w:rsidR="00CE437D" w:rsidRPr="00CE437D">
        <w:t>.</w:t>
      </w:r>
      <w:r w:rsidRPr="00926B87">
        <w:tab/>
      </w:r>
      <w:r w:rsidR="00CE437D" w:rsidRPr="00CE437D">
        <w:t>Предложение по поправкам серии 01 к Правилам № 4</w:t>
      </w:r>
      <w:r w:rsidR="00CE437D" w:rsidRPr="00926B87">
        <w:rPr>
          <w:b w:val="0"/>
          <w:sz w:val="18"/>
          <w:szCs w:val="18"/>
          <w:vertAlign w:val="superscript"/>
        </w:rPr>
        <w:footnoteReference w:id="3"/>
      </w:r>
    </w:p>
    <w:p w:rsidR="00CE437D" w:rsidRPr="008E24AA" w:rsidRDefault="00CE437D" w:rsidP="00CE437D">
      <w:pPr>
        <w:pStyle w:val="SingleTxtGR"/>
      </w:pPr>
      <w:r w:rsidRPr="00CE437D">
        <w:rPr>
          <w:i/>
          <w:iCs/>
        </w:rPr>
        <w:t>Пункт 13</w:t>
      </w:r>
      <w:r w:rsidRPr="008E24AA">
        <w:rPr>
          <w:iCs/>
        </w:rPr>
        <w:t xml:space="preserve"> изменить следующим образом: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«13.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13.1</w:t>
      </w:r>
      <w:r w:rsidRPr="00CE437D"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13.3</w:t>
      </w:r>
      <w:r w:rsidRPr="00CE437D">
        <w:tab/>
        <w:t xml:space="preserve">Официальные утверждения и распространения официальных утверждений, предоставленные на основании настоящих Правил, в </w:t>
      </w:r>
      <w:r w:rsidRPr="00CE437D">
        <w:lastRenderedPageBreak/>
        <w:t>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5908B5" w:rsidP="005908B5">
      <w:pPr>
        <w:pStyle w:val="H1GR"/>
      </w:pPr>
      <w:r w:rsidRPr="009F7C51">
        <w:tab/>
      </w:r>
      <w:r w:rsidR="00CE437D" w:rsidRPr="00CE437D">
        <w:rPr>
          <w:lang w:val="en-US"/>
        </w:rPr>
        <w:t>C</w:t>
      </w:r>
      <w:r w:rsidR="00CE437D" w:rsidRPr="00CE437D">
        <w:t>.</w:t>
      </w:r>
      <w:r w:rsidRPr="005908B5">
        <w:tab/>
      </w:r>
      <w:r w:rsidR="00CE437D" w:rsidRPr="00CE437D">
        <w:t>Предложение по поправкам серии 02 к Правилам № 6</w:t>
      </w:r>
      <w:r w:rsidR="00CE437D" w:rsidRPr="005908B5">
        <w:rPr>
          <w:b w:val="0"/>
          <w:sz w:val="18"/>
          <w:szCs w:val="18"/>
          <w:vertAlign w:val="superscript"/>
        </w:rPr>
        <w:footnoteReference w:id="4"/>
      </w:r>
    </w:p>
    <w:p w:rsidR="00CE437D" w:rsidRPr="008E24AA" w:rsidRDefault="00CE437D" w:rsidP="00CE437D">
      <w:pPr>
        <w:pStyle w:val="SingleTxtGR"/>
        <w:rPr>
          <w:iCs/>
        </w:rPr>
      </w:pPr>
      <w:r w:rsidRPr="00CE437D">
        <w:rPr>
          <w:i/>
          <w:iCs/>
        </w:rPr>
        <w:t xml:space="preserve">Пункт 14 </w:t>
      </w:r>
      <w:r w:rsidRPr="008E24AA">
        <w:rPr>
          <w:iCs/>
        </w:rPr>
        <w:t>изменить следующим образом: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«14.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14.1</w:t>
      </w:r>
      <w:r w:rsidRPr="00CE437D"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7F72EF" w:rsidP="007F72EF">
      <w:pPr>
        <w:pStyle w:val="H1GR"/>
        <w:pageBreakBefore/>
      </w:pPr>
      <w:r w:rsidRPr="009F7C51">
        <w:lastRenderedPageBreak/>
        <w:tab/>
      </w:r>
      <w:r w:rsidR="00CE437D" w:rsidRPr="00CE437D">
        <w:rPr>
          <w:lang w:val="en-US"/>
        </w:rPr>
        <w:t>D</w:t>
      </w:r>
      <w:r w:rsidR="00CE437D" w:rsidRPr="00CE437D">
        <w:t>.</w:t>
      </w:r>
      <w:r w:rsidRPr="007F72EF">
        <w:tab/>
      </w:r>
      <w:r w:rsidR="00CE437D" w:rsidRPr="00CE437D">
        <w:t>Предложение по поправкам серии 03 к Правилам № 7</w:t>
      </w:r>
      <w:r w:rsidR="00CE437D" w:rsidRPr="007F72EF">
        <w:rPr>
          <w:b w:val="0"/>
          <w:sz w:val="18"/>
          <w:szCs w:val="18"/>
          <w:vertAlign w:val="superscript"/>
        </w:rPr>
        <w:footnoteReference w:id="5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 xml:space="preserve">Пункт 14 </w:t>
      </w:r>
      <w:r w:rsidRPr="00CE437D">
        <w:t>изменить следующим образом</w:t>
      </w:r>
      <w:r w:rsidRPr="00CE437D">
        <w:rPr>
          <w:iCs/>
        </w:rPr>
        <w:t>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«14.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14.1</w:t>
      </w:r>
      <w:r w:rsidRPr="00CE437D"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D838BE" w:rsidP="00D838BE">
      <w:pPr>
        <w:pStyle w:val="H1GR"/>
      </w:pPr>
      <w:r w:rsidRPr="009F7C51">
        <w:tab/>
      </w:r>
      <w:r w:rsidR="00CE437D" w:rsidRPr="00CE437D">
        <w:rPr>
          <w:lang w:val="en-US"/>
        </w:rPr>
        <w:t>E</w:t>
      </w:r>
      <w:r w:rsidR="00CE437D" w:rsidRPr="00CE437D">
        <w:t>.</w:t>
      </w:r>
      <w:r w:rsidRPr="00D838BE">
        <w:tab/>
      </w:r>
      <w:r w:rsidR="00CE437D" w:rsidRPr="00CE437D">
        <w:t>Предложение по поправкам серии 05 к Правилам № 19</w:t>
      </w:r>
      <w:r w:rsidR="00CE437D" w:rsidRPr="00D838BE">
        <w:rPr>
          <w:b w:val="0"/>
          <w:sz w:val="18"/>
          <w:szCs w:val="18"/>
          <w:vertAlign w:val="superscript"/>
        </w:rPr>
        <w:footnoteReference w:id="6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 xml:space="preserve">Пункт 14 </w:t>
      </w:r>
      <w:r w:rsidRPr="00CE437D">
        <w:t>изменить следующим образом</w:t>
      </w:r>
      <w:r w:rsidRPr="00CE437D">
        <w:rPr>
          <w:iCs/>
        </w:rPr>
        <w:t>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«14.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14.1</w:t>
      </w:r>
      <w:r w:rsidRPr="00CE437D">
        <w:tab/>
        <w:t>По истечении [24]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D838BE" w:rsidP="00D838BE">
      <w:pPr>
        <w:pStyle w:val="H1GR"/>
      </w:pPr>
      <w:r w:rsidRPr="009F7C51">
        <w:tab/>
      </w:r>
      <w:r w:rsidR="00CE437D" w:rsidRPr="00CE437D">
        <w:rPr>
          <w:lang w:val="en-US"/>
        </w:rPr>
        <w:t>F</w:t>
      </w:r>
      <w:r w:rsidR="00CE437D" w:rsidRPr="00CE437D">
        <w:t>.</w:t>
      </w:r>
      <w:r w:rsidRPr="00D838BE">
        <w:tab/>
      </w:r>
      <w:r w:rsidR="00CE437D" w:rsidRPr="00CE437D">
        <w:t>Предложение по поправкам серии 01 к Правилам № 23</w:t>
      </w:r>
      <w:r w:rsidR="00CE437D" w:rsidRPr="00D838BE">
        <w:rPr>
          <w:b w:val="0"/>
          <w:sz w:val="18"/>
          <w:szCs w:val="18"/>
          <w:vertAlign w:val="superscript"/>
        </w:rPr>
        <w:footnoteReference w:id="7"/>
      </w:r>
    </w:p>
    <w:p w:rsidR="00CE437D" w:rsidRPr="00CE437D" w:rsidRDefault="00CE437D" w:rsidP="00CE437D">
      <w:pPr>
        <w:pStyle w:val="SingleTxtGR"/>
      </w:pPr>
      <w:r w:rsidRPr="00CE437D">
        <w:rPr>
          <w:i/>
        </w:rPr>
        <w:t>Включить новый пункт 13</w:t>
      </w:r>
      <w:r w:rsidRPr="00CE437D">
        <w:t xml:space="preserve"> следующего содержания: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«13.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13.1</w:t>
      </w:r>
      <w:r w:rsidRPr="00CE437D"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9C30B5" w:rsidP="009C30B5">
      <w:pPr>
        <w:pStyle w:val="H1GR"/>
        <w:pageBreakBefore/>
      </w:pPr>
      <w:r w:rsidRPr="009F7C51">
        <w:tab/>
      </w:r>
      <w:r w:rsidR="00CE437D" w:rsidRPr="00CE437D">
        <w:rPr>
          <w:lang w:val="en-US"/>
        </w:rPr>
        <w:t>G</w:t>
      </w:r>
      <w:r w:rsidR="00CE437D" w:rsidRPr="00CE437D">
        <w:t>.</w:t>
      </w:r>
      <w:r w:rsidRPr="009C30B5">
        <w:tab/>
      </w:r>
      <w:r w:rsidR="00CE437D" w:rsidRPr="00CE437D">
        <w:t>Предложение по поправкам серии 05 к Правилам № 27</w:t>
      </w:r>
      <w:r w:rsidR="00CE437D" w:rsidRPr="009C30B5">
        <w:rPr>
          <w:b w:val="0"/>
          <w:sz w:val="18"/>
          <w:szCs w:val="18"/>
          <w:vertAlign w:val="superscript"/>
        </w:rPr>
        <w:footnoteReference w:id="8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 xml:space="preserve">Пункт 14 </w:t>
      </w:r>
      <w:r w:rsidRPr="00CE437D">
        <w:t>изменить следующим образом</w:t>
      </w:r>
      <w:r w:rsidRPr="00CE437D">
        <w:rPr>
          <w:iCs/>
        </w:rPr>
        <w:t>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«14.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14.1</w:t>
      </w:r>
      <w:r w:rsidRPr="00CE437D">
        <w:tab/>
        <w:t>По истечении [24]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9C30B5" w:rsidP="009C30B5">
      <w:pPr>
        <w:pStyle w:val="H1GR"/>
      </w:pPr>
      <w:r w:rsidRPr="009F7C51">
        <w:tab/>
      </w:r>
      <w:r w:rsidR="00CE437D" w:rsidRPr="00CE437D">
        <w:rPr>
          <w:lang w:val="en-US"/>
        </w:rPr>
        <w:t>H</w:t>
      </w:r>
      <w:r w:rsidR="00CE437D" w:rsidRPr="00CE437D">
        <w:t>.</w:t>
      </w:r>
      <w:r w:rsidRPr="009C30B5">
        <w:tab/>
      </w:r>
      <w:r w:rsidR="00CE437D" w:rsidRPr="00CE437D">
        <w:t>Предложение по поправкам серии 01 к Правилам № 38</w:t>
      </w:r>
      <w:r w:rsidR="00CE437D" w:rsidRPr="009C30B5">
        <w:rPr>
          <w:b w:val="0"/>
          <w:sz w:val="18"/>
          <w:szCs w:val="18"/>
          <w:vertAlign w:val="superscript"/>
        </w:rPr>
        <w:footnoteReference w:id="9"/>
      </w:r>
    </w:p>
    <w:p w:rsidR="00CE437D" w:rsidRPr="00CE437D" w:rsidRDefault="00CE437D" w:rsidP="00CE437D">
      <w:pPr>
        <w:pStyle w:val="SingleTxtGR"/>
      </w:pPr>
      <w:r w:rsidRPr="00CE437D">
        <w:rPr>
          <w:i/>
        </w:rPr>
        <w:t xml:space="preserve">Включить новый пункт 14 </w:t>
      </w:r>
      <w:r w:rsidRPr="00CE437D">
        <w:rPr>
          <w:iCs/>
        </w:rPr>
        <w:t>следующего содержания</w:t>
      </w:r>
      <w:r w:rsidRPr="00CE437D">
        <w:t>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«14.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14.1</w:t>
      </w:r>
      <w:r w:rsidRPr="00CE437D"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1C26AD" w:rsidP="001C26AD">
      <w:pPr>
        <w:pStyle w:val="H1GR"/>
      </w:pPr>
      <w:r w:rsidRPr="009F7C51">
        <w:tab/>
      </w:r>
      <w:r w:rsidR="00CE437D" w:rsidRPr="00CE437D">
        <w:rPr>
          <w:lang w:val="en-US"/>
        </w:rPr>
        <w:t>I</w:t>
      </w:r>
      <w:r w:rsidR="00CE437D" w:rsidRPr="00CE437D">
        <w:t>.</w:t>
      </w:r>
      <w:r w:rsidR="00CE437D" w:rsidRPr="00CE437D">
        <w:tab/>
        <w:t>Предложение по поправкам серии 01 к Правилам № 50</w:t>
      </w:r>
      <w:r w:rsidR="00CE437D" w:rsidRPr="001C26AD">
        <w:rPr>
          <w:b w:val="0"/>
          <w:sz w:val="18"/>
          <w:szCs w:val="18"/>
          <w:vertAlign w:val="superscript"/>
        </w:rPr>
        <w:footnoteReference w:id="10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 xml:space="preserve">Пункт 14 </w:t>
      </w:r>
      <w:r w:rsidRPr="00CE437D">
        <w:t>изменить следующим образом</w:t>
      </w:r>
      <w:r w:rsidRPr="00CE437D">
        <w:rPr>
          <w:iCs/>
        </w:rPr>
        <w:t>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«14.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14.1</w:t>
      </w:r>
      <w:r w:rsidRPr="00CE437D"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1C26AD" w:rsidP="001C26AD">
      <w:pPr>
        <w:pStyle w:val="H1GR"/>
        <w:pageBreakBefore/>
      </w:pPr>
      <w:r w:rsidRPr="009F7C51">
        <w:tab/>
      </w:r>
      <w:r w:rsidR="00CE437D" w:rsidRPr="00CE437D">
        <w:rPr>
          <w:lang w:val="en-US"/>
        </w:rPr>
        <w:t>J</w:t>
      </w:r>
      <w:r w:rsidR="00CE437D" w:rsidRPr="00CE437D">
        <w:t>.</w:t>
      </w:r>
      <w:r w:rsidRPr="001C26AD">
        <w:tab/>
      </w:r>
      <w:r w:rsidR="00CE437D" w:rsidRPr="00CE437D">
        <w:t>Предложение по поправкам серии 02 к Правилам № 69</w:t>
      </w:r>
      <w:r w:rsidR="00CE437D" w:rsidRPr="001C26AD">
        <w:rPr>
          <w:b w:val="0"/>
          <w:sz w:val="18"/>
          <w:szCs w:val="18"/>
          <w:vertAlign w:val="superscript"/>
        </w:rPr>
        <w:footnoteReference w:id="11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>Пункт 12</w:t>
      </w:r>
      <w:r w:rsidRPr="00CE437D">
        <w:t xml:space="preserve"> изменить следующим образом: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«12.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12.1</w:t>
      </w:r>
      <w:r w:rsidRPr="00CE437D">
        <w:tab/>
        <w:t>По истечении [24]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12.2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12.3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12.4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12.5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1514E4" w:rsidP="001514E4">
      <w:pPr>
        <w:pStyle w:val="H1GR"/>
      </w:pPr>
      <w:r w:rsidRPr="009F7C51">
        <w:tab/>
      </w:r>
      <w:r w:rsidR="00CE437D" w:rsidRPr="00CE437D">
        <w:rPr>
          <w:lang w:val="en-US"/>
        </w:rPr>
        <w:t>K</w:t>
      </w:r>
      <w:r w:rsidR="00CE437D" w:rsidRPr="00CE437D">
        <w:t>.</w:t>
      </w:r>
      <w:r w:rsidRPr="001514E4">
        <w:tab/>
      </w:r>
      <w:r w:rsidR="00CE437D" w:rsidRPr="00CE437D">
        <w:t>Предложение по поправкам серии 02 к Правилам № 70</w:t>
      </w:r>
      <w:r w:rsidR="00CE437D" w:rsidRPr="001514E4">
        <w:rPr>
          <w:b w:val="0"/>
          <w:sz w:val="18"/>
          <w:szCs w:val="18"/>
          <w:vertAlign w:val="superscript"/>
        </w:rPr>
        <w:footnoteReference w:id="12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 xml:space="preserve">Пункт 13 </w:t>
      </w:r>
      <w:r w:rsidRPr="00CE437D">
        <w:t>изменить следующим образом</w:t>
      </w:r>
      <w:r w:rsidRPr="00CE437D">
        <w:rPr>
          <w:iCs/>
        </w:rPr>
        <w:t>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«13.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13.1</w:t>
      </w:r>
      <w:r w:rsidRPr="00CE437D">
        <w:tab/>
        <w:t>По истечении [24]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1514E4" w:rsidP="001514E4">
      <w:pPr>
        <w:pStyle w:val="H1GR"/>
      </w:pPr>
      <w:r w:rsidRPr="009F7C51">
        <w:tab/>
      </w:r>
      <w:r w:rsidR="00CE437D" w:rsidRPr="00CE437D">
        <w:rPr>
          <w:lang w:val="en-US"/>
        </w:rPr>
        <w:t>L</w:t>
      </w:r>
      <w:r w:rsidR="00CE437D" w:rsidRPr="00CE437D">
        <w:t>.</w:t>
      </w:r>
      <w:r w:rsidR="00CE437D" w:rsidRPr="00CE437D">
        <w:tab/>
        <w:t>Предложение по поправкам серии 01 к Правилам № 77</w:t>
      </w:r>
      <w:r w:rsidR="00CE437D" w:rsidRPr="001514E4">
        <w:rPr>
          <w:b w:val="0"/>
          <w:sz w:val="18"/>
          <w:szCs w:val="18"/>
          <w:vertAlign w:val="superscript"/>
        </w:rPr>
        <w:footnoteReference w:id="13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 xml:space="preserve">Пункт 16 </w:t>
      </w:r>
      <w:r w:rsidRPr="00CE437D">
        <w:t>изменить следующим образом</w:t>
      </w:r>
      <w:r w:rsidRPr="00CE437D">
        <w:rPr>
          <w:iCs/>
        </w:rPr>
        <w:t>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«16.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16.1</w:t>
      </w:r>
      <w:r w:rsidRPr="00CE437D"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16.2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16.3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16.4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16.5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7544E8" w:rsidP="007544E8">
      <w:pPr>
        <w:pStyle w:val="H1GR"/>
        <w:pageBreakBefore/>
      </w:pPr>
      <w:r w:rsidRPr="009F7C51">
        <w:tab/>
      </w:r>
      <w:r w:rsidR="00CE437D" w:rsidRPr="00CE437D">
        <w:rPr>
          <w:lang w:val="en-US"/>
        </w:rPr>
        <w:t>M</w:t>
      </w:r>
      <w:r w:rsidR="00CE437D" w:rsidRPr="00CE437D">
        <w:t>.</w:t>
      </w:r>
      <w:r w:rsidRPr="007544E8">
        <w:tab/>
      </w:r>
      <w:r w:rsidR="00CE437D" w:rsidRPr="00CE437D">
        <w:t>Предложение по поправкам серии 01 к Правилам № 87</w:t>
      </w:r>
      <w:r w:rsidR="00CE437D" w:rsidRPr="007544E8">
        <w:rPr>
          <w:b w:val="0"/>
          <w:sz w:val="18"/>
          <w:szCs w:val="18"/>
          <w:vertAlign w:val="superscript"/>
        </w:rPr>
        <w:footnoteReference w:id="14"/>
      </w:r>
    </w:p>
    <w:p w:rsidR="00CE437D" w:rsidRPr="00CE437D" w:rsidRDefault="00CE437D" w:rsidP="00CE437D">
      <w:pPr>
        <w:pStyle w:val="SingleTxtGR"/>
      </w:pPr>
      <w:r w:rsidRPr="00CE437D">
        <w:rPr>
          <w:i/>
        </w:rPr>
        <w:t>Включить новый пункт 17</w:t>
      </w:r>
      <w:r w:rsidRPr="00CE437D">
        <w:t xml:space="preserve"> следующего содержания: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«17.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17.1</w:t>
      </w:r>
      <w:r w:rsidRPr="00CE437D"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17.2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17.3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17.4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17.5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7544E8" w:rsidP="007544E8">
      <w:pPr>
        <w:pStyle w:val="H1GR"/>
      </w:pPr>
      <w:r w:rsidRPr="009F7C51">
        <w:tab/>
      </w:r>
      <w:r w:rsidR="00CE437D" w:rsidRPr="00CE437D">
        <w:rPr>
          <w:lang w:val="en-US"/>
        </w:rPr>
        <w:t>N</w:t>
      </w:r>
      <w:r w:rsidR="00CE437D" w:rsidRPr="00CE437D">
        <w:t>.</w:t>
      </w:r>
      <w:r w:rsidRPr="007544E8">
        <w:tab/>
      </w:r>
      <w:r w:rsidR="00CE437D" w:rsidRPr="00CE437D">
        <w:t>Предложение по поправкам серии 01 к Правилам № 91</w:t>
      </w:r>
      <w:r w:rsidR="00CE437D" w:rsidRPr="007544E8">
        <w:rPr>
          <w:b w:val="0"/>
          <w:sz w:val="18"/>
          <w:szCs w:val="18"/>
          <w:vertAlign w:val="superscript"/>
        </w:rPr>
        <w:footnoteReference w:id="15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 xml:space="preserve">Пункт 15 </w:t>
      </w:r>
      <w:r w:rsidRPr="00CE437D">
        <w:t>изменить следующим образом</w:t>
      </w:r>
      <w:r w:rsidRPr="00CE437D">
        <w:rPr>
          <w:iCs/>
        </w:rPr>
        <w:t>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«15.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15.1</w:t>
      </w:r>
      <w:r w:rsidRPr="00CE437D">
        <w:tab/>
        <w:t>По истечении [24] месяцев после официальной даты вступления в силу Правил № [УСС]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15.2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15.3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15.4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15.5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A76A75" w:rsidP="00A76A75">
      <w:pPr>
        <w:pStyle w:val="H1GR"/>
      </w:pPr>
      <w:r w:rsidRPr="009F7C51">
        <w:tab/>
      </w:r>
      <w:r w:rsidR="00CE437D" w:rsidRPr="00CE437D">
        <w:rPr>
          <w:lang w:val="en-US"/>
        </w:rPr>
        <w:t>O</w:t>
      </w:r>
      <w:r w:rsidR="00CE437D" w:rsidRPr="00CE437D">
        <w:t>.</w:t>
      </w:r>
      <w:r w:rsidRPr="00A76A75">
        <w:tab/>
      </w:r>
      <w:r w:rsidR="00CE437D" w:rsidRPr="00CE437D">
        <w:t>Предложение по поправкам серии 02 к Правилам № 98</w:t>
      </w:r>
      <w:r w:rsidR="00CE437D" w:rsidRPr="00A76A75">
        <w:rPr>
          <w:b w:val="0"/>
          <w:sz w:val="18"/>
          <w:szCs w:val="18"/>
          <w:vertAlign w:val="superscript"/>
        </w:rPr>
        <w:footnoteReference w:id="16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 xml:space="preserve">Пункт 13 </w:t>
      </w:r>
      <w:r w:rsidRPr="00CE437D">
        <w:t>изменить следующим образом</w:t>
      </w:r>
      <w:r w:rsidRPr="00CE437D">
        <w:rPr>
          <w:iCs/>
        </w:rPr>
        <w:t>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«13.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13.1</w:t>
      </w:r>
      <w:r w:rsidRPr="00CE437D">
        <w:tab/>
        <w:t>По истечении [24]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C36233" w:rsidP="00C36233">
      <w:pPr>
        <w:pStyle w:val="H1GR"/>
        <w:pageBreakBefore/>
      </w:pPr>
      <w:r w:rsidRPr="009F7C51">
        <w:tab/>
      </w:r>
      <w:r w:rsidR="00CE437D" w:rsidRPr="00CE437D">
        <w:rPr>
          <w:lang w:val="en-US"/>
        </w:rPr>
        <w:t>P</w:t>
      </w:r>
      <w:r w:rsidR="00CE437D" w:rsidRPr="00CE437D">
        <w:t>.</w:t>
      </w:r>
      <w:r w:rsidRPr="00C36233">
        <w:tab/>
      </w:r>
      <w:r w:rsidR="00CE437D" w:rsidRPr="00CE437D">
        <w:t>Предложение по поправкам серии 01 к Правилам № 104</w:t>
      </w:r>
      <w:r w:rsidR="00CE437D" w:rsidRPr="00C36233">
        <w:rPr>
          <w:b w:val="0"/>
          <w:sz w:val="18"/>
          <w:szCs w:val="18"/>
          <w:vertAlign w:val="superscript"/>
        </w:rPr>
        <w:footnoteReference w:id="17"/>
      </w:r>
    </w:p>
    <w:p w:rsidR="00CE437D" w:rsidRPr="00CE437D" w:rsidRDefault="00CE437D" w:rsidP="00CE437D">
      <w:pPr>
        <w:pStyle w:val="SingleTxtGR"/>
      </w:pPr>
      <w:r w:rsidRPr="00CE437D">
        <w:rPr>
          <w:i/>
        </w:rPr>
        <w:t>Включить новый пункт 13</w:t>
      </w:r>
      <w:r w:rsidRPr="00CE437D">
        <w:t xml:space="preserve"> следующего содержания: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«13.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13.1</w:t>
      </w:r>
      <w:r w:rsidRPr="00CE437D">
        <w:tab/>
        <w:t>По истечении [24] месяцев после официальной даты вступления в силу Правил № [СОУ]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C36233" w:rsidP="00C36233">
      <w:pPr>
        <w:pStyle w:val="H1GR"/>
      </w:pPr>
      <w:r w:rsidRPr="009F7C51">
        <w:tab/>
      </w:r>
      <w:r w:rsidR="00CE437D" w:rsidRPr="00CE437D">
        <w:rPr>
          <w:lang w:val="en-US"/>
        </w:rPr>
        <w:t>Q</w:t>
      </w:r>
      <w:r w:rsidR="00CE437D" w:rsidRPr="00CE437D">
        <w:t>.</w:t>
      </w:r>
      <w:r w:rsidRPr="00C36233">
        <w:tab/>
      </w:r>
      <w:r w:rsidR="00CE437D" w:rsidRPr="00CE437D">
        <w:t>Предложение по поправкам серии 02 к Правилам № 112</w:t>
      </w:r>
      <w:r w:rsidR="00CE437D" w:rsidRPr="00C36233">
        <w:rPr>
          <w:b w:val="0"/>
          <w:sz w:val="18"/>
          <w:szCs w:val="18"/>
          <w:vertAlign w:val="superscript"/>
        </w:rPr>
        <w:footnoteReference w:id="18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 xml:space="preserve">Пункт 14 </w:t>
      </w:r>
      <w:r w:rsidRPr="00CE437D">
        <w:t>изменить следующим образом</w:t>
      </w:r>
      <w:r w:rsidRPr="00CE437D">
        <w:rPr>
          <w:iCs/>
        </w:rPr>
        <w:t>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«14.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14.1</w:t>
      </w:r>
      <w:r w:rsidRPr="00CE437D">
        <w:tab/>
        <w:t>По истечении [24]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14.5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3B4A27" w:rsidP="003B4A27">
      <w:pPr>
        <w:pStyle w:val="H1GR"/>
      </w:pPr>
      <w:r w:rsidRPr="009F7C51">
        <w:tab/>
      </w:r>
      <w:r w:rsidR="00CE437D" w:rsidRPr="00CE437D">
        <w:rPr>
          <w:lang w:val="en-US"/>
        </w:rPr>
        <w:t>R</w:t>
      </w:r>
      <w:r w:rsidR="00CE437D" w:rsidRPr="00CE437D">
        <w:t>.</w:t>
      </w:r>
      <w:r w:rsidRPr="003B4A27">
        <w:tab/>
      </w:r>
      <w:r w:rsidR="00CE437D" w:rsidRPr="00CE437D">
        <w:t>Предложение по поправкам серии 03 к Правилам № 113</w:t>
      </w:r>
      <w:r w:rsidR="00CE437D" w:rsidRPr="003B4A27">
        <w:rPr>
          <w:b w:val="0"/>
          <w:sz w:val="18"/>
          <w:szCs w:val="18"/>
          <w:vertAlign w:val="superscript"/>
        </w:rPr>
        <w:footnoteReference w:id="19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 xml:space="preserve">Пункт 13 </w:t>
      </w:r>
      <w:r w:rsidRPr="00CE437D">
        <w:t>изменить следующим образом</w:t>
      </w:r>
      <w:r w:rsidRPr="00CE437D">
        <w:rPr>
          <w:iCs/>
        </w:rPr>
        <w:t>:</w:t>
      </w:r>
    </w:p>
    <w:p w:rsidR="00CE437D" w:rsidRPr="00CE437D" w:rsidRDefault="009F7C51" w:rsidP="002B771E">
      <w:pPr>
        <w:pStyle w:val="SingleTxtGR"/>
        <w:tabs>
          <w:tab w:val="clear" w:pos="1701"/>
        </w:tabs>
        <w:ind w:left="2268" w:hanging="1134"/>
      </w:pPr>
      <w:r w:rsidRPr="009F7C51">
        <w:t>«</w:t>
      </w:r>
      <w:r w:rsidR="00CE437D" w:rsidRPr="00CE437D">
        <w:t>13.</w:t>
      </w:r>
      <w:r w:rsidR="00CE437D"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13.1</w:t>
      </w:r>
      <w:r w:rsidRPr="00CE437D">
        <w:tab/>
        <w:t>По истечении [24]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3B4A27" w:rsidP="003B4A27">
      <w:pPr>
        <w:pStyle w:val="H1GR"/>
        <w:pageBreakBefore/>
      </w:pPr>
      <w:r w:rsidRPr="009F7C51">
        <w:tab/>
      </w:r>
      <w:r w:rsidR="00CE437D" w:rsidRPr="00CE437D">
        <w:rPr>
          <w:lang w:val="en-US"/>
        </w:rPr>
        <w:t>S</w:t>
      </w:r>
      <w:r w:rsidR="00CE437D" w:rsidRPr="00CE437D">
        <w:t>.</w:t>
      </w:r>
      <w:r w:rsidRPr="003B4A27">
        <w:tab/>
      </w:r>
      <w:r w:rsidR="00CE437D" w:rsidRPr="00CE437D">
        <w:t>Предложение по поправкам серии 02 к Правилам № 119</w:t>
      </w:r>
      <w:r w:rsidR="00CE437D" w:rsidRPr="003B4A27">
        <w:rPr>
          <w:b w:val="0"/>
          <w:sz w:val="18"/>
          <w:szCs w:val="18"/>
          <w:vertAlign w:val="superscript"/>
        </w:rPr>
        <w:footnoteReference w:id="20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 xml:space="preserve">Пункт 13 </w:t>
      </w:r>
      <w:r w:rsidRPr="00CE437D">
        <w:t>изменить следующим образом</w:t>
      </w:r>
      <w:r w:rsidRPr="00CE437D">
        <w:rPr>
          <w:iCs/>
        </w:rPr>
        <w:t>:</w:t>
      </w:r>
    </w:p>
    <w:p w:rsidR="00CE437D" w:rsidRPr="00CE437D" w:rsidRDefault="009F7C51" w:rsidP="002B771E">
      <w:pPr>
        <w:pStyle w:val="SingleTxtGR"/>
        <w:tabs>
          <w:tab w:val="clear" w:pos="1701"/>
        </w:tabs>
        <w:ind w:left="2268" w:hanging="1134"/>
      </w:pPr>
      <w:r w:rsidRPr="009F7C51">
        <w:t>«</w:t>
      </w:r>
      <w:r w:rsidR="00CE437D" w:rsidRPr="00CE437D">
        <w:t>13.</w:t>
      </w:r>
      <w:r w:rsidR="00CE437D"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13.1</w:t>
      </w:r>
      <w:r w:rsidRPr="00CE437D">
        <w:tab/>
        <w:t>По истечении [24]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83635D" w:rsidP="0083635D">
      <w:pPr>
        <w:pStyle w:val="H1GR"/>
      </w:pPr>
      <w:r w:rsidRPr="009F7C51">
        <w:tab/>
      </w:r>
      <w:r w:rsidR="00CE437D" w:rsidRPr="00CE437D">
        <w:rPr>
          <w:lang w:val="en-US"/>
        </w:rPr>
        <w:t>T</w:t>
      </w:r>
      <w:r w:rsidR="00CE437D" w:rsidRPr="00CE437D">
        <w:t>.</w:t>
      </w:r>
      <w:r w:rsidRPr="0083635D">
        <w:tab/>
      </w:r>
      <w:r w:rsidR="00CE437D" w:rsidRPr="00CE437D">
        <w:t>Предложение по поправкам серии 02 к Правилам № 123</w:t>
      </w:r>
      <w:r w:rsidR="00CE437D" w:rsidRPr="0083635D">
        <w:rPr>
          <w:b w:val="0"/>
          <w:sz w:val="18"/>
          <w:szCs w:val="18"/>
          <w:vertAlign w:val="superscript"/>
        </w:rPr>
        <w:footnoteReference w:id="21"/>
      </w:r>
    </w:p>
    <w:p w:rsidR="00CE437D" w:rsidRPr="00CE437D" w:rsidRDefault="00CE437D" w:rsidP="00CE437D">
      <w:pPr>
        <w:pStyle w:val="SingleTxtGR"/>
        <w:rPr>
          <w:i/>
          <w:iCs/>
        </w:rPr>
      </w:pPr>
      <w:r w:rsidRPr="00CE437D">
        <w:rPr>
          <w:i/>
          <w:iCs/>
        </w:rPr>
        <w:t xml:space="preserve">Пункт 13 </w:t>
      </w:r>
      <w:r w:rsidRPr="00CE437D">
        <w:t>изменить следующим образом</w:t>
      </w:r>
      <w:r w:rsidRPr="00CE437D">
        <w:rPr>
          <w:iCs/>
        </w:rPr>
        <w:t>: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«13.</w:t>
      </w:r>
      <w:r w:rsidRPr="00CE437D">
        <w:tab/>
        <w:t>Переходные положения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13.1</w:t>
      </w:r>
      <w:r w:rsidRPr="00CE437D">
        <w:tab/>
        <w:t>По истечении [24] месяцев после официальной даты вступления в силу Правил № [УОД]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13.2</w:t>
      </w:r>
      <w:r w:rsidRPr="00CE437D">
        <w:tab/>
        <w:t>Договаривающиеся стороны, применяющие настоящие Правила, не отказывают в распространении официального утверждения на о</w:t>
      </w:r>
      <w:r w:rsidRPr="00CE437D">
        <w:t>с</w:t>
      </w:r>
      <w:r w:rsidRPr="00CE437D">
        <w:t>новании данной и любой предыдущей серий поправок к настоящим Правилам.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13.3</w:t>
      </w:r>
      <w:r w:rsidRPr="00CE437D">
        <w:tab/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</w:t>
      </w:r>
      <w:r w:rsidRPr="00CE437D">
        <w:t>т</w:t>
      </w:r>
      <w:r w:rsidRPr="00CE437D">
        <w:t>ся в силе на неопределенный срок.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13.4</w:t>
      </w:r>
      <w:r w:rsidRPr="00CE437D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</w:t>
      </w:r>
      <w:r w:rsidRPr="00CE437D">
        <w:t>а</w:t>
      </w:r>
      <w:r w:rsidRPr="00CE437D">
        <w:t>вок к настоящим Правилам при условии, что эти устройства пре</w:t>
      </w:r>
      <w:r w:rsidRPr="00CE437D">
        <w:t>д</w:t>
      </w:r>
      <w:r w:rsidRPr="00CE437D">
        <w:t>назначены для установки на транспортных средствах, находящихся в эксплуатации, в качестве сменных частей.</w:t>
      </w:r>
    </w:p>
    <w:p w:rsidR="00CE437D" w:rsidRPr="00CE437D" w:rsidRDefault="00CE437D" w:rsidP="002B771E">
      <w:pPr>
        <w:pStyle w:val="SingleTxtGR"/>
        <w:tabs>
          <w:tab w:val="clear" w:pos="1701"/>
        </w:tabs>
        <w:ind w:left="2268" w:hanging="1134"/>
      </w:pPr>
      <w:r w:rsidRPr="00CE437D">
        <w:t>13.5</w:t>
      </w:r>
      <w:r w:rsidRPr="00CE437D">
        <w:tab/>
        <w:t>Договаривающиеся стороны, применяющие настоящие Правила, продолжают разрешать установку или использование на тран</w:t>
      </w:r>
      <w:r w:rsidRPr="00CE437D">
        <w:t>с</w:t>
      </w:r>
      <w:r w:rsidRPr="00CE437D">
        <w:t>портном средстве, находящемся в эксплуатации, устройства, оф</w:t>
      </w:r>
      <w:r w:rsidRPr="00CE437D">
        <w:t>и</w:t>
      </w:r>
      <w:r w:rsidRPr="00CE437D">
        <w:t>циально утвержденного на основании настоящих Правил с измен</w:t>
      </w:r>
      <w:r w:rsidRPr="00CE437D">
        <w:t>е</w:t>
      </w:r>
      <w:r w:rsidRPr="00CE437D">
        <w:t>ниями, внесенными в соответствии с любой предыдущей серией поправок, при условии, что это устройство предназначено для з</w:t>
      </w:r>
      <w:r w:rsidRPr="00CE437D">
        <w:t>а</w:t>
      </w:r>
      <w:r w:rsidRPr="00CE437D">
        <w:t>мены».</w:t>
      </w:r>
    </w:p>
    <w:p w:rsidR="00CE437D" w:rsidRPr="00CE437D" w:rsidRDefault="00CE437D" w:rsidP="005C1009">
      <w:pPr>
        <w:pStyle w:val="HChGR"/>
      </w:pPr>
      <w:r w:rsidRPr="00CE437D">
        <w:tab/>
        <w:t>II.</w:t>
      </w:r>
      <w:r w:rsidRPr="00CE437D">
        <w:tab/>
        <w:t>Обоснование</w:t>
      </w:r>
    </w:p>
    <w:p w:rsidR="00CE437D" w:rsidRPr="00CE437D" w:rsidRDefault="00CE437D" w:rsidP="00CE437D">
      <w:pPr>
        <w:pStyle w:val="SingleTxtGR"/>
      </w:pPr>
      <w:r w:rsidRPr="00CE437D">
        <w:t>1.</w:t>
      </w:r>
      <w:r w:rsidRPr="00CE437D">
        <w:tab/>
        <w:t>Настоящее предложение является частью пакета мер, связанных с введ</w:t>
      </w:r>
      <w:r w:rsidRPr="00CE437D">
        <w:t>е</w:t>
      </w:r>
      <w:r w:rsidRPr="00CE437D">
        <w:t>нием новых упрощенных правил (УСС, УОД и СОУ).</w:t>
      </w:r>
    </w:p>
    <w:p w:rsidR="00CE437D" w:rsidRPr="00CE437D" w:rsidRDefault="00CE437D" w:rsidP="00CE437D">
      <w:pPr>
        <w:pStyle w:val="SingleTxtGR"/>
      </w:pPr>
      <w:r w:rsidRPr="00CE437D">
        <w:t>2.</w:t>
      </w:r>
      <w:r w:rsidRPr="00CE437D">
        <w:tab/>
        <w:t xml:space="preserve">В качестве образца использовались переходные положения, которые были приняты для </w:t>
      </w:r>
      <w:r w:rsidR="0083635D">
        <w:t>«</w:t>
      </w:r>
      <w:r w:rsidRPr="00CE437D">
        <w:t>заморозки</w:t>
      </w:r>
      <w:r w:rsidR="0083635D">
        <w:t>»</w:t>
      </w:r>
      <w:r w:rsidRPr="00CE437D">
        <w:t xml:space="preserve"> Правил № 20 ООН. </w:t>
      </w:r>
    </w:p>
    <w:p w:rsidR="00CE437D" w:rsidRPr="00CE437D" w:rsidRDefault="00CE437D" w:rsidP="00CE437D">
      <w:pPr>
        <w:pStyle w:val="SingleTxtGR"/>
      </w:pPr>
      <w:r w:rsidRPr="00CE437D">
        <w:t>3.</w:t>
      </w:r>
      <w:r w:rsidRPr="00CE437D">
        <w:tab/>
        <w:t xml:space="preserve">В результате введения новых упрощенных правил необходимо </w:t>
      </w:r>
      <w:r w:rsidR="0083635D">
        <w:t>«</w:t>
      </w:r>
      <w:r w:rsidRPr="00CE437D">
        <w:t>замор</w:t>
      </w:r>
      <w:r w:rsidRPr="00CE437D">
        <w:t>о</w:t>
      </w:r>
      <w:r w:rsidRPr="00CE437D">
        <w:t>зить</w:t>
      </w:r>
      <w:r w:rsidR="0083635D">
        <w:t>»</w:t>
      </w:r>
      <w:r w:rsidRPr="00CE437D">
        <w:t xml:space="preserve"> существующие правила по истечении разумного периода времени.</w:t>
      </w:r>
    </w:p>
    <w:p w:rsidR="00CE437D" w:rsidRPr="00CE437D" w:rsidRDefault="00CE437D" w:rsidP="00CE437D">
      <w:pPr>
        <w:pStyle w:val="SingleTxtGR"/>
      </w:pPr>
      <w:r w:rsidRPr="00CE437D">
        <w:t>4.</w:t>
      </w:r>
      <w:r w:rsidRPr="00CE437D">
        <w:tab/>
        <w:t xml:space="preserve">Для всех существующих правил предлагается </w:t>
      </w:r>
      <w:r w:rsidR="00F02D81">
        <w:t>24-</w:t>
      </w:r>
      <w:r w:rsidRPr="00CE437D">
        <w:t>месячный переходный период, что даст Договаривающимся сторонам, их компетентным органам и о</w:t>
      </w:r>
      <w:r w:rsidRPr="00CE437D">
        <w:t>т</w:t>
      </w:r>
      <w:r w:rsidRPr="00CE437D">
        <w:t>расли достаточно времени для того, чтобы:</w:t>
      </w:r>
    </w:p>
    <w:p w:rsidR="00CE437D" w:rsidRPr="00CE437D" w:rsidRDefault="00CE437D" w:rsidP="00CE437D">
      <w:pPr>
        <w:pStyle w:val="SingleTxtGR"/>
      </w:pPr>
      <w:r w:rsidRPr="00CE437D">
        <w:t>a)</w:t>
      </w:r>
      <w:r w:rsidRPr="00CE437D">
        <w:tab/>
        <w:t>завершить или реорганизовать текущую работу на основе существующ</w:t>
      </w:r>
      <w:r w:rsidRPr="00CE437D">
        <w:t>е</w:t>
      </w:r>
      <w:r w:rsidRPr="00CE437D">
        <w:t xml:space="preserve">го текста; </w:t>
      </w:r>
    </w:p>
    <w:p w:rsidR="00CE437D" w:rsidRPr="00CE437D" w:rsidRDefault="00CE437D" w:rsidP="00CE437D">
      <w:pPr>
        <w:pStyle w:val="SingleTxtGR"/>
      </w:pPr>
      <w:r w:rsidRPr="00CE437D">
        <w:t>b)</w:t>
      </w:r>
      <w:r w:rsidRPr="00CE437D">
        <w:tab/>
        <w:t>устранить возможные недопонимания и ошибки в тексте новых правил;</w:t>
      </w:r>
    </w:p>
    <w:p w:rsidR="00CE437D" w:rsidRPr="009F7C51" w:rsidRDefault="00CE437D" w:rsidP="00CE437D">
      <w:pPr>
        <w:pStyle w:val="SingleTxtGR"/>
      </w:pPr>
      <w:r w:rsidRPr="00CE437D">
        <w:t>c)</w:t>
      </w:r>
      <w:r w:rsidRPr="00CE437D">
        <w:tab/>
        <w:t>ввести измененную маркировку в соответствии с новыми правилами (например, фары для транспортных средств категории L).</w:t>
      </w:r>
    </w:p>
    <w:p w:rsidR="005C1009" w:rsidRPr="009F7C51" w:rsidRDefault="005C1009" w:rsidP="005C1009">
      <w:pPr>
        <w:pStyle w:val="SingleTxtGR"/>
        <w:spacing w:before="240" w:after="0"/>
        <w:jc w:val="center"/>
        <w:rPr>
          <w:u w:val="single"/>
        </w:rPr>
      </w:pPr>
      <w:r w:rsidRPr="009F7C51">
        <w:rPr>
          <w:u w:val="single"/>
        </w:rPr>
        <w:tab/>
      </w:r>
      <w:r w:rsidRPr="009F7C51">
        <w:rPr>
          <w:u w:val="single"/>
        </w:rPr>
        <w:tab/>
      </w:r>
      <w:r w:rsidRPr="009F7C51">
        <w:rPr>
          <w:u w:val="single"/>
        </w:rPr>
        <w:tab/>
      </w:r>
    </w:p>
    <w:sectPr w:rsidR="005C1009" w:rsidRPr="009F7C51" w:rsidSect="00CE437D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7D" w:rsidRPr="00A312BC" w:rsidRDefault="00CE437D" w:rsidP="00A312BC"/>
  </w:endnote>
  <w:endnote w:type="continuationSeparator" w:id="0">
    <w:p w:rsidR="00CE437D" w:rsidRPr="00A312BC" w:rsidRDefault="00CE43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7D" w:rsidRPr="00CE437D" w:rsidRDefault="00CE437D">
    <w:pPr>
      <w:pStyle w:val="Footer"/>
    </w:pPr>
    <w:r w:rsidRPr="00CE437D">
      <w:rPr>
        <w:b/>
        <w:sz w:val="18"/>
      </w:rPr>
      <w:fldChar w:fldCharType="begin"/>
    </w:r>
    <w:r w:rsidRPr="00CE437D">
      <w:rPr>
        <w:b/>
        <w:sz w:val="18"/>
      </w:rPr>
      <w:instrText xml:space="preserve"> PAGE  \* MERGEFORMAT </w:instrText>
    </w:r>
    <w:r w:rsidRPr="00CE437D">
      <w:rPr>
        <w:b/>
        <w:sz w:val="18"/>
      </w:rPr>
      <w:fldChar w:fldCharType="separate"/>
    </w:r>
    <w:r w:rsidR="004A6E09">
      <w:rPr>
        <w:b/>
        <w:noProof/>
        <w:sz w:val="18"/>
      </w:rPr>
      <w:t>2</w:t>
    </w:r>
    <w:r w:rsidRPr="00CE437D">
      <w:rPr>
        <w:b/>
        <w:sz w:val="18"/>
      </w:rPr>
      <w:fldChar w:fldCharType="end"/>
    </w:r>
    <w:r>
      <w:rPr>
        <w:b/>
        <w:sz w:val="18"/>
      </w:rPr>
      <w:tab/>
    </w:r>
    <w:r>
      <w:t>GE.17-13932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7D" w:rsidRPr="00CE437D" w:rsidRDefault="00CE437D" w:rsidP="00CE437D">
    <w:pPr>
      <w:pStyle w:val="Footer"/>
      <w:tabs>
        <w:tab w:val="clear" w:pos="9639"/>
        <w:tab w:val="right" w:pos="9638"/>
      </w:tabs>
      <w:rPr>
        <w:b/>
        <w:sz w:val="18"/>
      </w:rPr>
    </w:pPr>
    <w:r>
      <w:t>GE.17-13932</w:t>
    </w:r>
    <w:r>
      <w:tab/>
    </w:r>
    <w:r w:rsidRPr="00CE437D">
      <w:rPr>
        <w:b/>
        <w:sz w:val="18"/>
      </w:rPr>
      <w:fldChar w:fldCharType="begin"/>
    </w:r>
    <w:r w:rsidRPr="00CE437D">
      <w:rPr>
        <w:b/>
        <w:sz w:val="18"/>
      </w:rPr>
      <w:instrText xml:space="preserve"> PAGE  \* MERGEFORMAT </w:instrText>
    </w:r>
    <w:r w:rsidRPr="00CE437D">
      <w:rPr>
        <w:b/>
        <w:sz w:val="18"/>
      </w:rPr>
      <w:fldChar w:fldCharType="separate"/>
    </w:r>
    <w:r w:rsidR="004A6E09">
      <w:rPr>
        <w:b/>
        <w:noProof/>
        <w:sz w:val="18"/>
      </w:rPr>
      <w:t>15</w:t>
    </w:r>
    <w:r w:rsidRPr="00CE43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7D" w:rsidRPr="00CE437D" w:rsidRDefault="00CE437D" w:rsidP="00CE437D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7EBE7F9" wp14:editId="502EF5C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17-13932  (R)</w:t>
    </w:r>
    <w:r w:rsidR="00DC3F08">
      <w:rPr>
        <w:lang w:val="en-US"/>
      </w:rPr>
      <w:t xml:space="preserve">  060917  070917</w:t>
    </w:r>
    <w:r>
      <w:br/>
    </w:r>
    <w:r w:rsidRPr="00CE437D">
      <w:rPr>
        <w:rFonts w:ascii="C39T30Lfz" w:hAnsi="C39T30Lfz"/>
        <w:spacing w:val="0"/>
        <w:w w:val="100"/>
        <w:sz w:val="56"/>
      </w:rPr>
      <w:t></w:t>
    </w:r>
    <w:r w:rsidRPr="00CE437D">
      <w:rPr>
        <w:rFonts w:ascii="C39T30Lfz" w:hAnsi="C39T30Lfz"/>
        <w:spacing w:val="0"/>
        <w:w w:val="100"/>
        <w:sz w:val="56"/>
      </w:rPr>
      <w:t></w:t>
    </w:r>
    <w:r w:rsidRPr="00CE437D">
      <w:rPr>
        <w:rFonts w:ascii="C39T30Lfz" w:hAnsi="C39T30Lfz"/>
        <w:spacing w:val="0"/>
        <w:w w:val="100"/>
        <w:sz w:val="56"/>
      </w:rPr>
      <w:t></w:t>
    </w:r>
    <w:r w:rsidRPr="00CE437D">
      <w:rPr>
        <w:rFonts w:ascii="C39T30Lfz" w:hAnsi="C39T30Lfz"/>
        <w:spacing w:val="0"/>
        <w:w w:val="100"/>
        <w:sz w:val="56"/>
      </w:rPr>
      <w:t></w:t>
    </w:r>
    <w:r w:rsidRPr="00CE437D">
      <w:rPr>
        <w:rFonts w:ascii="C39T30Lfz" w:hAnsi="C39T30Lfz"/>
        <w:spacing w:val="0"/>
        <w:w w:val="100"/>
        <w:sz w:val="56"/>
      </w:rPr>
      <w:t></w:t>
    </w:r>
    <w:r w:rsidRPr="00CE437D">
      <w:rPr>
        <w:rFonts w:ascii="C39T30Lfz" w:hAnsi="C39T30Lfz"/>
        <w:spacing w:val="0"/>
        <w:w w:val="100"/>
        <w:sz w:val="56"/>
      </w:rPr>
      <w:t></w:t>
    </w:r>
    <w:r w:rsidRPr="00CE437D">
      <w:rPr>
        <w:rFonts w:ascii="C39T30Lfz" w:hAnsi="C39T30Lfz"/>
        <w:spacing w:val="0"/>
        <w:w w:val="100"/>
        <w:sz w:val="56"/>
      </w:rPr>
      <w:t></w:t>
    </w:r>
    <w:r w:rsidRPr="00CE437D">
      <w:rPr>
        <w:rFonts w:ascii="C39T30Lfz" w:hAnsi="C39T30Lfz"/>
        <w:spacing w:val="0"/>
        <w:w w:val="100"/>
        <w:sz w:val="56"/>
      </w:rPr>
      <w:t></w:t>
    </w:r>
    <w:r w:rsidRPr="00CE437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3496ACBA" wp14:editId="136D3D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E/2017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7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7D" w:rsidRPr="001075E9" w:rsidRDefault="00CE43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437D" w:rsidRDefault="00CE43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DC3F08" w:rsidRPr="00DC3F08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 w:rsidR="00DC3F08"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3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4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5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6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7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8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9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0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1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2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3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4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5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6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7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8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19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20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 xml:space="preserve"> </w:t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  <w:footnote w:id="21">
    <w:p w:rsidR="00CE437D" w:rsidRPr="007C322C" w:rsidRDefault="00CE437D" w:rsidP="00CE437D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Вносить изменения в номер официального утверждения не требуется [(TRANS/WP.29/815, пункт 82)].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7D" w:rsidRPr="00CE437D" w:rsidRDefault="004A6E0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2235D">
      <w:t>ECE/TRANS/WP.29/GRE/2017/13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37D" w:rsidRPr="00CE437D" w:rsidRDefault="004A6E09" w:rsidP="00CE437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2235D">
      <w:t>ECE/TRANS/WP.29/GRE/2017/13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C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14E4"/>
    <w:rsid w:val="00180183"/>
    <w:rsid w:val="0018024D"/>
    <w:rsid w:val="0018649F"/>
    <w:rsid w:val="00196389"/>
    <w:rsid w:val="001A28B7"/>
    <w:rsid w:val="001B3EF6"/>
    <w:rsid w:val="001C26AD"/>
    <w:rsid w:val="001C7A89"/>
    <w:rsid w:val="00255343"/>
    <w:rsid w:val="0027151D"/>
    <w:rsid w:val="002A2EFC"/>
    <w:rsid w:val="002B0106"/>
    <w:rsid w:val="002B74B1"/>
    <w:rsid w:val="002B771E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35D"/>
    <w:rsid w:val="003402C2"/>
    <w:rsid w:val="00381C24"/>
    <w:rsid w:val="00387CD4"/>
    <w:rsid w:val="003958D0"/>
    <w:rsid w:val="003A0D43"/>
    <w:rsid w:val="003A48CE"/>
    <w:rsid w:val="003B00E5"/>
    <w:rsid w:val="003B4A27"/>
    <w:rsid w:val="00407B78"/>
    <w:rsid w:val="00424203"/>
    <w:rsid w:val="00452493"/>
    <w:rsid w:val="00453318"/>
    <w:rsid w:val="00454AF2"/>
    <w:rsid w:val="00454E07"/>
    <w:rsid w:val="00472C5C"/>
    <w:rsid w:val="004A6E09"/>
    <w:rsid w:val="004E05B7"/>
    <w:rsid w:val="0050108D"/>
    <w:rsid w:val="00513081"/>
    <w:rsid w:val="00517901"/>
    <w:rsid w:val="00526683"/>
    <w:rsid w:val="005639C1"/>
    <w:rsid w:val="005709E0"/>
    <w:rsid w:val="00572E19"/>
    <w:rsid w:val="005908B5"/>
    <w:rsid w:val="005961C8"/>
    <w:rsid w:val="005966F1"/>
    <w:rsid w:val="005C1009"/>
    <w:rsid w:val="005D7914"/>
    <w:rsid w:val="005E2B41"/>
    <w:rsid w:val="005F0B42"/>
    <w:rsid w:val="006171CE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44E8"/>
    <w:rsid w:val="00757357"/>
    <w:rsid w:val="00792497"/>
    <w:rsid w:val="007F72EF"/>
    <w:rsid w:val="00806737"/>
    <w:rsid w:val="00825F8D"/>
    <w:rsid w:val="00834B71"/>
    <w:rsid w:val="0083635D"/>
    <w:rsid w:val="0086445C"/>
    <w:rsid w:val="00894693"/>
    <w:rsid w:val="008A08D7"/>
    <w:rsid w:val="008A37C8"/>
    <w:rsid w:val="008B6909"/>
    <w:rsid w:val="008D53B6"/>
    <w:rsid w:val="008E24AA"/>
    <w:rsid w:val="008F7609"/>
    <w:rsid w:val="00906890"/>
    <w:rsid w:val="00911BE4"/>
    <w:rsid w:val="00926B87"/>
    <w:rsid w:val="00951972"/>
    <w:rsid w:val="009608F3"/>
    <w:rsid w:val="009A24AC"/>
    <w:rsid w:val="009C30B5"/>
    <w:rsid w:val="009C6FE6"/>
    <w:rsid w:val="009D7E7D"/>
    <w:rsid w:val="009F7C51"/>
    <w:rsid w:val="00A14DA8"/>
    <w:rsid w:val="00A312BC"/>
    <w:rsid w:val="00A76A7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6233"/>
    <w:rsid w:val="00C60F0C"/>
    <w:rsid w:val="00C805C9"/>
    <w:rsid w:val="00C92939"/>
    <w:rsid w:val="00CA1679"/>
    <w:rsid w:val="00CB151C"/>
    <w:rsid w:val="00CE437D"/>
    <w:rsid w:val="00CE5A1A"/>
    <w:rsid w:val="00CF55F6"/>
    <w:rsid w:val="00CF796C"/>
    <w:rsid w:val="00D33D63"/>
    <w:rsid w:val="00D5253A"/>
    <w:rsid w:val="00D838BE"/>
    <w:rsid w:val="00D90028"/>
    <w:rsid w:val="00D90138"/>
    <w:rsid w:val="00DC3F0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2D8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4679</Words>
  <Characters>26674</Characters>
  <Application>Microsoft Office Word</Application>
  <DocSecurity>4</DocSecurity>
  <Lines>222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ECE/TRANS/WP.29/GRE/2017/13</vt:lpstr>
      <vt:lpstr>ECE/TRANS/WP.29/GRE/2017/13</vt:lpstr>
      <vt:lpstr>A/</vt:lpstr>
    </vt:vector>
  </TitlesOfParts>
  <Company>DCM</Company>
  <LinksUpToDate>false</LinksUpToDate>
  <CharactersWithSpaces>31291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ECE/TRANS/WP.29/GRE/2017/13</dc:title>
  <dc:creator>Sharkina</dc:creator>
  <cp:lastModifiedBy>Benedicte Boudol</cp:lastModifiedBy>
  <cp:revision>2</cp:revision>
  <cp:lastPrinted>2017-09-07T15:18:00Z</cp:lastPrinted>
  <dcterms:created xsi:type="dcterms:W3CDTF">2017-10-11T15:50:00Z</dcterms:created>
  <dcterms:modified xsi:type="dcterms:W3CDTF">2017-10-11T15:50:00Z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