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047D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047D5" w:rsidP="00B047D5">
            <w:pPr>
              <w:jc w:val="right"/>
            </w:pPr>
            <w:r w:rsidRPr="00B047D5">
              <w:rPr>
                <w:sz w:val="40"/>
              </w:rPr>
              <w:t>ECE</w:t>
            </w:r>
            <w:r>
              <w:t>/TRANS/WP.29/GRE/2017/13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047D5" w:rsidP="00C97039">
            <w:pPr>
              <w:spacing w:before="240"/>
            </w:pPr>
            <w:r>
              <w:t>Distr. générale</w:t>
            </w:r>
          </w:p>
          <w:p w:rsidR="00B047D5" w:rsidRDefault="00B047D5" w:rsidP="00B047D5">
            <w:pPr>
              <w:spacing w:line="240" w:lineRule="exact"/>
            </w:pPr>
            <w:r>
              <w:t>14 août 2017</w:t>
            </w:r>
          </w:p>
          <w:p w:rsidR="00B047D5" w:rsidRDefault="00B047D5" w:rsidP="00B047D5">
            <w:pPr>
              <w:spacing w:line="240" w:lineRule="exact"/>
            </w:pPr>
            <w:r>
              <w:t>Français</w:t>
            </w:r>
          </w:p>
          <w:p w:rsidR="00B047D5" w:rsidRPr="00DB58B5" w:rsidRDefault="00B047D5" w:rsidP="00B047D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D7D3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C3962" w:rsidRDefault="002C396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D7D3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C3962" w:rsidRDefault="002C396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9D7D3B">
        <w:rPr>
          <w:b/>
        </w:rPr>
        <w:t>’</w:t>
      </w:r>
      <w:r>
        <w:rPr>
          <w:b/>
        </w:rPr>
        <w:t>éclairage et de la signalisation lumineuse</w:t>
      </w:r>
    </w:p>
    <w:p w:rsidR="002C3962" w:rsidRDefault="002C3962" w:rsidP="00257168">
      <w:pPr>
        <w:spacing w:before="120" w:line="240" w:lineRule="exact"/>
        <w:rPr>
          <w:b/>
        </w:rPr>
      </w:pPr>
      <w:r w:rsidRPr="002C3962">
        <w:rPr>
          <w:b/>
        </w:rPr>
        <w:t>Soixante-dix-huitième</w:t>
      </w:r>
      <w:r>
        <w:rPr>
          <w:b/>
        </w:rPr>
        <w:t xml:space="preserve"> session</w:t>
      </w:r>
    </w:p>
    <w:p w:rsidR="002C3962" w:rsidRDefault="002C3962" w:rsidP="00257168">
      <w:pPr>
        <w:spacing w:line="240" w:lineRule="exact"/>
      </w:pPr>
      <w:r>
        <w:t xml:space="preserve">Genève, </w:t>
      </w:r>
      <w:r w:rsidRPr="00377DC0">
        <w:rPr>
          <w:lang w:val="fr-FR"/>
        </w:rPr>
        <w:t>24-27 octobre 2017</w:t>
      </w:r>
    </w:p>
    <w:p w:rsidR="002C3962" w:rsidRDefault="002C3962" w:rsidP="00257168">
      <w:pPr>
        <w:spacing w:line="240" w:lineRule="exact"/>
      </w:pPr>
      <w:r>
        <w:t>Point 4 de l</w:t>
      </w:r>
      <w:r w:rsidR="009D7D3B">
        <w:t>’</w:t>
      </w:r>
      <w:r>
        <w:t>ordre du jour provisoire</w:t>
      </w:r>
    </w:p>
    <w:p w:rsidR="002C3962" w:rsidRPr="002C3962" w:rsidRDefault="002C3962" w:rsidP="002C3962">
      <w:pPr>
        <w:rPr>
          <w:b/>
        </w:rPr>
      </w:pPr>
      <w:r w:rsidRPr="002C3962">
        <w:rPr>
          <w:b/>
          <w:lang w:val="fr-FR"/>
        </w:rPr>
        <w:t>Simplification des Règlements concernant l</w:t>
      </w:r>
      <w:r w:rsidR="009D7D3B">
        <w:rPr>
          <w:b/>
          <w:lang w:val="fr-FR"/>
        </w:rPr>
        <w:t>’</w:t>
      </w:r>
      <w:r w:rsidRPr="002C3962">
        <w:rPr>
          <w:b/>
          <w:lang w:val="fr-FR"/>
        </w:rPr>
        <w:t xml:space="preserve">éclairage </w:t>
      </w:r>
      <w:r w:rsidR="00267091">
        <w:rPr>
          <w:b/>
          <w:lang w:val="fr-FR"/>
        </w:rPr>
        <w:br/>
      </w:r>
      <w:r w:rsidRPr="002C3962">
        <w:rPr>
          <w:b/>
          <w:lang w:val="fr-FR"/>
        </w:rPr>
        <w:t>et la signalisation lumineuse</w:t>
      </w:r>
    </w:p>
    <w:p w:rsidR="002C3962" w:rsidRPr="00377DC0" w:rsidRDefault="002C3962" w:rsidP="002C3962">
      <w:pPr>
        <w:pStyle w:val="HChG"/>
      </w:pPr>
      <w:r w:rsidRPr="00377DC0">
        <w:rPr>
          <w:lang w:val="fr-FR"/>
        </w:rPr>
        <w:tab/>
      </w:r>
      <w:r w:rsidRPr="00377DC0">
        <w:rPr>
          <w:lang w:val="fr-FR"/>
        </w:rPr>
        <w:tab/>
        <w:t>Amendements collectifs aux Règlements n</w:t>
      </w:r>
      <w:r w:rsidRPr="00377DC0">
        <w:rPr>
          <w:vertAlign w:val="superscript"/>
          <w:lang w:val="fr-FR"/>
        </w:rPr>
        <w:t xml:space="preserve">os </w:t>
      </w:r>
      <w:r w:rsidRPr="00377DC0">
        <w:rPr>
          <w:lang w:val="fr-FR"/>
        </w:rPr>
        <w:t>3, 4, 6, 7, 19, 23, 27, 38, 50, 69, 70, 77, 87, 91, 98, 104, 112, 113, 119 et 123</w:t>
      </w:r>
    </w:p>
    <w:p w:rsidR="002C3962" w:rsidRPr="00377DC0" w:rsidRDefault="002C3962" w:rsidP="002C3962">
      <w:pPr>
        <w:pStyle w:val="H1G"/>
      </w:pPr>
      <w:r w:rsidRPr="00377DC0">
        <w:rPr>
          <w:lang w:val="fr-FR"/>
        </w:rPr>
        <w:tab/>
      </w:r>
      <w:r w:rsidRPr="00377DC0">
        <w:rPr>
          <w:lang w:val="fr-FR"/>
        </w:rPr>
        <w:tab/>
        <w:t xml:space="preserve">Communication du groupe de travail informel chargé </w:t>
      </w:r>
      <w:r>
        <w:rPr>
          <w:lang w:val="fr-FR"/>
        </w:rPr>
        <w:br/>
      </w:r>
      <w:r w:rsidRPr="00377DC0">
        <w:rPr>
          <w:lang w:val="fr-FR"/>
        </w:rPr>
        <w:t>de la simplification des Règ</w:t>
      </w:r>
      <w:r>
        <w:rPr>
          <w:lang w:val="fr-FR"/>
        </w:rPr>
        <w:t>lements relatifs à l</w:t>
      </w:r>
      <w:r w:rsidR="009D7D3B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</w:r>
      <w:r w:rsidRPr="00377DC0">
        <w:rPr>
          <w:lang w:val="fr-FR"/>
        </w:rPr>
        <w:t>et à la signalisation lumineuse</w:t>
      </w:r>
      <w:r w:rsidRPr="002C3962">
        <w:rPr>
          <w:b w:val="0"/>
          <w:sz w:val="20"/>
          <w:lang w:val="fr-FR"/>
        </w:rPr>
        <w:footnoteReference w:customMarkFollows="1" w:id="2"/>
        <w:t>*</w:t>
      </w:r>
    </w:p>
    <w:p w:rsidR="002C3962" w:rsidRDefault="002C3962" w:rsidP="002C3962">
      <w:pPr>
        <w:pStyle w:val="SingleTxtG"/>
        <w:ind w:firstLine="567"/>
      </w:pPr>
      <w:r w:rsidRPr="00377DC0">
        <w:rPr>
          <w:lang w:val="fr-FR"/>
        </w:rPr>
        <w:t>Le texte ci-après, établi par le groupe de travail informel chargé de la simplification des Règlements relatifs à l</w:t>
      </w:r>
      <w:r w:rsidR="009D7D3B">
        <w:rPr>
          <w:lang w:val="fr-FR"/>
        </w:rPr>
        <w:t>’</w:t>
      </w:r>
      <w:r w:rsidRPr="00377DC0">
        <w:rPr>
          <w:lang w:val="fr-FR"/>
        </w:rPr>
        <w:t>éclairage et à la signalisation lumineuse, tend à ajouter aux Règlements portant sur l</w:t>
      </w:r>
      <w:r w:rsidR="009D7D3B">
        <w:rPr>
          <w:lang w:val="fr-FR"/>
        </w:rPr>
        <w:t>’</w:t>
      </w:r>
      <w:r w:rsidRPr="00377DC0">
        <w:rPr>
          <w:lang w:val="fr-FR"/>
        </w:rPr>
        <w:t>éclairage et la signalisation lumineuse actuellement en vigueur des dispositions transitoires liées à la mise en place de trois nouveaux Règlements simplifiés portant respectivement sur les dispositifs de signalisation lumineuse (LSD), les dispositifs d</w:t>
      </w:r>
      <w:r w:rsidR="009D7D3B">
        <w:rPr>
          <w:lang w:val="fr-FR"/>
        </w:rPr>
        <w:t>’</w:t>
      </w:r>
      <w:r w:rsidRPr="00377DC0">
        <w:rPr>
          <w:lang w:val="fr-FR"/>
        </w:rPr>
        <w:t>éclairage de la route (RID) et les dispositifs catadioptriques (RRD). Les passages du texte entre crochets nécessitent un débat et la prise d</w:t>
      </w:r>
      <w:r w:rsidR="009D7D3B">
        <w:rPr>
          <w:lang w:val="fr-FR"/>
        </w:rPr>
        <w:t>’</w:t>
      </w:r>
      <w:r w:rsidRPr="00377DC0">
        <w:rPr>
          <w:lang w:val="fr-FR"/>
        </w:rPr>
        <w:t>une décision.</w:t>
      </w:r>
    </w:p>
    <w:p w:rsidR="002C3962" w:rsidRPr="00377DC0" w:rsidRDefault="002C3962" w:rsidP="00BF1845">
      <w:pPr>
        <w:pStyle w:val="HChG"/>
      </w:pPr>
      <w:r>
        <w:br w:type="page"/>
      </w:r>
      <w:r w:rsidR="00BF1845">
        <w:lastRenderedPageBreak/>
        <w:tab/>
      </w:r>
      <w:r w:rsidRPr="00377DC0">
        <w:rPr>
          <w:lang w:val="fr-FR"/>
        </w:rPr>
        <w:t>I.</w:t>
      </w:r>
      <w:r w:rsidRPr="00377DC0">
        <w:rPr>
          <w:lang w:val="fr-FR"/>
        </w:rPr>
        <w:tab/>
        <w:t>Proposition</w:t>
      </w:r>
    </w:p>
    <w:p w:rsidR="002C3962" w:rsidRPr="00377DC0" w:rsidRDefault="00BF1845" w:rsidP="00BF1845">
      <w:pPr>
        <w:pStyle w:val="H1G"/>
      </w:pPr>
      <w:r>
        <w:rPr>
          <w:lang w:val="fr-FR"/>
        </w:rPr>
        <w:tab/>
      </w:r>
      <w:r w:rsidR="002C3962" w:rsidRPr="00377DC0">
        <w:rPr>
          <w:lang w:val="fr-FR"/>
        </w:rPr>
        <w:t>A.</w:t>
      </w:r>
      <w:r w:rsidR="002C3962" w:rsidRPr="00377DC0">
        <w:rPr>
          <w:lang w:val="fr-FR"/>
        </w:rPr>
        <w:tab/>
        <w:t>Proposition de série 03 d</w:t>
      </w:r>
      <w:r w:rsidR="009D7D3B">
        <w:rPr>
          <w:lang w:val="fr-FR"/>
        </w:rPr>
        <w:t>’</w:t>
      </w:r>
      <w:r w:rsidR="002C3962" w:rsidRPr="00377DC0">
        <w:rPr>
          <w:lang w:val="fr-FR"/>
        </w:rPr>
        <w:t>amendements au Règlement n</w:t>
      </w:r>
      <w:r w:rsidR="00DF5CCD" w:rsidRPr="00DF5CCD">
        <w:rPr>
          <w:vertAlign w:val="superscript"/>
          <w:lang w:val="fr-FR"/>
        </w:rPr>
        <w:t>o</w:t>
      </w:r>
      <w:r w:rsidR="00DF5CCD">
        <w:rPr>
          <w:lang w:val="fr-FR"/>
        </w:rPr>
        <w:t> </w:t>
      </w:r>
      <w:r w:rsidR="002C3962" w:rsidRPr="00377DC0">
        <w:rPr>
          <w:lang w:val="fr-FR"/>
        </w:rPr>
        <w:t>3</w:t>
      </w:r>
      <w:r w:rsidR="002C3962" w:rsidRPr="004C6B8E">
        <w:rPr>
          <w:rStyle w:val="FootnoteReference"/>
          <w:b w:val="0"/>
        </w:rPr>
        <w:footnoteReference w:id="3"/>
      </w:r>
    </w:p>
    <w:p w:rsidR="002C3962" w:rsidRPr="00377DC0" w:rsidRDefault="002C3962" w:rsidP="00BF1845">
      <w:pPr>
        <w:pStyle w:val="SingleTxtG"/>
        <w:rPr>
          <w:iCs/>
        </w:rPr>
      </w:pPr>
      <w:r w:rsidRPr="00377DC0">
        <w:rPr>
          <w:i/>
          <w:iCs/>
          <w:lang w:val="fr-FR"/>
        </w:rPr>
        <w:t>Paragraphe 12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BF1845" w:rsidP="009E7B96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12.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9E7B96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4C6B8E">
        <w:rPr>
          <w:lang w:val="fr-FR"/>
        </w:rPr>
        <w:t>trée en vigueur du Règlement n</w:t>
      </w:r>
      <w:r w:rsidR="004C6B8E" w:rsidRPr="004C6B8E">
        <w:rPr>
          <w:vertAlign w:val="superscript"/>
          <w:lang w:val="fr-FR"/>
        </w:rPr>
        <w:t>o</w:t>
      </w:r>
      <w:r w:rsidR="004C6B8E">
        <w:rPr>
          <w:lang w:val="fr-FR"/>
        </w:rPr>
        <w:t> </w:t>
      </w:r>
      <w:r w:rsidRPr="00377DC0">
        <w:rPr>
          <w:lang w:val="fr-FR"/>
        </w:rPr>
        <w:t>[RRD],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9E7B96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9E7B96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9E7B96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</w:t>
      </w:r>
      <w:r w:rsidR="004C6B8E">
        <w:rPr>
          <w:lang w:val="fr-FR"/>
        </w:rPr>
        <w:t>oient destiné</w:t>
      </w:r>
      <w:r w:rsidRPr="00377DC0">
        <w:rPr>
          <w:lang w:val="fr-FR"/>
        </w:rPr>
        <w:t>s à remplacer des éléments équipant déjà des véhicules en service.</w:t>
      </w:r>
    </w:p>
    <w:p w:rsidR="002C3962" w:rsidRPr="00377DC0" w:rsidRDefault="002C3962" w:rsidP="009E7B96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9E7B96">
        <w:rPr>
          <w:lang w:val="fr-FR"/>
        </w:rPr>
        <w:t>lacer un élément déjà en place. ».</w:t>
      </w:r>
    </w:p>
    <w:p w:rsidR="002C3962" w:rsidRPr="00377DC0" w:rsidRDefault="009E7B96" w:rsidP="009E7B96">
      <w:pPr>
        <w:pStyle w:val="H1G"/>
      </w:pPr>
      <w:r>
        <w:rPr>
          <w:lang w:val="fr-FR"/>
        </w:rPr>
        <w:tab/>
        <w:t>B.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01 d</w:t>
      </w:r>
      <w:r w:rsidR="009D7D3B">
        <w:rPr>
          <w:lang w:val="fr-FR"/>
        </w:rPr>
        <w:t>’</w:t>
      </w:r>
      <w:r w:rsidR="00DF5CCD">
        <w:rPr>
          <w:lang w:val="fr-FR"/>
        </w:rPr>
        <w:t>amendements au Règlement n</w:t>
      </w:r>
      <w:r w:rsidR="00DF5CCD" w:rsidRPr="00DF5CCD">
        <w:rPr>
          <w:vertAlign w:val="superscript"/>
          <w:lang w:val="fr-FR"/>
        </w:rPr>
        <w:t>o</w:t>
      </w:r>
      <w:r w:rsidR="00DF5CCD">
        <w:rPr>
          <w:lang w:val="fr-FR"/>
        </w:rPr>
        <w:t> </w:t>
      </w:r>
      <w:r w:rsidR="002C3962" w:rsidRPr="00377DC0">
        <w:rPr>
          <w:lang w:val="fr-FR"/>
        </w:rPr>
        <w:t>4</w:t>
      </w:r>
      <w:r w:rsidR="002C3962" w:rsidRPr="00FF48CA">
        <w:rPr>
          <w:rStyle w:val="FootnoteReference"/>
          <w:b w:val="0"/>
        </w:rPr>
        <w:footnoteReference w:id="4"/>
      </w:r>
    </w:p>
    <w:p w:rsidR="002C3962" w:rsidRPr="00377DC0" w:rsidRDefault="002C3962" w:rsidP="006D6A6A">
      <w:pPr>
        <w:pStyle w:val="SingleTxtG"/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F48CA">
        <w:rPr>
          <w:lang w:val="fr-FR"/>
        </w:rPr>
        <w:t>trée en vigueur du Règlement n</w:t>
      </w:r>
      <w:r w:rsidR="00FF48CA" w:rsidRPr="00FF48CA">
        <w:rPr>
          <w:vertAlign w:val="superscript"/>
          <w:lang w:val="fr-FR"/>
        </w:rPr>
        <w:t>o</w:t>
      </w:r>
      <w:r w:rsidR="00FF48C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</w:t>
      </w:r>
      <w:r w:rsidR="006D6A6A">
        <w:rPr>
          <w:lang w:val="fr-FR"/>
        </w:rPr>
        <w:t xml:space="preserve"> en vertu du présent Règlement, y </w:t>
      </w:r>
      <w:r w:rsidRPr="00377DC0">
        <w:rPr>
          <w:lang w:val="fr-FR"/>
        </w:rPr>
        <w:t>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lastRenderedPageBreak/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F48CA">
        <w:rPr>
          <w:lang w:val="fr-FR"/>
        </w:rPr>
        <w:t>lacer un élément déjà en place. ».</w:t>
      </w:r>
    </w:p>
    <w:p w:rsidR="002C3962" w:rsidRPr="00377DC0" w:rsidRDefault="006D6A6A" w:rsidP="006D6A6A">
      <w:pPr>
        <w:pStyle w:val="H1G"/>
        <w:rPr>
          <w:b w:val="0"/>
        </w:rPr>
      </w:pPr>
      <w:r>
        <w:rPr>
          <w:lang w:val="fr-FR"/>
        </w:rPr>
        <w:tab/>
        <w:t>C.</w:t>
      </w:r>
      <w:r w:rsidR="002C3962" w:rsidRPr="006D6A6A">
        <w:rPr>
          <w:lang w:val="fr-FR"/>
        </w:rPr>
        <w:tab/>
        <w:t xml:space="preserve">Proposition de série 02 </w:t>
      </w:r>
      <w:r w:rsidR="002C3962" w:rsidRPr="006D6A6A">
        <w:t>d</w:t>
      </w:r>
      <w:r w:rsidR="009D7D3B">
        <w:t>’</w:t>
      </w:r>
      <w:r w:rsidR="002C3962" w:rsidRPr="006D6A6A">
        <w:t>amendements</w:t>
      </w:r>
      <w:r w:rsidR="002C3962" w:rsidRPr="006D6A6A">
        <w:rPr>
          <w:lang w:val="fr-FR"/>
        </w:rPr>
        <w:t xml:space="preserve"> au Règlement</w:t>
      </w:r>
      <w:r w:rsidRPr="006D6A6A">
        <w:rPr>
          <w:lang w:val="fr-FR"/>
        </w:rPr>
        <w:t xml:space="preserve"> n</w:t>
      </w:r>
      <w:r w:rsidRPr="00DF5CCD">
        <w:rPr>
          <w:vertAlign w:val="superscript"/>
          <w:lang w:val="fr-FR"/>
        </w:rPr>
        <w:t>o</w:t>
      </w:r>
      <w:r w:rsidR="00DF5CCD" w:rsidRPr="00DF5CCD">
        <w:rPr>
          <w:lang w:val="fr-FR"/>
        </w:rPr>
        <w:t> </w:t>
      </w:r>
      <w:r w:rsidR="002C3962" w:rsidRPr="006D6A6A">
        <w:rPr>
          <w:lang w:val="fr-FR"/>
        </w:rPr>
        <w:t>6</w:t>
      </w:r>
      <w:r w:rsidRPr="006D6A6A">
        <w:rPr>
          <w:rStyle w:val="FootnoteReference"/>
          <w:b w:val="0"/>
        </w:rPr>
        <w:footnoteReference w:id="5"/>
      </w:r>
    </w:p>
    <w:p w:rsidR="002C3962" w:rsidRPr="00377DC0" w:rsidRDefault="002C3962" w:rsidP="006D6A6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F48CA">
        <w:rPr>
          <w:lang w:val="fr-FR"/>
        </w:rPr>
        <w:t>trée en vigueur du Règlement n</w:t>
      </w:r>
      <w:r w:rsidR="00FF48CA" w:rsidRPr="00FF48CA">
        <w:rPr>
          <w:vertAlign w:val="superscript"/>
          <w:lang w:val="fr-FR"/>
        </w:rPr>
        <w:t>o</w:t>
      </w:r>
      <w:r w:rsidR="00FF48C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et à toute série précédente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 présent Règlement, à condition que ces dispositifs soient destinés à remplacer des éléments déjà installés sur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</w:t>
      </w:r>
      <w:r w:rsidR="006D6A6A">
        <w:rPr>
          <w:lang w:val="fr-FR"/>
        </w:rPr>
        <w:t xml:space="preserve"> remplacer un élément existant.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D.</w:t>
      </w:r>
      <w:r w:rsidR="002C3962" w:rsidRPr="00377DC0">
        <w:rPr>
          <w:lang w:val="fr-FR"/>
        </w:rPr>
        <w:tab/>
        <w:t>Proposition de série 03 d</w:t>
      </w:r>
      <w:r w:rsidR="009D7D3B">
        <w:rPr>
          <w:lang w:val="fr-FR"/>
        </w:rPr>
        <w:t>’</w:t>
      </w:r>
      <w:r w:rsidR="00DF5CCD">
        <w:rPr>
          <w:lang w:val="fr-FR"/>
        </w:rPr>
        <w:t>amendements au Règlement n</w:t>
      </w:r>
      <w:r w:rsidR="00DF5CCD" w:rsidRPr="00DF5CCD">
        <w:rPr>
          <w:vertAlign w:val="superscript"/>
          <w:lang w:val="fr-FR"/>
        </w:rPr>
        <w:t>o</w:t>
      </w:r>
      <w:r w:rsidR="00DF5CCD">
        <w:rPr>
          <w:lang w:val="fr-FR"/>
        </w:rPr>
        <w:t> </w:t>
      </w:r>
      <w:r w:rsidR="002C3962" w:rsidRPr="00377DC0">
        <w:rPr>
          <w:lang w:val="fr-FR"/>
        </w:rPr>
        <w:t>7</w:t>
      </w:r>
      <w:r w:rsidR="002C3962" w:rsidRPr="006D6A6A">
        <w:rPr>
          <w:rStyle w:val="FootnoteReference"/>
          <w:b w:val="0"/>
        </w:rPr>
        <w:footnoteReference w:id="6"/>
      </w:r>
    </w:p>
    <w:p w:rsidR="002C3962" w:rsidRPr="00377DC0" w:rsidRDefault="002C3962" w:rsidP="006D6A6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F48CA">
        <w:rPr>
          <w:lang w:val="fr-FR"/>
        </w:rPr>
        <w:t>trée en vigueur du Règlement n</w:t>
      </w:r>
      <w:r w:rsidR="00FF48CA" w:rsidRPr="00FF48CA">
        <w:rPr>
          <w:vertAlign w:val="superscript"/>
          <w:lang w:val="fr-FR"/>
        </w:rPr>
        <w:t>o</w:t>
      </w:r>
      <w:r w:rsidR="00FF48C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6D6A6A">
        <w:rPr>
          <w:lang w:val="fr-FR"/>
        </w:rPr>
        <w:t>lacer un élément déjà en place.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E.</w:t>
      </w:r>
      <w:r w:rsidR="002C3962" w:rsidRPr="006D6A6A">
        <w:rPr>
          <w:lang w:val="fr-FR"/>
        </w:rPr>
        <w:tab/>
      </w:r>
      <w:r w:rsidR="002C3962" w:rsidRPr="006D6A6A">
        <w:t>Proposition</w:t>
      </w:r>
      <w:r w:rsidR="002C3962" w:rsidRPr="006D6A6A">
        <w:rPr>
          <w:lang w:val="fr-FR"/>
        </w:rPr>
        <w:t xml:space="preserve"> de série 05 d</w:t>
      </w:r>
      <w:r w:rsidR="009D7D3B">
        <w:rPr>
          <w:lang w:val="fr-FR"/>
        </w:rPr>
        <w:t>’</w:t>
      </w:r>
      <w:r w:rsidR="00DF5CCD">
        <w:rPr>
          <w:lang w:val="fr-FR"/>
        </w:rPr>
        <w:t>amendements au Règlement n</w:t>
      </w:r>
      <w:r w:rsidR="00DF5CCD" w:rsidRPr="00DF5CCD">
        <w:rPr>
          <w:vertAlign w:val="superscript"/>
          <w:lang w:val="fr-FR"/>
        </w:rPr>
        <w:t>o</w:t>
      </w:r>
      <w:r w:rsidR="00DF5CCD">
        <w:rPr>
          <w:lang w:val="fr-FR"/>
        </w:rPr>
        <w:t> </w:t>
      </w:r>
      <w:r w:rsidR="002C3962" w:rsidRPr="006D6A6A">
        <w:rPr>
          <w:lang w:val="fr-FR"/>
        </w:rPr>
        <w:t>19</w:t>
      </w:r>
      <w:r w:rsidR="002C3962" w:rsidRPr="006D6A6A">
        <w:rPr>
          <w:rStyle w:val="FootnoteReference"/>
          <w:b w:val="0"/>
        </w:rPr>
        <w:footnoteReference w:id="7"/>
      </w:r>
    </w:p>
    <w:p w:rsidR="002C3962" w:rsidRPr="00377DC0" w:rsidRDefault="002C3962" w:rsidP="006D6A6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6D6A6A">
        <w:rPr>
          <w:lang w:val="fr-FR"/>
        </w:rPr>
        <w:t>trée en vigueur du Règlement n</w:t>
      </w:r>
      <w:r w:rsidR="006D6A6A" w:rsidRPr="006D6A6A">
        <w:rPr>
          <w:vertAlign w:val="superscript"/>
          <w:lang w:val="fr-FR"/>
        </w:rPr>
        <w:t>o</w:t>
      </w:r>
      <w:r w:rsidR="006D6A6A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 présent Règlement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6D6A6A">
        <w:rPr>
          <w:lang w:val="fr-FR"/>
        </w:rPr>
        <w:t>lacer un élément déjà en place.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F.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01 d</w:t>
      </w:r>
      <w:r w:rsidR="009D7D3B">
        <w:rPr>
          <w:lang w:val="fr-FR"/>
        </w:rPr>
        <w:t>’</w:t>
      </w:r>
      <w:r w:rsidR="00DF5CCD">
        <w:rPr>
          <w:lang w:val="fr-FR"/>
        </w:rPr>
        <w:t>amendements au Règlement n</w:t>
      </w:r>
      <w:r w:rsidR="00DF5CCD" w:rsidRPr="00DF5CCD">
        <w:rPr>
          <w:vertAlign w:val="superscript"/>
          <w:lang w:val="fr-FR"/>
        </w:rPr>
        <w:t>o</w:t>
      </w:r>
      <w:r w:rsidR="00DF5CCD">
        <w:rPr>
          <w:lang w:val="fr-FR"/>
        </w:rPr>
        <w:t> </w:t>
      </w:r>
      <w:r w:rsidR="002C3962" w:rsidRPr="00377DC0">
        <w:rPr>
          <w:lang w:val="fr-FR"/>
        </w:rPr>
        <w:t>23</w:t>
      </w:r>
      <w:r w:rsidR="002C3962" w:rsidRPr="00FF48CA">
        <w:rPr>
          <w:rStyle w:val="FootnoteReference"/>
          <w:b w:val="0"/>
        </w:rPr>
        <w:footnoteReference w:id="8"/>
      </w:r>
    </w:p>
    <w:p w:rsidR="002C3962" w:rsidRPr="00377DC0" w:rsidRDefault="002C3962" w:rsidP="006D6A6A">
      <w:pPr>
        <w:pStyle w:val="SingleTxtG"/>
      </w:pPr>
      <w:r w:rsidRPr="00377DC0">
        <w:rPr>
          <w:i/>
          <w:iCs/>
          <w:lang w:val="fr-FR"/>
        </w:rPr>
        <w:t>Ajouter un nouveau paragraphe 13</w:t>
      </w:r>
      <w:r w:rsidRPr="00377DC0">
        <w:rPr>
          <w:lang w:val="fr-FR"/>
        </w:rPr>
        <w:t>, libellé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6D6A6A">
        <w:rPr>
          <w:lang w:val="fr-FR"/>
        </w:rPr>
        <w:t>trée en vigueur du Règlement n</w:t>
      </w:r>
      <w:r w:rsidR="006D6A6A" w:rsidRPr="006D6A6A">
        <w:rPr>
          <w:vertAlign w:val="superscript"/>
          <w:lang w:val="fr-FR"/>
        </w:rPr>
        <w:t>o</w:t>
      </w:r>
      <w:r w:rsidR="006D6A6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6D6A6A">
        <w:rPr>
          <w:lang w:val="fr-FR"/>
        </w:rPr>
        <w:t>lacer un élément déjà en place.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G.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5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6D6A6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27</w:t>
      </w:r>
      <w:r w:rsidR="002C3962" w:rsidRPr="006D6A6A">
        <w:rPr>
          <w:rStyle w:val="FootnoteReference"/>
          <w:b w:val="0"/>
        </w:rPr>
        <w:footnoteReference w:id="9"/>
      </w:r>
    </w:p>
    <w:p w:rsidR="002C3962" w:rsidRPr="00377DC0" w:rsidRDefault="002C3962" w:rsidP="006D6A6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F48CA">
        <w:rPr>
          <w:lang w:val="fr-FR"/>
        </w:rPr>
        <w:t>trée en vigueur du Règlement n</w:t>
      </w:r>
      <w:r w:rsidR="00FF48CA" w:rsidRPr="00FF48CA">
        <w:rPr>
          <w:vertAlign w:val="superscript"/>
          <w:lang w:val="fr-FR"/>
        </w:rPr>
        <w:t>o</w:t>
      </w:r>
      <w:r w:rsidR="00FF48CA">
        <w:rPr>
          <w:lang w:val="fr-FR"/>
        </w:rPr>
        <w:t> </w:t>
      </w:r>
      <w:r w:rsidRPr="00377DC0">
        <w:rPr>
          <w:lang w:val="fr-FR"/>
        </w:rPr>
        <w:t>[RRD],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</w:t>
      </w:r>
      <w:r w:rsidR="006D6A6A">
        <w:rPr>
          <w:lang w:val="fr-FR"/>
        </w:rPr>
        <w:t xml:space="preserve"> remplacer un élément existant.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H.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</w:t>
      </w:r>
      <w:r>
        <w:rPr>
          <w:lang w:val="fr-FR"/>
        </w:rPr>
        <w:t>1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6D6A6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38</w:t>
      </w:r>
      <w:r w:rsidR="002C3962" w:rsidRPr="006D6A6A">
        <w:rPr>
          <w:rStyle w:val="FootnoteReference"/>
          <w:b w:val="0"/>
        </w:rPr>
        <w:footnoteReference w:id="10"/>
      </w:r>
    </w:p>
    <w:p w:rsidR="002C3962" w:rsidRPr="00377DC0" w:rsidRDefault="002C3962" w:rsidP="006D6A6A">
      <w:pPr>
        <w:pStyle w:val="SingleTxtG"/>
      </w:pPr>
      <w:r w:rsidRPr="00377DC0">
        <w:rPr>
          <w:i/>
          <w:iCs/>
          <w:lang w:val="fr-FR"/>
        </w:rPr>
        <w:t>Insérer un nouveau paragraphe 14</w:t>
      </w:r>
      <w:r w:rsidRPr="00377DC0">
        <w:rPr>
          <w:lang w:val="fr-FR"/>
        </w:rPr>
        <w:t>, libellé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F48CA">
        <w:rPr>
          <w:lang w:val="fr-FR"/>
        </w:rPr>
        <w:t>trée en vigueur du Règlement n</w:t>
      </w:r>
      <w:r w:rsidR="00FF48CA" w:rsidRPr="00FF48CA">
        <w:rPr>
          <w:vertAlign w:val="superscript"/>
          <w:lang w:val="fr-FR"/>
        </w:rPr>
        <w:t>o</w:t>
      </w:r>
      <w:r w:rsidR="00FF48C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6D6A6A">
        <w:rPr>
          <w:lang w:val="fr-FR"/>
        </w:rPr>
        <w:t>lacer un élément déjà en place. ».</w:t>
      </w:r>
    </w:p>
    <w:p w:rsidR="002C3962" w:rsidRPr="00377DC0" w:rsidRDefault="006D6A6A" w:rsidP="006D6A6A">
      <w:pPr>
        <w:pStyle w:val="H1G"/>
      </w:pPr>
      <w:r>
        <w:rPr>
          <w:lang w:val="fr-FR"/>
        </w:rPr>
        <w:tab/>
        <w:t>I.</w:t>
      </w:r>
      <w:r w:rsidR="002C3962" w:rsidRPr="00377DC0">
        <w:rPr>
          <w:lang w:val="fr-FR"/>
        </w:rPr>
        <w:tab/>
        <w:t>Proposition de série 01 d</w:t>
      </w:r>
      <w:r w:rsidR="009D7D3B">
        <w:rPr>
          <w:lang w:val="fr-FR"/>
        </w:rPr>
        <w:t>’</w:t>
      </w:r>
      <w:r w:rsidR="002C3962" w:rsidRPr="00377DC0">
        <w:rPr>
          <w:lang w:val="fr-FR"/>
        </w:rPr>
        <w:t>amendements au Règlement n</w:t>
      </w:r>
      <w:r w:rsidRPr="006D6A6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50</w:t>
      </w:r>
      <w:r w:rsidR="002C3962" w:rsidRPr="00D2549B">
        <w:rPr>
          <w:rStyle w:val="FootnoteReference"/>
          <w:b w:val="0"/>
        </w:rPr>
        <w:footnoteReference w:id="11"/>
      </w:r>
    </w:p>
    <w:p w:rsidR="002C3962" w:rsidRPr="00377DC0" w:rsidRDefault="002C3962" w:rsidP="006D6A6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6D6A6A" w:rsidP="006D6A6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6D6A6A">
        <w:rPr>
          <w:lang w:val="fr-FR"/>
        </w:rPr>
        <w:t>trée en vigueur du Règlement n</w:t>
      </w:r>
      <w:r w:rsidR="006D6A6A" w:rsidRPr="006D6A6A">
        <w:rPr>
          <w:vertAlign w:val="superscript"/>
          <w:lang w:val="fr-FR"/>
        </w:rPr>
        <w:t>o</w:t>
      </w:r>
      <w:r w:rsidR="006D6A6A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</w:t>
      </w:r>
      <w:r w:rsidR="00FE6EBA">
        <w:rPr>
          <w:lang w:val="fr-FR"/>
        </w:rPr>
        <w:t xml:space="preserve"> en vertu du présent Règlement,</w:t>
      </w:r>
      <w:r w:rsidRPr="00377DC0">
        <w:rPr>
          <w:lang w:val="fr-FR"/>
        </w:rPr>
        <w:t xml:space="preserve">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6D6A6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6D6A6A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J.</w:t>
      </w:r>
      <w:r w:rsidR="002C3962" w:rsidRPr="00377DC0">
        <w:rPr>
          <w:lang w:val="fr-FR"/>
        </w:rPr>
        <w:tab/>
        <w:t xml:space="preserve">Proposition de série </w:t>
      </w:r>
      <w:r>
        <w:rPr>
          <w:lang w:val="fr-FR"/>
        </w:rPr>
        <w:t>2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69</w:t>
      </w:r>
      <w:r w:rsidR="002C3962" w:rsidRPr="00D2549B">
        <w:rPr>
          <w:rStyle w:val="FootnoteReference"/>
          <w:b w:val="0"/>
        </w:rPr>
        <w:footnoteReference w:id="12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12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12.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D2549B">
        <w:rPr>
          <w:lang w:val="fr-FR"/>
        </w:rPr>
        <w:t>trée en vigueur du Règlement n</w:t>
      </w:r>
      <w:r w:rsidR="00D2549B" w:rsidRPr="00D2549B">
        <w:rPr>
          <w:vertAlign w:val="superscript"/>
          <w:lang w:val="fr-FR"/>
        </w:rPr>
        <w:t>o</w:t>
      </w:r>
      <w:r w:rsidR="00D2549B">
        <w:rPr>
          <w:lang w:val="fr-FR"/>
        </w:rPr>
        <w:t> </w:t>
      </w:r>
      <w:r w:rsidRPr="00377DC0">
        <w:rPr>
          <w:lang w:val="fr-FR"/>
        </w:rPr>
        <w:t>[RRD],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et à toute série précédente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 présent Règlement, à condition que ces dispositifs soient destinés à remplacer des éléments déjà installés sur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12.5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D2549B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K.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2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70</w:t>
      </w:r>
      <w:r w:rsidR="002C3962" w:rsidRPr="00FE6EBA">
        <w:rPr>
          <w:rStyle w:val="FootnoteReference"/>
          <w:b w:val="0"/>
        </w:rPr>
        <w:footnoteReference w:id="13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0720B5">
        <w:rPr>
          <w:lang w:val="fr-FR"/>
        </w:rPr>
        <w:t>trée en vigueur du Règlement n</w:t>
      </w:r>
      <w:r w:rsidR="000720B5" w:rsidRPr="000720B5">
        <w:rPr>
          <w:vertAlign w:val="superscript"/>
          <w:lang w:val="fr-FR"/>
        </w:rPr>
        <w:t>o</w:t>
      </w:r>
      <w:r w:rsidR="000720B5">
        <w:rPr>
          <w:lang w:val="fr-FR"/>
        </w:rPr>
        <w:t> </w:t>
      </w:r>
      <w:r w:rsidRPr="00377DC0">
        <w:rPr>
          <w:lang w:val="fr-FR"/>
        </w:rPr>
        <w:t>[RRD],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remplacer un éléme</w:t>
      </w:r>
      <w:r w:rsidR="00FE6EBA">
        <w:rPr>
          <w:lang w:val="fr-FR"/>
        </w:rPr>
        <w:t>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L.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</w:t>
      </w:r>
      <w:r>
        <w:rPr>
          <w:lang w:val="fr-FR"/>
        </w:rPr>
        <w:t>1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77</w:t>
      </w:r>
      <w:r w:rsidR="002C3962" w:rsidRPr="00FE6EBA">
        <w:rPr>
          <w:rStyle w:val="FootnoteReference"/>
          <w:b w:val="0"/>
        </w:rPr>
        <w:footnoteReference w:id="14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16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16.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16.1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0720B5">
        <w:rPr>
          <w:lang w:val="fr-FR"/>
        </w:rPr>
        <w:t>trée en vigueur du Règlement n</w:t>
      </w:r>
      <w:r w:rsidR="000720B5" w:rsidRPr="000720B5">
        <w:rPr>
          <w:vertAlign w:val="superscript"/>
          <w:lang w:val="fr-FR"/>
        </w:rPr>
        <w:t>o</w:t>
      </w:r>
      <w:r w:rsidR="000720B5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16.2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16.3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16.4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16.5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E6EBA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M.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1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87</w:t>
      </w:r>
      <w:r w:rsidR="002C3962" w:rsidRPr="00FE6EBA">
        <w:rPr>
          <w:rStyle w:val="FootnoteReference"/>
          <w:b w:val="0"/>
        </w:rPr>
        <w:footnoteReference w:id="15"/>
      </w:r>
    </w:p>
    <w:p w:rsidR="002C3962" w:rsidRPr="00377DC0" w:rsidRDefault="002C3962" w:rsidP="00FE6EBA">
      <w:pPr>
        <w:pStyle w:val="SingleTxtG"/>
      </w:pPr>
      <w:r w:rsidRPr="00377DC0">
        <w:rPr>
          <w:i/>
          <w:iCs/>
          <w:lang w:val="fr-FR"/>
        </w:rPr>
        <w:t>Ajouter un nouveau paragraphe 17</w:t>
      </w:r>
      <w:r w:rsidRPr="00377DC0">
        <w:rPr>
          <w:lang w:val="fr-FR"/>
        </w:rPr>
        <w:t>, libellé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17.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17.1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0720B5">
        <w:rPr>
          <w:lang w:val="fr-FR"/>
        </w:rPr>
        <w:t>trée en vigueur du Règlement n</w:t>
      </w:r>
      <w:r w:rsidR="000720B5" w:rsidRPr="000720B5">
        <w:rPr>
          <w:vertAlign w:val="superscript"/>
          <w:lang w:val="fr-FR"/>
        </w:rPr>
        <w:t>o</w:t>
      </w:r>
      <w:r w:rsidR="000720B5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17.2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 présent Règlement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17.3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17.4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17.5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E6EBA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N.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1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91</w:t>
      </w:r>
      <w:r w:rsidR="002C3962" w:rsidRPr="00FE6EBA">
        <w:rPr>
          <w:rStyle w:val="FootnoteReference"/>
          <w:b w:val="0"/>
        </w:rPr>
        <w:footnoteReference w:id="16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15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15.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15.1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0720B5">
        <w:rPr>
          <w:lang w:val="fr-FR"/>
        </w:rPr>
        <w:t>trée en vigueur du Règlement n</w:t>
      </w:r>
      <w:r w:rsidR="000720B5" w:rsidRPr="000720B5">
        <w:rPr>
          <w:vertAlign w:val="superscript"/>
          <w:lang w:val="fr-FR"/>
        </w:rPr>
        <w:t>o</w:t>
      </w:r>
      <w:r w:rsidR="000720B5">
        <w:rPr>
          <w:lang w:val="fr-FR"/>
        </w:rPr>
        <w:t> </w:t>
      </w:r>
      <w:r w:rsidRPr="00377DC0">
        <w:rPr>
          <w:lang w:val="fr-FR"/>
        </w:rPr>
        <w:t>[LSD],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15.2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15.3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15.4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15.5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</w:t>
      </w:r>
      <w:r w:rsidR="00FE6EBA">
        <w:rPr>
          <w:lang w:val="fr-FR"/>
        </w:rPr>
        <w:t xml:space="preserve"> remplacer un élément existant.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O.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2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98</w:t>
      </w:r>
      <w:r w:rsidR="002C3962" w:rsidRPr="00FE6EBA">
        <w:rPr>
          <w:rStyle w:val="FootnoteReference"/>
          <w:b w:val="0"/>
        </w:rPr>
        <w:footnoteReference w:id="17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0720B5">
        <w:rPr>
          <w:lang w:val="fr-FR"/>
        </w:rPr>
        <w:t>trée en vigueur du Règlement n</w:t>
      </w:r>
      <w:r w:rsidR="000720B5" w:rsidRPr="000720B5">
        <w:rPr>
          <w:vertAlign w:val="superscript"/>
          <w:lang w:val="fr-FR"/>
        </w:rPr>
        <w:t>o</w:t>
      </w:r>
      <w:r w:rsidR="000720B5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précédente, à condition que ce dispositif soit destiné à</w:t>
      </w:r>
      <w:r w:rsidR="00FE6EBA">
        <w:rPr>
          <w:lang w:val="fr-FR"/>
        </w:rPr>
        <w:t xml:space="preserve"> remplacer un élément existant.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P.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1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104</w:t>
      </w:r>
      <w:r w:rsidR="002C3962" w:rsidRPr="00FE6EBA">
        <w:rPr>
          <w:rStyle w:val="FootnoteReference"/>
          <w:b w:val="0"/>
        </w:rPr>
        <w:footnoteReference w:id="18"/>
      </w:r>
    </w:p>
    <w:p w:rsidR="002C3962" w:rsidRPr="00377DC0" w:rsidRDefault="002C3962" w:rsidP="00FE6EBA">
      <w:pPr>
        <w:pStyle w:val="SingleTxtG"/>
      </w:pPr>
      <w:r w:rsidRPr="00377DC0">
        <w:rPr>
          <w:i/>
          <w:iCs/>
          <w:lang w:val="fr-FR"/>
        </w:rPr>
        <w:t>Ajouter un nouveau paragraphe 13</w:t>
      </w:r>
      <w:r w:rsidRPr="00377DC0">
        <w:rPr>
          <w:lang w:val="fr-FR"/>
        </w:rPr>
        <w:t>, libellé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A40AB5">
        <w:rPr>
          <w:lang w:val="fr-FR"/>
        </w:rPr>
        <w:t>trée en vigueur du Règlement n</w:t>
      </w:r>
      <w:r w:rsidR="00A40AB5" w:rsidRPr="00A40AB5">
        <w:rPr>
          <w:vertAlign w:val="superscript"/>
          <w:lang w:val="fr-FR"/>
        </w:rPr>
        <w:t>o</w:t>
      </w:r>
      <w:r w:rsidR="00A40AB5">
        <w:rPr>
          <w:lang w:val="fr-FR"/>
        </w:rPr>
        <w:t> </w:t>
      </w:r>
      <w:r w:rsidRPr="00377DC0">
        <w:rPr>
          <w:lang w:val="fr-FR"/>
        </w:rPr>
        <w:t>[RRD],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précédente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E6EBA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Q.</w:t>
      </w:r>
      <w:r w:rsidR="002C3962" w:rsidRPr="00377DC0">
        <w:rPr>
          <w:lang w:val="fr-FR"/>
        </w:rPr>
        <w:tab/>
        <w:t>Proposition de série 0</w:t>
      </w:r>
      <w:r>
        <w:rPr>
          <w:lang w:val="fr-FR"/>
        </w:rPr>
        <w:t>2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112</w:t>
      </w:r>
      <w:r w:rsidR="002C3962" w:rsidRPr="00FE6EBA">
        <w:rPr>
          <w:rStyle w:val="FootnoteReference"/>
          <w:b w:val="0"/>
        </w:rPr>
        <w:footnoteReference w:id="19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14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14.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A40AB5">
        <w:rPr>
          <w:lang w:val="fr-FR"/>
        </w:rPr>
        <w:t>trée en vigueur du Règlement n</w:t>
      </w:r>
      <w:r w:rsidR="00A40AB5" w:rsidRPr="00A40AB5">
        <w:rPr>
          <w:vertAlign w:val="superscript"/>
          <w:lang w:val="fr-FR"/>
        </w:rPr>
        <w:t>o</w:t>
      </w:r>
      <w:r w:rsidR="00A40AB5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14.5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</w:t>
      </w:r>
      <w:r w:rsidR="00FE6EBA">
        <w:rPr>
          <w:lang w:val="fr-FR"/>
        </w:rPr>
        <w:t xml:space="preserve"> remplacer un élément existant.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R.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</w:t>
      </w:r>
      <w:r>
        <w:rPr>
          <w:lang w:val="fr-FR"/>
        </w:rPr>
        <w:t>3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113</w:t>
      </w:r>
      <w:r w:rsidR="002C3962" w:rsidRPr="00FE6EBA">
        <w:rPr>
          <w:rStyle w:val="FootnoteReference"/>
          <w:b w:val="0"/>
        </w:rPr>
        <w:footnoteReference w:id="20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>Dispositions 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E6EBA">
        <w:rPr>
          <w:lang w:val="fr-FR"/>
        </w:rPr>
        <w:t>trée en vigueur du Règlement n</w:t>
      </w:r>
      <w:r w:rsidR="00FE6EBA" w:rsidRPr="00FE6EBA">
        <w:rPr>
          <w:vertAlign w:val="superscript"/>
          <w:lang w:val="fr-FR"/>
        </w:rPr>
        <w:t>o</w:t>
      </w:r>
      <w:r w:rsidR="00FE6EBA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E6EBA">
        <w:rPr>
          <w:lang w:val="fr-FR"/>
        </w:rPr>
        <w:t>lacer un élément déjà en place. ».</w:t>
      </w:r>
    </w:p>
    <w:p w:rsidR="002C3962" w:rsidRPr="00377DC0" w:rsidRDefault="00FE6EBA" w:rsidP="00FE6EBA">
      <w:pPr>
        <w:pStyle w:val="H1G"/>
      </w:pPr>
      <w:r>
        <w:rPr>
          <w:lang w:val="fr-FR"/>
        </w:rPr>
        <w:tab/>
        <w:t>S.</w:t>
      </w:r>
      <w:r>
        <w:rPr>
          <w:lang w:val="fr-FR"/>
        </w:rPr>
        <w:tab/>
      </w:r>
      <w:r w:rsidR="002C3962" w:rsidRPr="00377DC0">
        <w:rPr>
          <w:lang w:val="fr-FR"/>
        </w:rPr>
        <w:t>Proposition de série 0</w:t>
      </w:r>
      <w:r>
        <w:rPr>
          <w:lang w:val="fr-FR"/>
        </w:rPr>
        <w:t>2 d</w:t>
      </w:r>
      <w:r w:rsidR="009D7D3B">
        <w:rPr>
          <w:lang w:val="fr-FR"/>
        </w:rPr>
        <w:t>’</w:t>
      </w:r>
      <w:r>
        <w:rPr>
          <w:lang w:val="fr-FR"/>
        </w:rPr>
        <w:t>amendements au Règlement n</w:t>
      </w:r>
      <w:r w:rsidRPr="00FE6E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119</w:t>
      </w:r>
      <w:r w:rsidR="002C3962" w:rsidRPr="00FE6EBA">
        <w:rPr>
          <w:rStyle w:val="FootnoteReference"/>
          <w:b w:val="0"/>
        </w:rPr>
        <w:footnoteReference w:id="21"/>
      </w:r>
    </w:p>
    <w:p w:rsidR="002C3962" w:rsidRPr="00377DC0" w:rsidRDefault="002C3962" w:rsidP="00FE6EBA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FE6EBA" w:rsidP="00FE6EBA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</w:t>
      </w:r>
      <w:r w:rsidR="002C3962" w:rsidRPr="00377DC0">
        <w:rPr>
          <w:lang w:val="fr-FR"/>
        </w:rPr>
        <w:t>13.</w:t>
      </w:r>
      <w:r w:rsidR="002C3962" w:rsidRPr="00377DC0">
        <w:rPr>
          <w:lang w:val="fr-FR"/>
        </w:rPr>
        <w:tab/>
        <w:t xml:space="preserve">Dispositions </w:t>
      </w:r>
      <w:r w:rsidR="002C3962" w:rsidRPr="00FE6EBA">
        <w:t>transitoires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FE6EBA">
        <w:rPr>
          <w:lang w:val="fr-FR"/>
        </w:rPr>
        <w:t>trée en vigueur du Règlement n</w:t>
      </w:r>
      <w:r w:rsidR="00FE6EBA" w:rsidRPr="00FE6EBA">
        <w:rPr>
          <w:vertAlign w:val="superscript"/>
          <w:lang w:val="fr-FR"/>
        </w:rPr>
        <w:t>o</w:t>
      </w:r>
      <w:r w:rsidR="00FE6EBA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 xml:space="preserve">homologations délivrées en application de la présente </w:t>
      </w:r>
      <w:r w:rsidRPr="00FE6EBA">
        <w:t>série</w:t>
      </w:r>
      <w:r w:rsidRPr="00377DC0">
        <w:rPr>
          <w:lang w:val="fr-FR"/>
        </w:rPr>
        <w:t xml:space="preserve">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FE6EBA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 xml:space="preserve">un dispositif </w:t>
      </w:r>
      <w:r w:rsidRPr="00FE6EBA">
        <w:t>homologué</w:t>
      </w:r>
      <w:r w:rsidRPr="00377DC0">
        <w:rPr>
          <w:lang w:val="fr-FR"/>
        </w:rPr>
        <w:t xml:space="preserve">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FE6EBA">
        <w:rPr>
          <w:lang w:val="fr-FR"/>
        </w:rPr>
        <w:t>lacer un élément déjà en place. ».</w:t>
      </w:r>
    </w:p>
    <w:p w:rsidR="002C3962" w:rsidRPr="00377DC0" w:rsidRDefault="002D5004" w:rsidP="002D5004">
      <w:pPr>
        <w:pStyle w:val="H1G"/>
      </w:pPr>
      <w:r>
        <w:rPr>
          <w:lang w:val="fr-FR"/>
        </w:rPr>
        <w:tab/>
        <w:t>T.</w:t>
      </w:r>
      <w:r w:rsidR="002C3962" w:rsidRPr="00377DC0">
        <w:rPr>
          <w:lang w:val="fr-FR"/>
        </w:rPr>
        <w:tab/>
        <w:t>Proposition de série 02 d</w:t>
      </w:r>
      <w:r w:rsidR="009D7D3B">
        <w:rPr>
          <w:lang w:val="fr-FR"/>
        </w:rPr>
        <w:t>’</w:t>
      </w:r>
      <w:r w:rsidR="002C3962" w:rsidRPr="00377DC0">
        <w:rPr>
          <w:lang w:val="fr-FR"/>
        </w:rPr>
        <w:t>amendements au Rè</w:t>
      </w:r>
      <w:r>
        <w:rPr>
          <w:lang w:val="fr-FR"/>
        </w:rPr>
        <w:t>glement n</w:t>
      </w:r>
      <w:r w:rsidRPr="002D500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C3962" w:rsidRPr="00377DC0">
        <w:rPr>
          <w:lang w:val="fr-FR"/>
        </w:rPr>
        <w:t>123</w:t>
      </w:r>
      <w:r w:rsidR="002C3962" w:rsidRPr="002D5004">
        <w:rPr>
          <w:rStyle w:val="FootnoteReference"/>
          <w:b w:val="0"/>
        </w:rPr>
        <w:footnoteReference w:id="22"/>
      </w:r>
    </w:p>
    <w:p w:rsidR="002C3962" w:rsidRPr="00377DC0" w:rsidRDefault="002C3962" w:rsidP="002D5004">
      <w:pPr>
        <w:pStyle w:val="SingleTxtG"/>
        <w:rPr>
          <w:i/>
          <w:iCs/>
        </w:rPr>
      </w:pPr>
      <w:r w:rsidRPr="00377DC0">
        <w:rPr>
          <w:i/>
          <w:iCs/>
          <w:lang w:val="fr-FR"/>
        </w:rPr>
        <w:t>Paragraphe 13</w:t>
      </w:r>
      <w:r w:rsidRPr="00377DC0">
        <w:rPr>
          <w:lang w:val="fr-FR"/>
        </w:rPr>
        <w:t>, modifier comme suit</w:t>
      </w:r>
      <w:r>
        <w:rPr>
          <w:lang w:val="fr-FR"/>
        </w:rPr>
        <w:t> :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"13.</w:t>
      </w:r>
      <w:r w:rsidRPr="00377DC0">
        <w:rPr>
          <w:lang w:val="fr-FR"/>
        </w:rPr>
        <w:tab/>
        <w:t>Dispositions transitoires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13.1</w:t>
      </w:r>
      <w:r w:rsidRPr="00377DC0">
        <w:rPr>
          <w:lang w:val="fr-FR"/>
        </w:rPr>
        <w:tab/>
        <w:t>À compter de [24] mois après la date officielle d</w:t>
      </w:r>
      <w:r w:rsidR="009D7D3B">
        <w:rPr>
          <w:lang w:val="fr-FR"/>
        </w:rPr>
        <w:t>’</w:t>
      </w:r>
      <w:r w:rsidRPr="00377DC0">
        <w:rPr>
          <w:lang w:val="fr-FR"/>
        </w:rPr>
        <w:t>en</w:t>
      </w:r>
      <w:r w:rsidR="002D5004">
        <w:rPr>
          <w:lang w:val="fr-FR"/>
        </w:rPr>
        <w:t>trée en vigueur du Règlement n</w:t>
      </w:r>
      <w:r w:rsidR="002D5004" w:rsidRPr="002D5004">
        <w:rPr>
          <w:vertAlign w:val="superscript"/>
          <w:lang w:val="fr-FR"/>
        </w:rPr>
        <w:t>o</w:t>
      </w:r>
      <w:r w:rsidR="002D5004">
        <w:rPr>
          <w:lang w:val="fr-FR"/>
        </w:rPr>
        <w:t> </w:t>
      </w:r>
      <w:r w:rsidRPr="00377DC0">
        <w:rPr>
          <w:lang w:val="fr-FR"/>
        </w:rPr>
        <w:t>[RID], les Parties contractantes appliquant le présent Règlement doivent cesser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homologations en application du présent Règlement.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13.2</w:t>
      </w:r>
      <w:r w:rsidRPr="00377DC0">
        <w:rPr>
          <w:lang w:val="fr-FR"/>
        </w:rPr>
        <w:tab/>
        <w:t>Les Parties contractantes appliquant le présent Règlement ne doivent pas refuser d</w:t>
      </w:r>
      <w:r w:rsidR="009D7D3B">
        <w:rPr>
          <w:lang w:val="fr-FR"/>
        </w:rPr>
        <w:t>’</w:t>
      </w:r>
      <w:r w:rsidRPr="00377DC0">
        <w:rPr>
          <w:lang w:val="fr-FR"/>
        </w:rPr>
        <w:t>accorder des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délivrées en application de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ou de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antérieure.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13.3</w:t>
      </w:r>
      <w:r w:rsidRPr="00377DC0">
        <w:rPr>
          <w:lang w:val="fr-FR"/>
        </w:rPr>
        <w:tab/>
        <w:t>Les homologations et les extensions d</w:t>
      </w:r>
      <w:r w:rsidR="009D7D3B">
        <w:rPr>
          <w:lang w:val="fr-FR"/>
        </w:rPr>
        <w:t>’</w:t>
      </w:r>
      <w:r w:rsidRPr="00377DC0">
        <w:rPr>
          <w:lang w:val="fr-FR"/>
        </w:rPr>
        <w:t>homologations accordées en vertu du présent Règlement, y compris celles qui l</w:t>
      </w:r>
      <w:r w:rsidR="009D7D3B">
        <w:rPr>
          <w:lang w:val="fr-FR"/>
        </w:rPr>
        <w:t>’</w:t>
      </w:r>
      <w:r w:rsidRPr="00377DC0">
        <w:rPr>
          <w:lang w:val="fr-FR"/>
        </w:rPr>
        <w:t>ont été en application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restent valables indéfiniment.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13.4</w:t>
      </w:r>
      <w:r w:rsidRPr="00377DC0">
        <w:rPr>
          <w:lang w:val="fr-FR"/>
        </w:rPr>
        <w:tab/>
        <w:t xml:space="preserve">Les Parties contractantes </w:t>
      </w:r>
      <w:r w:rsidR="00761BDF">
        <w:rPr>
          <w:lang w:val="fr-FR"/>
        </w:rPr>
        <w:t>appliquant le présent Règlement</w:t>
      </w:r>
      <w:r w:rsidRPr="00377DC0">
        <w:rPr>
          <w:lang w:val="fr-FR"/>
        </w:rPr>
        <w:t xml:space="preserve"> doivent continuer à homologuer des dispositifs conformément à la présente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audit Règlement et à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ces dispositifs soient destinés à remplacer des éléments équipant déjà des véhicules en service.</w:t>
      </w:r>
    </w:p>
    <w:p w:rsidR="002C3962" w:rsidRPr="00377DC0" w:rsidRDefault="002C3962" w:rsidP="002D5004">
      <w:pPr>
        <w:pStyle w:val="SingleTxtG"/>
        <w:tabs>
          <w:tab w:val="left" w:pos="2268"/>
        </w:tabs>
        <w:ind w:left="2268" w:hanging="1134"/>
      </w:pPr>
      <w:r w:rsidRPr="00377DC0">
        <w:rPr>
          <w:lang w:val="fr-FR"/>
        </w:rPr>
        <w:t>13.5</w:t>
      </w:r>
      <w:r w:rsidRPr="00377DC0">
        <w:rPr>
          <w:lang w:val="fr-FR"/>
        </w:rPr>
        <w:tab/>
        <w:t>Les Parties contractantes appliquant le présent Règlement doivent continuer à autoriser le montage ou l</w:t>
      </w:r>
      <w:r w:rsidR="009D7D3B">
        <w:rPr>
          <w:lang w:val="fr-FR"/>
        </w:rPr>
        <w:t>’</w:t>
      </w:r>
      <w:r w:rsidRPr="00377DC0">
        <w:rPr>
          <w:lang w:val="fr-FR"/>
        </w:rPr>
        <w:t>utilisation sur un véhicule en service d</w:t>
      </w:r>
      <w:r w:rsidR="009D7D3B">
        <w:rPr>
          <w:lang w:val="fr-FR"/>
        </w:rPr>
        <w:t>’</w:t>
      </w:r>
      <w:r w:rsidRPr="00377DC0">
        <w:rPr>
          <w:lang w:val="fr-FR"/>
        </w:rPr>
        <w:t>un dispositif homologué en vertu de ce Règlement tel qu</w:t>
      </w:r>
      <w:r w:rsidR="009D7D3B">
        <w:rPr>
          <w:lang w:val="fr-FR"/>
        </w:rPr>
        <w:t>’</w:t>
      </w:r>
      <w:r w:rsidRPr="00377DC0">
        <w:rPr>
          <w:lang w:val="fr-FR"/>
        </w:rPr>
        <w:t>amendé par toute série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antérieure, à condition que ce dispositif soit destiné à remp</w:t>
      </w:r>
      <w:r w:rsidR="002D5004">
        <w:rPr>
          <w:lang w:val="fr-FR"/>
        </w:rPr>
        <w:t>lacer un élément déjà en place. ».</w:t>
      </w:r>
    </w:p>
    <w:p w:rsidR="002C3962" w:rsidRPr="00377DC0" w:rsidRDefault="002D5004" w:rsidP="002D5004">
      <w:pPr>
        <w:pStyle w:val="HChG"/>
        <w:rPr>
          <w:lang w:val="fr-FR"/>
        </w:rPr>
      </w:pPr>
      <w:r>
        <w:rPr>
          <w:lang w:val="fr-FR"/>
        </w:rPr>
        <w:tab/>
      </w:r>
      <w:r w:rsidR="002C3962" w:rsidRPr="00377DC0">
        <w:rPr>
          <w:lang w:val="fr-FR"/>
        </w:rPr>
        <w:t>II.</w:t>
      </w:r>
      <w:r w:rsidR="002C3962" w:rsidRPr="00377DC0">
        <w:rPr>
          <w:lang w:val="fr-FR"/>
        </w:rPr>
        <w:tab/>
        <w:t>Justification</w:t>
      </w:r>
    </w:p>
    <w:p w:rsidR="002C3962" w:rsidRPr="00377DC0" w:rsidRDefault="002C3962" w:rsidP="000522ED">
      <w:pPr>
        <w:pStyle w:val="SingleTxtG"/>
      </w:pPr>
      <w:r w:rsidRPr="00377DC0">
        <w:rPr>
          <w:lang w:val="fr-FR"/>
        </w:rPr>
        <w:t>1.</w:t>
      </w:r>
      <w:r w:rsidRPr="00377DC0">
        <w:rPr>
          <w:lang w:val="fr-FR"/>
        </w:rPr>
        <w:tab/>
        <w:t>La présente proposition fait partie d</w:t>
      </w:r>
      <w:r w:rsidR="009D7D3B">
        <w:rPr>
          <w:lang w:val="fr-FR"/>
        </w:rPr>
        <w:t>’</w:t>
      </w:r>
      <w:r w:rsidRPr="00377DC0">
        <w:rPr>
          <w:lang w:val="fr-FR"/>
        </w:rPr>
        <w:t>une série de propositions d</w:t>
      </w:r>
      <w:r w:rsidR="009D7D3B">
        <w:rPr>
          <w:lang w:val="fr-FR"/>
        </w:rPr>
        <w:t>’</w:t>
      </w:r>
      <w:r w:rsidRPr="00377DC0">
        <w:rPr>
          <w:lang w:val="fr-FR"/>
        </w:rPr>
        <w:t>amendements résultant de la mise en place de nouveaux Règlements simplifiés (LSD, RID et RRD)</w:t>
      </w:r>
      <w:r w:rsidR="000522ED">
        <w:rPr>
          <w:lang w:val="fr-FR"/>
        </w:rPr>
        <w:t>.</w:t>
      </w:r>
    </w:p>
    <w:p w:rsidR="002C3962" w:rsidRPr="00377DC0" w:rsidRDefault="002C3962" w:rsidP="000522ED">
      <w:pPr>
        <w:pStyle w:val="SingleTxtG"/>
      </w:pPr>
      <w:r w:rsidRPr="00377DC0">
        <w:rPr>
          <w:lang w:val="fr-FR"/>
        </w:rPr>
        <w:t>2.</w:t>
      </w:r>
      <w:r w:rsidRPr="00377DC0">
        <w:rPr>
          <w:lang w:val="fr-FR"/>
        </w:rPr>
        <w:tab/>
        <w:t>Les dispositions transitoires qui ont été adoptées pour arrêter toute m</w:t>
      </w:r>
      <w:r w:rsidR="000522ED">
        <w:rPr>
          <w:lang w:val="fr-FR"/>
        </w:rPr>
        <w:t>odification au Règlement ONU n</w:t>
      </w:r>
      <w:r w:rsidR="000522ED" w:rsidRPr="000522ED">
        <w:rPr>
          <w:vertAlign w:val="superscript"/>
          <w:lang w:val="fr-FR"/>
        </w:rPr>
        <w:t>o</w:t>
      </w:r>
      <w:r w:rsidR="000522ED">
        <w:rPr>
          <w:lang w:val="fr-FR"/>
        </w:rPr>
        <w:t> </w:t>
      </w:r>
      <w:r w:rsidRPr="00377DC0">
        <w:rPr>
          <w:lang w:val="fr-FR"/>
        </w:rPr>
        <w:t xml:space="preserve">20 ont servi de modèle. </w:t>
      </w:r>
    </w:p>
    <w:p w:rsidR="002C3962" w:rsidRPr="00377DC0" w:rsidRDefault="002C3962" w:rsidP="000522ED">
      <w:pPr>
        <w:pStyle w:val="SingleTxtG"/>
      </w:pPr>
      <w:r w:rsidRPr="00377DC0">
        <w:rPr>
          <w:lang w:val="fr-FR"/>
        </w:rPr>
        <w:t>3.</w:t>
      </w:r>
      <w:r w:rsidRPr="00377DC0">
        <w:rPr>
          <w:lang w:val="fr-FR"/>
        </w:rPr>
        <w:tab/>
        <w:t>En raison de la mise en place des nouveaux Règlements si</w:t>
      </w:r>
      <w:r w:rsidR="000522ED">
        <w:rPr>
          <w:lang w:val="fr-FR"/>
        </w:rPr>
        <w:t>mplifiés, il est nécessaire de « </w:t>
      </w:r>
      <w:r w:rsidRPr="00377DC0">
        <w:rPr>
          <w:lang w:val="fr-FR"/>
        </w:rPr>
        <w:t>figer</w:t>
      </w:r>
      <w:r w:rsidR="000522ED">
        <w:rPr>
          <w:lang w:val="fr-FR"/>
        </w:rPr>
        <w:t> »</w:t>
      </w:r>
      <w:r w:rsidRPr="00377DC0">
        <w:rPr>
          <w:lang w:val="fr-FR"/>
        </w:rPr>
        <w:t xml:space="preserve"> les Règlements en vigueur dans un délai raisonnable.</w:t>
      </w:r>
    </w:p>
    <w:p w:rsidR="002C3962" w:rsidRPr="00377DC0" w:rsidRDefault="002C3962" w:rsidP="000522ED">
      <w:pPr>
        <w:pStyle w:val="SingleTxtG"/>
      </w:pPr>
      <w:r w:rsidRPr="00377DC0">
        <w:rPr>
          <w:lang w:val="fr-FR"/>
        </w:rPr>
        <w:t>4.</w:t>
      </w:r>
      <w:r w:rsidRPr="00377DC0">
        <w:rPr>
          <w:lang w:val="fr-FR"/>
        </w:rPr>
        <w:tab/>
        <w:t>La période de transition de vingt-quatre mois proposée pour l</w:t>
      </w:r>
      <w:r w:rsidR="009D7D3B">
        <w:rPr>
          <w:lang w:val="fr-FR"/>
        </w:rPr>
        <w:t>’</w:t>
      </w:r>
      <w:r w:rsidRPr="00377DC0">
        <w:rPr>
          <w:lang w:val="fr-FR"/>
        </w:rPr>
        <w:t>ensemble des Règlements en vigueur donnerait aux Parties contractantes et à leurs autorités compétentes, ainsi qu</w:t>
      </w:r>
      <w:r w:rsidR="009D7D3B">
        <w:rPr>
          <w:lang w:val="fr-FR"/>
        </w:rPr>
        <w:t>’</w:t>
      </w:r>
      <w:r w:rsidRPr="00377DC0">
        <w:rPr>
          <w:lang w:val="fr-FR"/>
        </w:rPr>
        <w:t>à la branche d</w:t>
      </w:r>
      <w:r w:rsidR="009D7D3B">
        <w:rPr>
          <w:lang w:val="fr-FR"/>
        </w:rPr>
        <w:t>’</w:t>
      </w:r>
      <w:r w:rsidRPr="00377DC0">
        <w:rPr>
          <w:lang w:val="fr-FR"/>
        </w:rPr>
        <w:t>activité concernée, suffisamment de temps pour</w:t>
      </w:r>
      <w:r>
        <w:rPr>
          <w:lang w:val="fr-FR"/>
        </w:rPr>
        <w:t> :</w:t>
      </w:r>
    </w:p>
    <w:p w:rsidR="002C3962" w:rsidRPr="00377DC0" w:rsidRDefault="002C3962" w:rsidP="000522ED">
      <w:pPr>
        <w:pStyle w:val="SingleTxtG"/>
        <w:ind w:firstLine="567"/>
      </w:pPr>
      <w:r w:rsidRPr="00377DC0">
        <w:rPr>
          <w:lang w:val="fr-FR"/>
        </w:rPr>
        <w:t>a)</w:t>
      </w:r>
      <w:r w:rsidRPr="00377DC0">
        <w:rPr>
          <w:lang w:val="fr-FR"/>
        </w:rPr>
        <w:tab/>
        <w:t>Mener à bien ou réorganiser les activités actuellement menées en application des textes actuels</w:t>
      </w:r>
      <w:r>
        <w:rPr>
          <w:lang w:val="fr-FR"/>
        </w:rPr>
        <w:t> ;</w:t>
      </w:r>
    </w:p>
    <w:p w:rsidR="002C3962" w:rsidRPr="00377DC0" w:rsidRDefault="002C3962" w:rsidP="000522ED">
      <w:pPr>
        <w:pStyle w:val="SingleTxtG"/>
        <w:ind w:firstLine="567"/>
      </w:pPr>
      <w:r w:rsidRPr="00377DC0">
        <w:rPr>
          <w:lang w:val="fr-FR"/>
        </w:rPr>
        <w:t>b)</w:t>
      </w:r>
      <w:r w:rsidRPr="00377DC0">
        <w:rPr>
          <w:lang w:val="fr-FR"/>
        </w:rPr>
        <w:tab/>
        <w:t>Éliminer les malentendus et les erreurs éventuels du texte des nouveaux Règlements</w:t>
      </w:r>
      <w:r>
        <w:rPr>
          <w:lang w:val="fr-FR"/>
        </w:rPr>
        <w:t> ;</w:t>
      </w:r>
    </w:p>
    <w:p w:rsidR="00F9573C" w:rsidRDefault="002C3962" w:rsidP="000522ED">
      <w:pPr>
        <w:pStyle w:val="SingleTxtG"/>
        <w:ind w:firstLine="567"/>
        <w:rPr>
          <w:lang w:val="fr-FR"/>
        </w:rPr>
      </w:pPr>
      <w:r w:rsidRPr="00377DC0">
        <w:rPr>
          <w:lang w:val="fr-FR"/>
        </w:rPr>
        <w:t>c)</w:t>
      </w:r>
      <w:r w:rsidRPr="00377DC0">
        <w:rPr>
          <w:lang w:val="fr-FR"/>
        </w:rPr>
        <w:tab/>
        <w:t>Modifier les marques en fonction des nouveaux Règlements (par exemple, pour les projecteurs des véhicules de la catégorie L).</w:t>
      </w:r>
    </w:p>
    <w:p w:rsidR="000522ED" w:rsidRPr="000522ED" w:rsidRDefault="000522ED" w:rsidP="000522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22ED" w:rsidRPr="000522ED" w:rsidSect="00B047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14" w:rsidRDefault="00995014" w:rsidP="00F95C08">
      <w:pPr>
        <w:spacing w:line="240" w:lineRule="auto"/>
      </w:pPr>
    </w:p>
  </w:endnote>
  <w:endnote w:type="continuationSeparator" w:id="0">
    <w:p w:rsidR="00995014" w:rsidRPr="00AC3823" w:rsidRDefault="00995014" w:rsidP="00AC3823">
      <w:pPr>
        <w:pStyle w:val="Footer"/>
      </w:pPr>
    </w:p>
  </w:endnote>
  <w:endnote w:type="continuationNotice" w:id="1">
    <w:p w:rsidR="00995014" w:rsidRDefault="009950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Pr="00B047D5" w:rsidRDefault="00B047D5" w:rsidP="00B047D5">
    <w:pPr>
      <w:pStyle w:val="Footer"/>
      <w:tabs>
        <w:tab w:val="right" w:pos="9638"/>
      </w:tabs>
    </w:pPr>
    <w:r w:rsidRPr="00B047D5">
      <w:rPr>
        <w:b/>
        <w:sz w:val="18"/>
      </w:rPr>
      <w:fldChar w:fldCharType="begin"/>
    </w:r>
    <w:r w:rsidRPr="00B047D5">
      <w:rPr>
        <w:b/>
        <w:sz w:val="18"/>
      </w:rPr>
      <w:instrText xml:space="preserve"> PAGE  \* MERGEFORMAT </w:instrText>
    </w:r>
    <w:r w:rsidRPr="00B047D5">
      <w:rPr>
        <w:b/>
        <w:sz w:val="18"/>
      </w:rPr>
      <w:fldChar w:fldCharType="separate"/>
    </w:r>
    <w:r w:rsidR="002F4B2D">
      <w:rPr>
        <w:b/>
        <w:noProof/>
        <w:sz w:val="18"/>
      </w:rPr>
      <w:t>2</w:t>
    </w:r>
    <w:r w:rsidRPr="00B047D5">
      <w:rPr>
        <w:b/>
        <w:sz w:val="18"/>
      </w:rPr>
      <w:fldChar w:fldCharType="end"/>
    </w:r>
    <w:r>
      <w:rPr>
        <w:b/>
        <w:sz w:val="18"/>
      </w:rPr>
      <w:tab/>
    </w:r>
    <w:r>
      <w:t>GE.17-13932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Pr="00B047D5" w:rsidRDefault="00B047D5" w:rsidP="00B047D5">
    <w:pPr>
      <w:pStyle w:val="Footer"/>
      <w:tabs>
        <w:tab w:val="right" w:pos="9638"/>
      </w:tabs>
      <w:rPr>
        <w:b/>
        <w:sz w:val="18"/>
      </w:rPr>
    </w:pPr>
    <w:r>
      <w:t>GE.17-13932</w:t>
    </w:r>
    <w:r>
      <w:tab/>
    </w:r>
    <w:r w:rsidRPr="00B047D5">
      <w:rPr>
        <w:b/>
        <w:sz w:val="18"/>
      </w:rPr>
      <w:fldChar w:fldCharType="begin"/>
    </w:r>
    <w:r w:rsidRPr="00B047D5">
      <w:rPr>
        <w:b/>
        <w:sz w:val="18"/>
      </w:rPr>
      <w:instrText xml:space="preserve"> PAGE  \* MERGEFORMAT </w:instrText>
    </w:r>
    <w:r w:rsidRPr="00B047D5">
      <w:rPr>
        <w:b/>
        <w:sz w:val="18"/>
      </w:rPr>
      <w:fldChar w:fldCharType="separate"/>
    </w:r>
    <w:r w:rsidR="002F4B2D">
      <w:rPr>
        <w:b/>
        <w:noProof/>
        <w:sz w:val="18"/>
      </w:rPr>
      <w:t>13</w:t>
    </w:r>
    <w:r w:rsidRPr="00B047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047D5" w:rsidRDefault="00B047D5" w:rsidP="00B047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17-13932  (F)</w:t>
    </w:r>
    <w:r w:rsidR="00BF1845">
      <w:rPr>
        <w:sz w:val="20"/>
      </w:rPr>
      <w:t xml:space="preserve">    101017    101017</w:t>
    </w:r>
    <w:r>
      <w:rPr>
        <w:sz w:val="20"/>
      </w:rPr>
      <w:br/>
    </w:r>
    <w:r w:rsidRPr="00B047D5">
      <w:rPr>
        <w:rFonts w:ascii="C39T30Lfz" w:hAnsi="C39T30Lfz"/>
        <w:sz w:val="56"/>
      </w:rPr>
      <w:t></w:t>
    </w:r>
    <w:r w:rsidRPr="00B047D5">
      <w:rPr>
        <w:rFonts w:ascii="C39T30Lfz" w:hAnsi="C39T30Lfz"/>
        <w:sz w:val="56"/>
      </w:rPr>
      <w:t></w:t>
    </w:r>
    <w:r w:rsidRPr="00B047D5">
      <w:rPr>
        <w:rFonts w:ascii="C39T30Lfz" w:hAnsi="C39T30Lfz"/>
        <w:sz w:val="56"/>
      </w:rPr>
      <w:t></w:t>
    </w:r>
    <w:r w:rsidRPr="00B047D5">
      <w:rPr>
        <w:rFonts w:ascii="C39T30Lfz" w:hAnsi="C39T30Lfz"/>
        <w:sz w:val="56"/>
      </w:rPr>
      <w:t></w:t>
    </w:r>
    <w:r w:rsidRPr="00B047D5">
      <w:rPr>
        <w:rFonts w:ascii="C39T30Lfz" w:hAnsi="C39T30Lfz"/>
        <w:sz w:val="56"/>
      </w:rPr>
      <w:t></w:t>
    </w:r>
    <w:r w:rsidRPr="00B047D5">
      <w:rPr>
        <w:rFonts w:ascii="C39T30Lfz" w:hAnsi="C39T30Lfz"/>
        <w:sz w:val="56"/>
      </w:rPr>
      <w:t></w:t>
    </w:r>
    <w:r w:rsidRPr="00B047D5">
      <w:rPr>
        <w:rFonts w:ascii="C39T30Lfz" w:hAnsi="C39T30Lfz"/>
        <w:sz w:val="56"/>
      </w:rPr>
      <w:t></w:t>
    </w:r>
    <w:r w:rsidRPr="00B047D5">
      <w:rPr>
        <w:rFonts w:ascii="C39T30Lfz" w:hAnsi="C39T30Lfz"/>
        <w:sz w:val="56"/>
      </w:rPr>
      <w:t></w:t>
    </w:r>
    <w:r w:rsidRPr="00B047D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14" w:rsidRPr="00AC3823" w:rsidRDefault="009950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5014" w:rsidRPr="00AC3823" w:rsidRDefault="009950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5014" w:rsidRPr="00AC3823" w:rsidRDefault="00995014">
      <w:pPr>
        <w:spacing w:line="240" w:lineRule="auto"/>
        <w:rPr>
          <w:sz w:val="2"/>
          <w:szCs w:val="2"/>
        </w:rPr>
      </w:pPr>
    </w:p>
  </w:footnote>
  <w:footnote w:id="2">
    <w:p w:rsidR="002C3962" w:rsidRPr="001B4B02" w:rsidRDefault="002C3962" w:rsidP="002C3962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</w:t>
      </w:r>
      <w:r w:rsidR="00267091">
        <w:rPr>
          <w:lang w:val="fr-FR"/>
        </w:rPr>
        <w:t xml:space="preserve"> 2016</w:t>
      </w:r>
      <w:r w:rsidR="00267091">
        <w:rPr>
          <w:lang w:val="fr-FR"/>
        </w:rPr>
        <w:noBreakHyphen/>
      </w:r>
      <w:r w:rsidR="009D7D3B">
        <w:rPr>
          <w:lang w:val="fr-FR"/>
        </w:rPr>
        <w:t>2017 (ECE/TRANS/254, par. </w:t>
      </w:r>
      <w:r>
        <w:rPr>
          <w:lang w:val="fr-FR"/>
        </w:rPr>
        <w:t>159, et ECE/TRANS/2016/28/Add.1, module 3.1), le Forum mondial a pour mission d</w:t>
      </w:r>
      <w:r w:rsidR="009D7D3B">
        <w:rPr>
          <w:lang w:val="fr-FR"/>
        </w:rPr>
        <w:t>’</w:t>
      </w:r>
      <w:r>
        <w:rPr>
          <w:lang w:val="fr-FR"/>
        </w:rPr>
        <w:t>élaborer, d</w:t>
      </w:r>
      <w:r w:rsidR="009D7D3B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9D7D3B">
        <w:rPr>
          <w:lang w:val="fr-FR"/>
        </w:rPr>
        <w:t>’</w:t>
      </w:r>
      <w:r>
        <w:rPr>
          <w:lang w:val="fr-FR"/>
        </w:rPr>
        <w:t xml:space="preserve">améliorer les caractéristiques fonctionnelles des véhicules. Le présent document est soumis </w:t>
      </w:r>
      <w:r w:rsidR="00267091">
        <w:rPr>
          <w:lang w:val="fr-FR"/>
        </w:rPr>
        <w:br/>
      </w:r>
      <w:r>
        <w:rPr>
          <w:lang w:val="fr-FR"/>
        </w:rPr>
        <w:t xml:space="preserve">en vertu de ce mandat. </w:t>
      </w:r>
    </w:p>
  </w:footnote>
  <w:footnote w:id="3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6D6A6A">
        <w:rPr>
          <w:lang w:val="fr-FR"/>
        </w:rPr>
        <w:t>.</w:t>
      </w:r>
    </w:p>
  </w:footnote>
  <w:footnote w:id="4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6D6A6A">
        <w:rPr>
          <w:lang w:val="fr-FR"/>
        </w:rPr>
        <w:t>.</w:t>
      </w:r>
    </w:p>
  </w:footnote>
  <w:footnote w:id="5">
    <w:p w:rsidR="006D6A6A" w:rsidRDefault="006D6A6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82)].</w:t>
      </w:r>
    </w:p>
  </w:footnote>
  <w:footnote w:id="6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6D6A6A">
        <w:rPr>
          <w:lang w:val="fr-FR"/>
        </w:rPr>
        <w:t>.</w:t>
      </w:r>
    </w:p>
  </w:footnote>
  <w:footnote w:id="7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6D6A6A">
        <w:rPr>
          <w:lang w:val="fr-FR"/>
        </w:rPr>
        <w:t>.</w:t>
      </w:r>
    </w:p>
  </w:footnote>
  <w:footnote w:id="8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9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0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1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2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3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4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5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6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7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8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19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20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21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FE6EBA">
        <w:rPr>
          <w:lang w:val="fr-FR"/>
        </w:rPr>
        <w:t>.</w:t>
      </w:r>
    </w:p>
  </w:footnote>
  <w:footnote w:id="22">
    <w:p w:rsidR="002C3962" w:rsidRPr="001B4B02" w:rsidRDefault="002C3962" w:rsidP="002C3962">
      <w:pPr>
        <w:pStyle w:val="FootnoteText"/>
      </w:pPr>
      <w:r>
        <w:rPr>
          <w:lang w:val="fr-FR"/>
        </w:rPr>
        <w:tab/>
      </w:r>
      <w:r w:rsidRPr="00C110BA">
        <w:rPr>
          <w:rStyle w:val="FootnoteReference"/>
        </w:rPr>
        <w:footnoteRef/>
      </w:r>
      <w:r>
        <w:rPr>
          <w:lang w:val="fr-FR"/>
        </w:rPr>
        <w:tab/>
        <w:t>N</w:t>
      </w:r>
      <w:r w:rsidR="009D7D3B">
        <w:rPr>
          <w:lang w:val="fr-FR"/>
        </w:rPr>
        <w:t>’</w:t>
      </w:r>
      <w:r>
        <w:rPr>
          <w:lang w:val="fr-FR"/>
        </w:rPr>
        <w:t>entraînant pas de changement dans le numéro d</w:t>
      </w:r>
      <w:r w:rsidR="009D7D3B">
        <w:rPr>
          <w:lang w:val="fr-FR"/>
        </w:rPr>
        <w:t>’</w:t>
      </w:r>
      <w:r>
        <w:rPr>
          <w:lang w:val="fr-FR"/>
        </w:rPr>
        <w:t>homologation [(TRANS/WP.29/815, par. 82)]</w:t>
      </w:r>
      <w:r w:rsidR="000522E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Pr="00B047D5" w:rsidRDefault="002F4B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6768">
      <w:t>ECE/TRANS/WP.29/GRE/2017/13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Pr="00B047D5" w:rsidRDefault="002F4B2D" w:rsidP="00B047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6768">
      <w:t>ECE/TRANS/WP.29/GRE/2017/13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4"/>
    <w:rsid w:val="00017F94"/>
    <w:rsid w:val="00023842"/>
    <w:rsid w:val="000334F9"/>
    <w:rsid w:val="00045FEB"/>
    <w:rsid w:val="000522ED"/>
    <w:rsid w:val="000720B5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67091"/>
    <w:rsid w:val="002744B8"/>
    <w:rsid w:val="002832AC"/>
    <w:rsid w:val="002C3962"/>
    <w:rsid w:val="002D5004"/>
    <w:rsid w:val="002D7C93"/>
    <w:rsid w:val="002F4B2D"/>
    <w:rsid w:val="00305801"/>
    <w:rsid w:val="003916DE"/>
    <w:rsid w:val="003A6768"/>
    <w:rsid w:val="00441C3B"/>
    <w:rsid w:val="00446FE5"/>
    <w:rsid w:val="00452396"/>
    <w:rsid w:val="00471535"/>
    <w:rsid w:val="004837D8"/>
    <w:rsid w:val="004C6B8E"/>
    <w:rsid w:val="004E468C"/>
    <w:rsid w:val="005505B7"/>
    <w:rsid w:val="00573BE5"/>
    <w:rsid w:val="00586ED3"/>
    <w:rsid w:val="00596AA9"/>
    <w:rsid w:val="006D6A6A"/>
    <w:rsid w:val="0071601D"/>
    <w:rsid w:val="00761BDF"/>
    <w:rsid w:val="007A62E6"/>
    <w:rsid w:val="007F20FA"/>
    <w:rsid w:val="0080684C"/>
    <w:rsid w:val="00871C75"/>
    <w:rsid w:val="008776DC"/>
    <w:rsid w:val="009446C0"/>
    <w:rsid w:val="009705C8"/>
    <w:rsid w:val="00995014"/>
    <w:rsid w:val="009C1CF4"/>
    <w:rsid w:val="009D7D3B"/>
    <w:rsid w:val="009E7B96"/>
    <w:rsid w:val="009F6B74"/>
    <w:rsid w:val="00A30353"/>
    <w:rsid w:val="00A40AB5"/>
    <w:rsid w:val="00A94D75"/>
    <w:rsid w:val="00AC3823"/>
    <w:rsid w:val="00AE323C"/>
    <w:rsid w:val="00AF0CB5"/>
    <w:rsid w:val="00B00181"/>
    <w:rsid w:val="00B00B0D"/>
    <w:rsid w:val="00B047D5"/>
    <w:rsid w:val="00B765F7"/>
    <w:rsid w:val="00BA0CA9"/>
    <w:rsid w:val="00BF1845"/>
    <w:rsid w:val="00C02897"/>
    <w:rsid w:val="00C97039"/>
    <w:rsid w:val="00D2549B"/>
    <w:rsid w:val="00D3439C"/>
    <w:rsid w:val="00DB1831"/>
    <w:rsid w:val="00DD3BFD"/>
    <w:rsid w:val="00DF5CC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1BE4"/>
    <w:rsid w:val="00FE6EB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4797</Words>
  <Characters>27347</Characters>
  <Application>Microsoft Office Word</Application>
  <DocSecurity>4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ECE/TRANS/WP.29/GRE/2017/13</vt:lpstr>
      <vt:lpstr>ECE/TRANS/WP.29/GRE/2017/13</vt:lpstr>
    </vt:vector>
  </TitlesOfParts>
  <Company>DCM</Company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ECE/TRANS/WP.29/GRE/2017/13</dc:title>
  <dc:creator>Julien OKRZESIK</dc:creator>
  <cp:lastModifiedBy>Benedicte Boudol</cp:lastModifiedBy>
  <cp:revision>2</cp:revision>
  <cp:lastPrinted>2017-10-10T17:07:00Z</cp:lastPrinted>
  <dcterms:created xsi:type="dcterms:W3CDTF">2017-10-11T15:50:00Z</dcterms:created>
  <dcterms:modified xsi:type="dcterms:W3CDTF">2017-10-11T15:50:00Z</dcterms:modified>
</cp:coreProperties>
</file>