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A65F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A65FF" w:rsidP="005A65FF">
            <w:pPr>
              <w:jc w:val="right"/>
            </w:pPr>
            <w:r w:rsidRPr="005A65FF">
              <w:rPr>
                <w:sz w:val="40"/>
              </w:rPr>
              <w:t>ECE</w:t>
            </w:r>
            <w:r>
              <w:t>/TRANS/WP.29/GRE/2017/8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A65FF" w:rsidP="00C97039">
            <w:pPr>
              <w:spacing w:before="240"/>
            </w:pPr>
            <w:r>
              <w:t>Distr. générale</w:t>
            </w:r>
          </w:p>
          <w:p w:rsidR="005A65FF" w:rsidRDefault="005A65FF" w:rsidP="005A65FF">
            <w:pPr>
              <w:spacing w:line="240" w:lineRule="exact"/>
            </w:pPr>
            <w:r>
              <w:t>3 août 2017</w:t>
            </w:r>
          </w:p>
          <w:p w:rsidR="005A65FF" w:rsidRDefault="005A65FF" w:rsidP="005A65FF">
            <w:pPr>
              <w:spacing w:line="240" w:lineRule="exact"/>
            </w:pPr>
            <w:r>
              <w:t>Français</w:t>
            </w:r>
          </w:p>
          <w:p w:rsidR="005A65FF" w:rsidRPr="00DB58B5" w:rsidRDefault="005A65FF" w:rsidP="005A65F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9124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97836" w:rsidRDefault="00A97836" w:rsidP="00AF0CB5">
      <w:pPr>
        <w:spacing w:before="120"/>
        <w:rPr>
          <w:b/>
          <w:sz w:val="24"/>
          <w:szCs w:val="24"/>
        </w:rPr>
      </w:pPr>
      <w:r w:rsidRPr="00685843">
        <w:rPr>
          <w:b/>
          <w:sz w:val="24"/>
          <w:szCs w:val="24"/>
        </w:rPr>
        <w:t>Forum mondial de l</w:t>
      </w:r>
      <w:r w:rsidR="0079124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97836" w:rsidRDefault="00A97836" w:rsidP="00257168">
      <w:pPr>
        <w:spacing w:before="120" w:after="120" w:line="240" w:lineRule="exact"/>
        <w:rPr>
          <w:b/>
        </w:rPr>
      </w:pPr>
      <w:r>
        <w:rPr>
          <w:b/>
        </w:rPr>
        <w:t>Groupe de travail de l</w:t>
      </w:r>
      <w:r w:rsidR="0079124C">
        <w:rPr>
          <w:b/>
        </w:rPr>
        <w:t>’</w:t>
      </w:r>
      <w:r>
        <w:rPr>
          <w:b/>
        </w:rPr>
        <w:t>éclairage et de la signalisation lumineuse</w:t>
      </w:r>
    </w:p>
    <w:p w:rsidR="00A97836" w:rsidRDefault="00A97836" w:rsidP="00257168">
      <w:pPr>
        <w:spacing w:before="120" w:line="240" w:lineRule="exact"/>
        <w:rPr>
          <w:b/>
        </w:rPr>
      </w:pPr>
      <w:r w:rsidRPr="00B15F43">
        <w:rPr>
          <w:b/>
          <w:lang w:val="fr-FR"/>
        </w:rPr>
        <w:t>Soixante-dix-huitième</w:t>
      </w:r>
      <w:r>
        <w:rPr>
          <w:b/>
        </w:rPr>
        <w:t xml:space="preserve"> session</w:t>
      </w:r>
    </w:p>
    <w:p w:rsidR="00A97836" w:rsidRPr="00A97836" w:rsidRDefault="00A266AA" w:rsidP="00A97836">
      <w:pPr>
        <w:spacing w:line="240" w:lineRule="exact"/>
      </w:pPr>
      <w:r>
        <w:rPr>
          <w:lang w:val="fr-FR"/>
        </w:rPr>
        <w:t xml:space="preserve">Genève, </w:t>
      </w:r>
      <w:r w:rsidR="00A97836" w:rsidRPr="00A97836">
        <w:rPr>
          <w:lang w:val="fr-FR"/>
        </w:rPr>
        <w:t>24-27 octobre 2017</w:t>
      </w:r>
    </w:p>
    <w:p w:rsidR="00A97836" w:rsidRPr="00A97836" w:rsidRDefault="00A97836" w:rsidP="00A97836">
      <w:pPr>
        <w:spacing w:line="240" w:lineRule="exact"/>
      </w:pPr>
      <w:r w:rsidRPr="00A97836">
        <w:rPr>
          <w:lang w:val="fr-FR"/>
        </w:rPr>
        <w:t>Point 1 de l</w:t>
      </w:r>
      <w:r w:rsidR="0079124C">
        <w:rPr>
          <w:lang w:val="fr-FR"/>
        </w:rPr>
        <w:t>’</w:t>
      </w:r>
      <w:r w:rsidRPr="00A97836">
        <w:rPr>
          <w:lang w:val="fr-FR"/>
        </w:rPr>
        <w:t>ordre du jour provisoire</w:t>
      </w:r>
    </w:p>
    <w:p w:rsidR="00A97836" w:rsidRDefault="00A97836" w:rsidP="00A97836">
      <w:pPr>
        <w:spacing w:line="240" w:lineRule="exact"/>
      </w:pPr>
      <w:r w:rsidRPr="00A97836">
        <w:rPr>
          <w:b/>
          <w:lang w:val="fr-FR"/>
        </w:rPr>
        <w:t>Adoption de l</w:t>
      </w:r>
      <w:r w:rsidR="0079124C">
        <w:rPr>
          <w:b/>
          <w:lang w:val="fr-FR"/>
        </w:rPr>
        <w:t>’</w:t>
      </w:r>
      <w:r w:rsidRPr="00A97836">
        <w:rPr>
          <w:b/>
          <w:lang w:val="fr-FR"/>
        </w:rPr>
        <w:t>ordre du jour</w:t>
      </w:r>
    </w:p>
    <w:p w:rsidR="00F9573C" w:rsidRPr="0035092E" w:rsidRDefault="00A97836" w:rsidP="00A97836">
      <w:pPr>
        <w:pStyle w:val="HChG"/>
        <w:rPr>
          <w:b w:val="0"/>
          <w:spacing w:val="-2"/>
          <w:sz w:val="20"/>
          <w:lang w:val="fr-FR"/>
        </w:rPr>
      </w:pPr>
      <w:r>
        <w:tab/>
      </w:r>
      <w:r>
        <w:tab/>
      </w:r>
      <w:r w:rsidRPr="0035092E">
        <w:rPr>
          <w:spacing w:val="2"/>
          <w:lang w:val="fr-FR"/>
        </w:rPr>
        <w:t xml:space="preserve">Ordre du jour provisoire annoté </w:t>
      </w:r>
      <w:r w:rsidR="0035092E" w:rsidRPr="0035092E">
        <w:rPr>
          <w:spacing w:val="2"/>
          <w:lang w:val="fr-FR"/>
        </w:rPr>
        <w:br/>
      </w:r>
      <w:r w:rsidRPr="0035092E">
        <w:rPr>
          <w:spacing w:val="-2"/>
          <w:lang w:val="fr-FR"/>
        </w:rPr>
        <w:t>de la soixante-dix-huitième session</w:t>
      </w:r>
      <w:r w:rsidRPr="0035092E">
        <w:rPr>
          <w:rStyle w:val="FootnoteReference"/>
          <w:b w:val="0"/>
          <w:spacing w:val="-2"/>
          <w:sz w:val="20"/>
          <w:vertAlign w:val="baseline"/>
          <w:lang w:val="fr-FR"/>
        </w:rPr>
        <w:footnoteReference w:customMarkFollows="1" w:id="2"/>
        <w:t>*</w:t>
      </w:r>
      <w:r w:rsidRPr="0035092E">
        <w:rPr>
          <w:b w:val="0"/>
          <w:spacing w:val="-2"/>
          <w:position w:val="6"/>
          <w:sz w:val="20"/>
          <w:lang w:val="fr-FR"/>
        </w:rPr>
        <w:t>,</w:t>
      </w:r>
      <w:r w:rsidRPr="0035092E">
        <w:rPr>
          <w:b w:val="0"/>
          <w:spacing w:val="-2"/>
          <w:sz w:val="20"/>
          <w:lang w:val="fr-FR"/>
        </w:rPr>
        <w:t xml:space="preserve"> </w:t>
      </w:r>
      <w:r w:rsidRPr="0035092E">
        <w:rPr>
          <w:rStyle w:val="FootnoteReference"/>
          <w:b w:val="0"/>
          <w:spacing w:val="-2"/>
          <w:sz w:val="20"/>
          <w:vertAlign w:val="baseline"/>
          <w:lang w:val="fr-FR"/>
        </w:rPr>
        <w:footnoteReference w:customMarkFollows="1" w:id="3"/>
        <w:t>**</w:t>
      </w:r>
    </w:p>
    <w:p w:rsidR="0006228C" w:rsidRDefault="0006228C" w:rsidP="0006228C">
      <w:pPr>
        <w:pStyle w:val="H56G"/>
        <w:rPr>
          <w:lang w:val="fr-FR"/>
        </w:rPr>
      </w:pPr>
      <w:r>
        <w:rPr>
          <w:lang w:val="fr-FR"/>
        </w:rPr>
        <w:tab/>
      </w:r>
      <w:r>
        <w:rPr>
          <w:lang w:val="fr-FR"/>
        </w:rPr>
        <w:tab/>
        <w:t>Qui s</w:t>
      </w:r>
      <w:r w:rsidR="0079124C">
        <w:rPr>
          <w:lang w:val="fr-FR"/>
        </w:rPr>
        <w:t>’</w:t>
      </w:r>
      <w:r>
        <w:rPr>
          <w:lang w:val="fr-FR"/>
        </w:rPr>
        <w:t>ouvrira au Palais des Nations, à Genève, le 24</w:t>
      </w:r>
      <w:r w:rsidR="00C32BA8">
        <w:rPr>
          <w:lang w:val="fr-FR"/>
        </w:rPr>
        <w:t> </w:t>
      </w:r>
      <w:r>
        <w:rPr>
          <w:lang w:val="fr-FR"/>
        </w:rPr>
        <w:t>octobre 2017 à 9</w:t>
      </w:r>
      <w:r w:rsidR="00C32BA8">
        <w:rPr>
          <w:lang w:val="fr-FR"/>
        </w:rPr>
        <w:t> </w:t>
      </w:r>
      <w:r>
        <w:rPr>
          <w:lang w:val="fr-FR"/>
        </w:rPr>
        <w:t>h</w:t>
      </w:r>
      <w:r w:rsidR="00C32BA8">
        <w:rPr>
          <w:lang w:val="fr-FR"/>
        </w:rPr>
        <w:t> </w:t>
      </w:r>
      <w:r>
        <w:rPr>
          <w:lang w:val="fr-FR"/>
        </w:rPr>
        <w:t xml:space="preserve">30 </w:t>
      </w:r>
      <w:r w:rsidR="00C32BA8">
        <w:rPr>
          <w:lang w:val="fr-FR"/>
        </w:rPr>
        <w:br/>
      </w:r>
      <w:r>
        <w:rPr>
          <w:lang w:val="fr-FR"/>
        </w:rPr>
        <w:t>et s</w:t>
      </w:r>
      <w:r w:rsidR="0079124C">
        <w:rPr>
          <w:lang w:val="fr-FR"/>
        </w:rPr>
        <w:t>’</w:t>
      </w:r>
      <w:r>
        <w:rPr>
          <w:lang w:val="fr-FR"/>
        </w:rPr>
        <w:t>achèvera le 27</w:t>
      </w:r>
      <w:r w:rsidR="00C32BA8">
        <w:rPr>
          <w:lang w:val="fr-FR"/>
        </w:rPr>
        <w:t> </w:t>
      </w:r>
      <w:r>
        <w:rPr>
          <w:lang w:val="fr-FR"/>
        </w:rPr>
        <w:t>octobre 2017 à 12</w:t>
      </w:r>
      <w:r w:rsidR="00C32BA8">
        <w:rPr>
          <w:lang w:val="fr-FR"/>
        </w:rPr>
        <w:t> </w:t>
      </w:r>
      <w:r>
        <w:rPr>
          <w:lang w:val="fr-FR"/>
        </w:rPr>
        <w:t>h</w:t>
      </w:r>
      <w:r w:rsidR="00C32BA8">
        <w:rPr>
          <w:lang w:val="fr-FR"/>
        </w:rPr>
        <w:t> </w:t>
      </w:r>
      <w:r>
        <w:rPr>
          <w:lang w:val="fr-FR"/>
        </w:rPr>
        <w:t>30</w:t>
      </w:r>
    </w:p>
    <w:p w:rsidR="00A51976" w:rsidRPr="00A51976" w:rsidRDefault="00A51976" w:rsidP="00A51976">
      <w:pPr>
        <w:pStyle w:val="HChG"/>
      </w:pPr>
      <w:r>
        <w:rPr>
          <w:lang w:val="fr-FR"/>
        </w:rPr>
        <w:tab/>
        <w:t>I.</w:t>
      </w:r>
      <w:r>
        <w:rPr>
          <w:lang w:val="fr-FR"/>
        </w:rPr>
        <w:tab/>
        <w:t>Ordre du jour provisoire</w:t>
      </w:r>
    </w:p>
    <w:p w:rsidR="00A51976" w:rsidRPr="00C17C2A" w:rsidRDefault="00A51976" w:rsidP="00A51976">
      <w:pPr>
        <w:pStyle w:val="SingleTxtG"/>
        <w:jc w:val="left"/>
      </w:pPr>
      <w:r>
        <w:rPr>
          <w:lang w:val="fr-FR"/>
        </w:rPr>
        <w:t>1.</w:t>
      </w:r>
      <w:r>
        <w:rPr>
          <w:lang w:val="fr-FR"/>
        </w:rPr>
        <w:tab/>
        <w:t>Adoption de l</w:t>
      </w:r>
      <w:r w:rsidR="0079124C">
        <w:rPr>
          <w:lang w:val="fr-FR"/>
        </w:rPr>
        <w:t>’</w:t>
      </w:r>
      <w:r>
        <w:rPr>
          <w:lang w:val="fr-FR"/>
        </w:rPr>
        <w:t>ordre du jour.</w:t>
      </w:r>
    </w:p>
    <w:p w:rsidR="00A51976" w:rsidRPr="00C17C2A" w:rsidRDefault="00A51976" w:rsidP="00A51976">
      <w:pPr>
        <w:pStyle w:val="SingleTxtG"/>
        <w:jc w:val="left"/>
      </w:pPr>
      <w:r>
        <w:rPr>
          <w:lang w:val="fr-FR"/>
        </w:rPr>
        <w:t>2.</w:t>
      </w:r>
      <w:r>
        <w:rPr>
          <w:lang w:val="fr-FR"/>
        </w:rPr>
        <w:tab/>
        <w:t>Accord de 1998 − Règlements techniques mondiaux : élaboration.</w:t>
      </w:r>
    </w:p>
    <w:p w:rsidR="00A51976" w:rsidRPr="00C17C2A" w:rsidRDefault="00A51976" w:rsidP="00A51976">
      <w:pPr>
        <w:pStyle w:val="SingleTxtG"/>
        <w:jc w:val="left"/>
      </w:pPr>
      <w:r>
        <w:rPr>
          <w:lang w:val="fr-FR"/>
        </w:rPr>
        <w:t>3.</w:t>
      </w:r>
      <w:r>
        <w:rPr>
          <w:lang w:val="fr-FR"/>
        </w:rPr>
        <w:tab/>
        <w:t>Accord de 1997 − Règles : élaboration.</w:t>
      </w:r>
    </w:p>
    <w:p w:rsidR="00A51976" w:rsidRPr="00C17C2A" w:rsidRDefault="00A51976" w:rsidP="00A51976">
      <w:pPr>
        <w:pStyle w:val="SingleTxtG"/>
        <w:jc w:val="left"/>
      </w:pPr>
      <w:r>
        <w:rPr>
          <w:lang w:val="fr-FR"/>
        </w:rPr>
        <w:t>4.</w:t>
      </w:r>
      <w:r>
        <w:rPr>
          <w:lang w:val="fr-FR"/>
        </w:rPr>
        <w:tab/>
        <w:t>Simplification des Règlements concernant l</w:t>
      </w:r>
      <w:r w:rsidR="0079124C">
        <w:rPr>
          <w:lang w:val="fr-FR"/>
        </w:rPr>
        <w:t>’</w:t>
      </w:r>
      <w:r>
        <w:rPr>
          <w:lang w:val="fr-FR"/>
        </w:rPr>
        <w:t>éclairage et la signalisation lumineuse.</w:t>
      </w:r>
    </w:p>
    <w:p w:rsidR="00A51976" w:rsidRPr="00C17C2A" w:rsidRDefault="00A51976" w:rsidP="00A51976">
      <w:pPr>
        <w:pStyle w:val="SingleTxtG"/>
        <w:ind w:left="1701" w:hanging="567"/>
        <w:jc w:val="left"/>
      </w:pPr>
      <w:r>
        <w:rPr>
          <w:lang w:val="fr-FR"/>
        </w:rPr>
        <w:lastRenderedPageBreak/>
        <w:t>5.</w:t>
      </w:r>
      <w:r>
        <w:rPr>
          <w:lang w:val="fr-FR"/>
        </w:rPr>
        <w:tab/>
        <w:t>Règlements n</w:t>
      </w:r>
      <w:r>
        <w:rPr>
          <w:vertAlign w:val="superscript"/>
          <w:lang w:val="fr-FR"/>
        </w:rPr>
        <w:t>os</w:t>
      </w:r>
      <w:r w:rsidR="00841D1A">
        <w:rPr>
          <w:lang w:val="fr-FR"/>
        </w:rPr>
        <w:t> </w:t>
      </w:r>
      <w:r>
        <w:rPr>
          <w:lang w:val="fr-FR"/>
        </w:rPr>
        <w:t>37 (Lampes à incandescence), 99 (Sources lumineuses à décharge), 128 (Sources lumineuses à diodes électroluminescentes) et Résolution d</w:t>
      </w:r>
      <w:r w:rsidR="0079124C">
        <w:rPr>
          <w:lang w:val="fr-FR"/>
        </w:rPr>
        <w:t>’</w:t>
      </w:r>
      <w:r>
        <w:rPr>
          <w:lang w:val="fr-FR"/>
        </w:rPr>
        <w:t>ensemble sur une spécification commune des catégories de sources lumineuses</w:t>
      </w:r>
      <w:r w:rsidR="00D014A4">
        <w:rPr>
          <w:lang w:val="fr-FR"/>
        </w:rPr>
        <w:t>.</w:t>
      </w:r>
    </w:p>
    <w:p w:rsidR="00A51976" w:rsidRPr="00C17C2A" w:rsidRDefault="00A51976" w:rsidP="00A51976">
      <w:pPr>
        <w:pStyle w:val="SingleTxtG"/>
        <w:ind w:left="1701" w:hanging="567"/>
        <w:jc w:val="left"/>
      </w:pPr>
      <w:r>
        <w:rPr>
          <w:lang w:val="fr-FR"/>
        </w:rPr>
        <w:t>6.</w:t>
      </w:r>
      <w:r>
        <w:rPr>
          <w:lang w:val="fr-FR"/>
        </w:rPr>
        <w:tab/>
        <w:t xml:space="preserve">Règlement </w:t>
      </w:r>
      <w:r w:rsidR="00513644" w:rsidRPr="00A104D9">
        <w:rPr>
          <w:rFonts w:eastAsia="MS Mincho"/>
          <w:szCs w:val="22"/>
          <w:lang w:val="fr-FR"/>
        </w:rPr>
        <w:t>n</w:t>
      </w:r>
      <w:r w:rsidR="00513644" w:rsidRPr="00A104D9">
        <w:rPr>
          <w:rFonts w:eastAsia="MS Mincho"/>
          <w:szCs w:val="22"/>
          <w:vertAlign w:val="superscript"/>
          <w:lang w:val="fr-FR"/>
        </w:rPr>
        <w:t>o</w:t>
      </w:r>
      <w:r w:rsidR="00513644">
        <w:rPr>
          <w:lang w:val="fr-FR"/>
        </w:rPr>
        <w:t> </w:t>
      </w:r>
      <w:r>
        <w:rPr>
          <w:lang w:val="fr-FR"/>
        </w:rPr>
        <w:t>48 (Installation des dispositifs d</w:t>
      </w:r>
      <w:r w:rsidR="0079124C">
        <w:rPr>
          <w:lang w:val="fr-FR"/>
        </w:rPr>
        <w:t>’</w:t>
      </w:r>
      <w:r>
        <w:rPr>
          <w:lang w:val="fr-FR"/>
        </w:rPr>
        <w:t>éclairage et de signalisation lumineuse) :</w:t>
      </w:r>
    </w:p>
    <w:p w:rsidR="00A51976" w:rsidRPr="00C17C2A" w:rsidRDefault="00A51976" w:rsidP="00A51976">
      <w:pPr>
        <w:spacing w:after="120"/>
        <w:ind w:left="2262" w:right="1134" w:hanging="561"/>
      </w:pPr>
      <w:r>
        <w:rPr>
          <w:lang w:val="fr-FR"/>
        </w:rPr>
        <w:t>a)</w:t>
      </w:r>
      <w:r>
        <w:rPr>
          <w:lang w:val="fr-FR"/>
        </w:rPr>
        <w:tab/>
        <w:t>Propositions d</w:t>
      </w:r>
      <w:r w:rsidR="0079124C">
        <w:rPr>
          <w:lang w:val="fr-FR"/>
        </w:rPr>
        <w:t>’</w:t>
      </w:r>
      <w:r>
        <w:rPr>
          <w:lang w:val="fr-FR"/>
        </w:rPr>
        <w:t>amendements aux séries 05 et 06 d</w:t>
      </w:r>
      <w:r w:rsidR="0079124C">
        <w:rPr>
          <w:lang w:val="fr-FR"/>
        </w:rPr>
        <w:t>’</w:t>
      </w:r>
      <w:r>
        <w:rPr>
          <w:lang w:val="fr-FR"/>
        </w:rPr>
        <w:t>amendements ;</w:t>
      </w:r>
    </w:p>
    <w:p w:rsidR="00A51976" w:rsidRPr="00C17C2A" w:rsidRDefault="00A51976" w:rsidP="00A51976">
      <w:pPr>
        <w:spacing w:after="120"/>
        <w:ind w:left="2262" w:right="1134" w:hanging="561"/>
      </w:pPr>
      <w:r>
        <w:rPr>
          <w:lang w:val="fr-FR"/>
        </w:rPr>
        <w:t>b)</w:t>
      </w:r>
      <w:r>
        <w:rPr>
          <w:lang w:val="fr-FR"/>
        </w:rPr>
        <w:tab/>
        <w:t>Autres propositions d</w:t>
      </w:r>
      <w:r w:rsidR="0079124C">
        <w:rPr>
          <w:lang w:val="fr-FR"/>
        </w:rPr>
        <w:t>’</w:t>
      </w:r>
      <w:r>
        <w:rPr>
          <w:lang w:val="fr-FR"/>
        </w:rPr>
        <w:t>amendements au Règlement n</w:t>
      </w:r>
      <w:r>
        <w:rPr>
          <w:vertAlign w:val="superscript"/>
          <w:lang w:val="fr-FR"/>
        </w:rPr>
        <w:t>o</w:t>
      </w:r>
      <w:r>
        <w:rPr>
          <w:lang w:val="fr-FR"/>
        </w:rPr>
        <w:t xml:space="preserve"> 48.</w:t>
      </w:r>
    </w:p>
    <w:p w:rsidR="00A51976" w:rsidRPr="00C17C2A" w:rsidRDefault="00A51976" w:rsidP="00A51976">
      <w:pPr>
        <w:pStyle w:val="SingleTxtG"/>
        <w:jc w:val="left"/>
      </w:pPr>
      <w:r>
        <w:rPr>
          <w:lang w:val="fr-FR"/>
        </w:rPr>
        <w:t>7.</w:t>
      </w:r>
      <w:r>
        <w:rPr>
          <w:lang w:val="fr-FR"/>
        </w:rPr>
        <w:tab/>
        <w:t>Autres Règlements :</w:t>
      </w:r>
    </w:p>
    <w:p w:rsidR="00A51976" w:rsidRPr="00C17C2A" w:rsidRDefault="00A51976" w:rsidP="00A51976">
      <w:pPr>
        <w:pStyle w:val="SingleTxtG"/>
        <w:ind w:left="2268" w:hanging="558"/>
        <w:jc w:val="left"/>
      </w:pPr>
      <w:r>
        <w:rPr>
          <w:lang w:val="fr-FR"/>
        </w:rPr>
        <w:t>a)</w:t>
      </w:r>
      <w:r>
        <w:rPr>
          <w:lang w:val="fr-FR"/>
        </w:rPr>
        <w:tab/>
        <w:t xml:space="preserve">Règlement </w:t>
      </w:r>
      <w:r w:rsidR="000F53E7" w:rsidRPr="00A104D9">
        <w:rPr>
          <w:rFonts w:eastAsia="MS Mincho"/>
          <w:szCs w:val="22"/>
          <w:lang w:val="fr-FR"/>
        </w:rPr>
        <w:t>n</w:t>
      </w:r>
      <w:r w:rsidR="000F53E7" w:rsidRPr="00A104D9">
        <w:rPr>
          <w:rFonts w:eastAsia="MS Mincho"/>
          <w:szCs w:val="22"/>
          <w:vertAlign w:val="superscript"/>
          <w:lang w:val="fr-FR"/>
        </w:rPr>
        <w:t>o</w:t>
      </w:r>
      <w:r w:rsidR="000F53E7">
        <w:rPr>
          <w:lang w:val="fr-FR"/>
        </w:rPr>
        <w:t> </w:t>
      </w:r>
      <w:r>
        <w:rPr>
          <w:lang w:val="fr-FR"/>
        </w:rPr>
        <w:t>10 (Compatibilité électromagnétique) ;</w:t>
      </w:r>
    </w:p>
    <w:p w:rsidR="00A51976" w:rsidRPr="00C17C2A" w:rsidRDefault="00A51976" w:rsidP="00A51976">
      <w:pPr>
        <w:pStyle w:val="SingleTxtG"/>
        <w:ind w:left="2262" w:hanging="561"/>
        <w:jc w:val="left"/>
      </w:pPr>
      <w:r>
        <w:rPr>
          <w:lang w:val="fr-FR"/>
        </w:rPr>
        <w:t>b)</w:t>
      </w:r>
      <w:r>
        <w:rPr>
          <w:lang w:val="fr-FR"/>
        </w:rPr>
        <w:tab/>
        <w:t xml:space="preserve">Règlement </w:t>
      </w:r>
      <w:r w:rsidR="000F53E7" w:rsidRPr="00A104D9">
        <w:rPr>
          <w:rFonts w:eastAsia="MS Mincho"/>
          <w:szCs w:val="22"/>
          <w:lang w:val="fr-FR"/>
        </w:rPr>
        <w:t>n</w:t>
      </w:r>
      <w:r w:rsidR="000F53E7" w:rsidRPr="00A104D9">
        <w:rPr>
          <w:rFonts w:eastAsia="MS Mincho"/>
          <w:szCs w:val="22"/>
          <w:vertAlign w:val="superscript"/>
          <w:lang w:val="fr-FR"/>
        </w:rPr>
        <w:t>o</w:t>
      </w:r>
      <w:r w:rsidR="000F53E7">
        <w:rPr>
          <w:lang w:val="fr-FR"/>
        </w:rPr>
        <w:t> </w:t>
      </w:r>
      <w:r>
        <w:rPr>
          <w:lang w:val="fr-FR"/>
        </w:rPr>
        <w:t>53 (Installation des dispositifs d</w:t>
      </w:r>
      <w:r w:rsidR="0079124C">
        <w:rPr>
          <w:lang w:val="fr-FR"/>
        </w:rPr>
        <w:t>’</w:t>
      </w:r>
      <w:r>
        <w:rPr>
          <w:lang w:val="fr-FR"/>
        </w:rPr>
        <w:t>éclairage et de signalisation lumineuse sur les véhicules de la catégorie L</w:t>
      </w:r>
      <w:r>
        <w:rPr>
          <w:vertAlign w:val="subscript"/>
          <w:lang w:val="fr-FR"/>
        </w:rPr>
        <w:t>3</w:t>
      </w:r>
      <w:r>
        <w:rPr>
          <w:lang w:val="fr-FR"/>
        </w:rPr>
        <w:t>) ;</w:t>
      </w:r>
    </w:p>
    <w:p w:rsidR="00A51976" w:rsidRPr="00C17C2A" w:rsidRDefault="00A51976" w:rsidP="00A51976">
      <w:pPr>
        <w:pStyle w:val="SingleTxtG"/>
        <w:jc w:val="left"/>
      </w:pPr>
      <w:r>
        <w:rPr>
          <w:lang w:val="fr-FR"/>
        </w:rPr>
        <w:t>8.</w:t>
      </w:r>
      <w:r>
        <w:rPr>
          <w:lang w:val="fr-FR"/>
        </w:rPr>
        <w:tab/>
        <w:t>Questions diverses :</w:t>
      </w:r>
    </w:p>
    <w:p w:rsidR="00A51976" w:rsidRPr="00C17C2A" w:rsidRDefault="00A51976" w:rsidP="00A51976">
      <w:pPr>
        <w:pStyle w:val="SingleTxtG"/>
        <w:ind w:left="2262" w:hanging="561"/>
        <w:jc w:val="left"/>
      </w:pPr>
      <w:r>
        <w:rPr>
          <w:lang w:val="fr-FR"/>
        </w:rPr>
        <w:t>a)</w:t>
      </w:r>
      <w:r>
        <w:rPr>
          <w:lang w:val="fr-FR"/>
        </w:rPr>
        <w:tab/>
        <w:t>Amendements à la Convention sur la circulation routière (Vienne, 1968) ;</w:t>
      </w:r>
    </w:p>
    <w:p w:rsidR="00A51976" w:rsidRPr="00C17C2A" w:rsidRDefault="00A51976" w:rsidP="00A51976">
      <w:pPr>
        <w:pStyle w:val="SingleTxtG"/>
        <w:ind w:left="2262" w:hanging="561"/>
        <w:jc w:val="left"/>
      </w:pPr>
      <w:r>
        <w:rPr>
          <w:lang w:val="fr-FR"/>
        </w:rPr>
        <w:t>b)</w:t>
      </w:r>
      <w:r>
        <w:rPr>
          <w:lang w:val="fr-FR"/>
        </w:rPr>
        <w:tab/>
        <w:t>Décennie d</w:t>
      </w:r>
      <w:r w:rsidR="0079124C">
        <w:rPr>
          <w:lang w:val="fr-FR"/>
        </w:rPr>
        <w:t>’</w:t>
      </w:r>
      <w:r>
        <w:rPr>
          <w:lang w:val="fr-FR"/>
        </w:rPr>
        <w:t>action pour la sécurité routière 2011-2020 ;</w:t>
      </w:r>
    </w:p>
    <w:p w:rsidR="00A51976" w:rsidRPr="00C17C2A" w:rsidRDefault="00A51976" w:rsidP="00A51976">
      <w:pPr>
        <w:pStyle w:val="SingleTxtG"/>
        <w:tabs>
          <w:tab w:val="left" w:pos="1701"/>
        </w:tabs>
        <w:ind w:left="2262" w:hanging="561"/>
        <w:jc w:val="left"/>
      </w:pPr>
      <w:r>
        <w:rPr>
          <w:lang w:val="fr-FR"/>
        </w:rPr>
        <w:t>c)</w:t>
      </w:r>
      <w:r>
        <w:rPr>
          <w:lang w:val="fr-FR"/>
        </w:rPr>
        <w:tab/>
        <w:t>Mise au point d</w:t>
      </w:r>
      <w:r w:rsidR="0079124C">
        <w:rPr>
          <w:lang w:val="fr-FR"/>
        </w:rPr>
        <w:t>’</w:t>
      </w:r>
      <w:r>
        <w:rPr>
          <w:lang w:val="fr-FR"/>
        </w:rPr>
        <w:t>une homologation de type internationale de l</w:t>
      </w:r>
      <w:r w:rsidR="0079124C">
        <w:rPr>
          <w:lang w:val="fr-FR"/>
        </w:rPr>
        <w:t>’</w:t>
      </w:r>
      <w:r>
        <w:rPr>
          <w:lang w:val="fr-FR"/>
        </w:rPr>
        <w:t>ensemble du véhicule ;</w:t>
      </w:r>
    </w:p>
    <w:p w:rsidR="00A51976" w:rsidRPr="00C17C2A" w:rsidRDefault="00A51976" w:rsidP="00A51976">
      <w:pPr>
        <w:pStyle w:val="SingleTxtG"/>
        <w:ind w:left="2262" w:hanging="561"/>
        <w:jc w:val="left"/>
      </w:pPr>
      <w:r>
        <w:rPr>
          <w:lang w:val="fr-FR"/>
        </w:rPr>
        <w:t>d)</w:t>
      </w:r>
      <w:r>
        <w:rPr>
          <w:lang w:val="fr-FR"/>
        </w:rPr>
        <w:tab/>
        <w:t>Phénomènes de lumière parasite et de dégradation des couleurs.</w:t>
      </w:r>
    </w:p>
    <w:p w:rsidR="00A51976" w:rsidRPr="00C17C2A" w:rsidRDefault="00A51976" w:rsidP="00A51976">
      <w:pPr>
        <w:pStyle w:val="SingleTxtG"/>
        <w:jc w:val="left"/>
      </w:pPr>
      <w:r>
        <w:rPr>
          <w:lang w:val="fr-FR"/>
        </w:rPr>
        <w:t>9.</w:t>
      </w:r>
      <w:r>
        <w:rPr>
          <w:lang w:val="fr-FR"/>
        </w:rPr>
        <w:tab/>
        <w:t>Nouvelles questions et soumissions tardives.</w:t>
      </w:r>
    </w:p>
    <w:p w:rsidR="00A51976" w:rsidRPr="00C17C2A" w:rsidRDefault="00A51976" w:rsidP="00A51976">
      <w:pPr>
        <w:pStyle w:val="SingleTxtG"/>
        <w:jc w:val="left"/>
      </w:pPr>
      <w:r>
        <w:rPr>
          <w:lang w:val="fr-FR"/>
        </w:rPr>
        <w:t>10.</w:t>
      </w:r>
      <w:r>
        <w:rPr>
          <w:lang w:val="fr-FR"/>
        </w:rPr>
        <w:tab/>
        <w:t>Orientation des travaux futurs du Groupe de travail.</w:t>
      </w:r>
    </w:p>
    <w:p w:rsidR="00A51976" w:rsidRPr="00C17C2A" w:rsidRDefault="00A51976" w:rsidP="00A51976">
      <w:pPr>
        <w:pStyle w:val="SingleTxtG"/>
        <w:jc w:val="left"/>
      </w:pPr>
      <w:r>
        <w:rPr>
          <w:lang w:val="fr-FR"/>
        </w:rPr>
        <w:t>11.</w:t>
      </w:r>
      <w:r>
        <w:rPr>
          <w:lang w:val="fr-FR"/>
        </w:rPr>
        <w:tab/>
        <w:t xml:space="preserve">Ordre du jour provisoire de la session suivante. </w:t>
      </w:r>
    </w:p>
    <w:p w:rsidR="00A51976" w:rsidRDefault="00A51976" w:rsidP="00A51976">
      <w:pPr>
        <w:pStyle w:val="SingleTxtG"/>
        <w:jc w:val="left"/>
        <w:rPr>
          <w:lang w:val="fr-FR"/>
        </w:rPr>
      </w:pPr>
      <w:r>
        <w:rPr>
          <w:lang w:val="fr-FR"/>
        </w:rPr>
        <w:t>12.</w:t>
      </w:r>
      <w:r>
        <w:rPr>
          <w:lang w:val="fr-FR"/>
        </w:rPr>
        <w:tab/>
        <w:t>Élection du Bureau.</w:t>
      </w:r>
    </w:p>
    <w:p w:rsidR="00841D1A" w:rsidRDefault="00841D1A" w:rsidP="00841D1A">
      <w:pPr>
        <w:pStyle w:val="HChG"/>
        <w:rPr>
          <w:lang w:val="fr-FR"/>
        </w:rPr>
      </w:pPr>
      <w:r>
        <w:rPr>
          <w:lang w:val="fr-FR"/>
        </w:rPr>
        <w:tab/>
        <w:t>II.</w:t>
      </w:r>
      <w:r>
        <w:rPr>
          <w:lang w:val="fr-FR"/>
        </w:rPr>
        <w:tab/>
        <w:t>Annotations</w:t>
      </w:r>
    </w:p>
    <w:p w:rsidR="00841D1A" w:rsidRDefault="00841D1A" w:rsidP="00841D1A">
      <w:pPr>
        <w:pStyle w:val="H1G"/>
        <w:rPr>
          <w:lang w:val="fr-FR"/>
        </w:rPr>
      </w:pPr>
      <w:r>
        <w:rPr>
          <w:lang w:val="fr-FR"/>
        </w:rPr>
        <w:tab/>
        <w:t>1.</w:t>
      </w:r>
      <w:r>
        <w:rPr>
          <w:lang w:val="fr-FR"/>
        </w:rPr>
        <w:tab/>
        <w:t>Adoption de l</w:t>
      </w:r>
      <w:r w:rsidR="0079124C">
        <w:rPr>
          <w:lang w:val="fr-FR"/>
        </w:rPr>
        <w:t>’</w:t>
      </w:r>
      <w:r>
        <w:rPr>
          <w:lang w:val="fr-FR"/>
        </w:rPr>
        <w:t>ordre du jour</w:t>
      </w:r>
    </w:p>
    <w:p w:rsidR="00841D1A" w:rsidRDefault="00841D1A" w:rsidP="00841D1A">
      <w:pPr>
        <w:pStyle w:val="SingleTxtG"/>
        <w:ind w:firstLine="567"/>
        <w:rPr>
          <w:lang w:val="fr-FR"/>
        </w:rPr>
      </w:pPr>
      <w:r>
        <w:rPr>
          <w:lang w:val="fr-FR"/>
        </w:rPr>
        <w:t>Conformément à l</w:t>
      </w:r>
      <w:r w:rsidR="0079124C">
        <w:rPr>
          <w:lang w:val="fr-FR"/>
        </w:rPr>
        <w:t>’</w:t>
      </w:r>
      <w:r>
        <w:rPr>
          <w:lang w:val="fr-FR"/>
        </w:rPr>
        <w:t>article 7 du chapitre III du Règlement intérieur du Forum mondial de l</w:t>
      </w:r>
      <w:r w:rsidR="0079124C">
        <w:rPr>
          <w:lang w:val="fr-FR"/>
        </w:rPr>
        <w:t>’</w:t>
      </w:r>
      <w:r>
        <w:rPr>
          <w:lang w:val="fr-FR"/>
        </w:rPr>
        <w:t>harmonisation des Règlements concernant les véhicules (WP.29) (TRANS/WP.29/690 et Amend.1 et 2), le premier point de l</w:t>
      </w:r>
      <w:r w:rsidR="0079124C">
        <w:rPr>
          <w:lang w:val="fr-FR"/>
        </w:rPr>
        <w:t>’</w:t>
      </w:r>
      <w:r>
        <w:rPr>
          <w:lang w:val="fr-FR"/>
        </w:rPr>
        <w:t>ordre du jour provisoire est son adoption.</w:t>
      </w:r>
    </w:p>
    <w:p w:rsidR="00841D1A" w:rsidRDefault="00841D1A" w:rsidP="00513644">
      <w:pPr>
        <w:pStyle w:val="SingleTxtG"/>
        <w:ind w:left="2268" w:hanging="1134"/>
        <w:rPr>
          <w:lang w:val="fr-FR"/>
        </w:rPr>
      </w:pPr>
      <w:r>
        <w:rPr>
          <w:b/>
          <w:bCs/>
          <w:lang w:val="fr-FR"/>
        </w:rPr>
        <w:t>Document</w:t>
      </w:r>
      <w:r w:rsidR="00513644">
        <w:rPr>
          <w:b/>
          <w:bCs/>
          <w:lang w:val="fr-FR"/>
        </w:rPr>
        <w:t>(s)</w:t>
      </w:r>
      <w:r>
        <w:rPr>
          <w:b/>
          <w:bCs/>
          <w:lang w:val="fr-FR"/>
        </w:rPr>
        <w:t> :</w:t>
      </w:r>
      <w:r>
        <w:rPr>
          <w:lang w:val="fr-FR"/>
        </w:rPr>
        <w:t xml:space="preserve"> </w:t>
      </w:r>
      <w:r>
        <w:rPr>
          <w:lang w:val="fr-FR"/>
        </w:rPr>
        <w:tab/>
        <w:t>ECE/TRANS/WP.29/GRE/2017/8</w:t>
      </w:r>
      <w:r w:rsidR="0079124C">
        <w:rPr>
          <w:lang w:val="fr-FR"/>
        </w:rPr>
        <w:t>.</w:t>
      </w:r>
    </w:p>
    <w:p w:rsidR="0079124C" w:rsidRPr="00C17C2A" w:rsidRDefault="0079124C" w:rsidP="0079124C">
      <w:pPr>
        <w:pStyle w:val="H1G"/>
      </w:pPr>
      <w:r>
        <w:rPr>
          <w:lang w:val="fr-FR"/>
        </w:rPr>
        <w:tab/>
        <w:t>2.</w:t>
      </w:r>
      <w:r>
        <w:rPr>
          <w:lang w:val="fr-FR"/>
        </w:rPr>
        <w:tab/>
      </w:r>
      <w:r w:rsidRPr="0079124C">
        <w:t>Accord</w:t>
      </w:r>
      <w:r>
        <w:rPr>
          <w:lang w:val="fr-FR"/>
        </w:rPr>
        <w:t xml:space="preserve"> de 1998 − Règlements techniques mondiaux : élaboration</w:t>
      </w:r>
    </w:p>
    <w:p w:rsidR="0079124C" w:rsidRPr="00C17C2A" w:rsidRDefault="0079124C" w:rsidP="0079124C">
      <w:pPr>
        <w:pStyle w:val="SingleTxtG"/>
        <w:ind w:firstLine="567"/>
      </w:pPr>
      <w:r>
        <w:rPr>
          <w:lang w:val="fr-FR"/>
        </w:rPr>
        <w:t>Le Groupe de travail de l’éclairage et de la signalisation lumineuse (GRE) souhaitera peut-être reprendre l’examen de cette question en attendant que de nouvelles propositions soient formulées et que des volontaires se présentent pour élaborer un Règlement technique mondial.</w:t>
      </w:r>
    </w:p>
    <w:p w:rsidR="0079124C" w:rsidRDefault="0079124C" w:rsidP="0079124C">
      <w:pPr>
        <w:pStyle w:val="SingleTxtG"/>
        <w:rPr>
          <w:lang w:val="fr-FR"/>
        </w:rPr>
      </w:pPr>
      <w:r>
        <w:rPr>
          <w:b/>
          <w:bCs/>
          <w:lang w:val="fr-FR"/>
        </w:rPr>
        <w:t>Document</w:t>
      </w:r>
      <w:r w:rsidR="00513644">
        <w:rPr>
          <w:b/>
          <w:bCs/>
          <w:lang w:val="fr-FR"/>
        </w:rPr>
        <w:t>(s)</w:t>
      </w:r>
      <w:r>
        <w:rPr>
          <w:lang w:val="fr-FR"/>
        </w:rPr>
        <w:t xml:space="preserve"> : </w:t>
      </w:r>
      <w:r>
        <w:rPr>
          <w:lang w:val="fr-FR"/>
        </w:rPr>
        <w:tab/>
        <w:t>ECE/TRANS/WP.29/GRE/71, par. 5.</w:t>
      </w:r>
    </w:p>
    <w:p w:rsidR="0079124C" w:rsidRPr="00C17C2A" w:rsidRDefault="0079124C" w:rsidP="0079124C">
      <w:pPr>
        <w:pStyle w:val="H1G"/>
      </w:pPr>
      <w:r>
        <w:rPr>
          <w:lang w:val="fr-FR"/>
        </w:rPr>
        <w:tab/>
        <w:t>3.</w:t>
      </w:r>
      <w:r>
        <w:rPr>
          <w:lang w:val="fr-FR"/>
        </w:rPr>
        <w:tab/>
        <w:t>Accord de 1997 − Règles : élaboration</w:t>
      </w:r>
    </w:p>
    <w:p w:rsidR="0079124C" w:rsidRPr="00C17C2A" w:rsidRDefault="0079124C" w:rsidP="0079124C">
      <w:pPr>
        <w:pStyle w:val="SingleTxtG"/>
        <w:ind w:firstLine="567"/>
        <w:rPr>
          <w:color w:val="000000"/>
        </w:rPr>
      </w:pPr>
      <w:r>
        <w:rPr>
          <w:lang w:val="fr-FR"/>
        </w:rPr>
        <w:t>Le Groupe de travail sera informé des amendements aux Règles n</w:t>
      </w:r>
      <w:r>
        <w:rPr>
          <w:vertAlign w:val="superscript"/>
          <w:lang w:val="fr-FR"/>
        </w:rPr>
        <w:t>os</w:t>
      </w:r>
      <w:r w:rsidR="00A104D9">
        <w:rPr>
          <w:lang w:val="fr-FR"/>
        </w:rPr>
        <w:t> </w:t>
      </w:r>
      <w:r>
        <w:rPr>
          <w:lang w:val="fr-FR"/>
        </w:rPr>
        <w:t>1 et 2 adoptés en juin 2017.</w:t>
      </w:r>
    </w:p>
    <w:p w:rsidR="0079124C" w:rsidRPr="00C17C2A" w:rsidRDefault="0079124C" w:rsidP="0079124C">
      <w:pPr>
        <w:pStyle w:val="SingleTxtG"/>
        <w:ind w:left="2835" w:hanging="1701"/>
        <w:jc w:val="left"/>
      </w:pPr>
      <w:r>
        <w:rPr>
          <w:b/>
          <w:bCs/>
          <w:lang w:val="fr-FR"/>
        </w:rPr>
        <w:t>Document</w:t>
      </w:r>
      <w:r w:rsidR="009D645C">
        <w:rPr>
          <w:b/>
          <w:bCs/>
          <w:lang w:val="fr-FR"/>
        </w:rPr>
        <w:t>(s)</w:t>
      </w:r>
      <w:r>
        <w:rPr>
          <w:b/>
          <w:bCs/>
          <w:lang w:val="fr-FR"/>
        </w:rPr>
        <w:t> :</w:t>
      </w:r>
      <w:r>
        <w:rPr>
          <w:lang w:val="fr-FR"/>
        </w:rPr>
        <w:t xml:space="preserve"> </w:t>
      </w:r>
      <w:r>
        <w:rPr>
          <w:lang w:val="fr-FR"/>
        </w:rPr>
        <w:tab/>
        <w:t>ECE/TRANS/WP.29/2017/90</w:t>
      </w:r>
      <w:r w:rsidR="00A104D9">
        <w:rPr>
          <w:lang w:val="fr-FR"/>
        </w:rPr>
        <w:t xml:space="preserve"> et </w:t>
      </w:r>
      <w:r>
        <w:rPr>
          <w:lang w:val="fr-FR"/>
        </w:rPr>
        <w:t>ECE/TRANS/WP.29/2017/91</w:t>
      </w:r>
      <w:r w:rsidR="00A104D9">
        <w:rPr>
          <w:lang w:val="fr-FR"/>
        </w:rPr>
        <w:t>.</w:t>
      </w:r>
    </w:p>
    <w:p w:rsidR="0079124C" w:rsidRPr="00C17C2A" w:rsidRDefault="0079124C" w:rsidP="00A104D9">
      <w:pPr>
        <w:pStyle w:val="H1G"/>
      </w:pPr>
      <w:r>
        <w:rPr>
          <w:lang w:val="fr-FR"/>
        </w:rPr>
        <w:lastRenderedPageBreak/>
        <w:tab/>
        <w:t>4.</w:t>
      </w:r>
      <w:r>
        <w:rPr>
          <w:lang w:val="fr-FR"/>
        </w:rPr>
        <w:tab/>
        <w:t xml:space="preserve">Simplification des </w:t>
      </w:r>
      <w:r w:rsidRPr="00A104D9">
        <w:t>Règlements</w:t>
      </w:r>
      <w:r>
        <w:rPr>
          <w:lang w:val="fr-FR"/>
        </w:rPr>
        <w:t xml:space="preserve"> </w:t>
      </w:r>
      <w:r w:rsidR="00D014A4">
        <w:rPr>
          <w:lang w:val="fr-FR"/>
        </w:rPr>
        <w:t>concernant</w:t>
      </w:r>
      <w:r>
        <w:rPr>
          <w:lang w:val="fr-FR"/>
        </w:rPr>
        <w:t xml:space="preserve"> l’éclairage et la signalisation lumineuse</w:t>
      </w:r>
    </w:p>
    <w:p w:rsidR="0079124C" w:rsidRPr="00C17C2A" w:rsidRDefault="0079124C" w:rsidP="0079124C">
      <w:pPr>
        <w:pStyle w:val="SingleTxtG"/>
        <w:ind w:firstLine="567"/>
      </w:pPr>
      <w:r>
        <w:rPr>
          <w:lang w:val="fr-FR"/>
        </w:rPr>
        <w:t>Le Groupe de travail sera informé de l’état d’avancement des travaux du groupe de travail informel de la simplification des Règlements relatifs à l’éclairage et à la signalisation lumineuse visant à élaborer les trois nouveaux Règlements simplifiés sur les dispositifs de signalisation lumineuse, les dispositifs d’éclairage de la route et les dispositifs rétroréfléchissants. Le Groupe de travail examinera un projet de Règlement sur les dispositifs de signalisation lumineuse établi par le groupe de travail informel.</w:t>
      </w:r>
    </w:p>
    <w:p w:rsidR="0079124C" w:rsidRPr="00C17C2A" w:rsidRDefault="0079124C" w:rsidP="0079124C">
      <w:pPr>
        <w:pStyle w:val="SingleTxtG"/>
        <w:ind w:left="2835" w:hanging="1701"/>
        <w:jc w:val="left"/>
      </w:pPr>
      <w:r>
        <w:rPr>
          <w:b/>
          <w:bCs/>
          <w:lang w:val="fr-FR"/>
        </w:rPr>
        <w:t>Document</w:t>
      </w:r>
      <w:r w:rsidR="0056658A">
        <w:rPr>
          <w:b/>
          <w:bCs/>
          <w:lang w:val="fr-FR"/>
        </w:rPr>
        <w:t>(s) </w:t>
      </w:r>
      <w:r>
        <w:rPr>
          <w:b/>
          <w:bCs/>
          <w:lang w:val="fr-FR"/>
        </w:rPr>
        <w:t>:</w:t>
      </w:r>
      <w:r>
        <w:rPr>
          <w:lang w:val="fr-FR"/>
        </w:rPr>
        <w:t xml:space="preserve"> </w:t>
      </w:r>
      <w:r>
        <w:rPr>
          <w:lang w:val="fr-FR"/>
        </w:rPr>
        <w:tab/>
        <w:t>ECE/TRANS/WP.29/GRE/2017/9</w:t>
      </w:r>
      <w:r w:rsidR="00A104D9">
        <w:rPr>
          <w:lang w:val="fr-FR"/>
        </w:rPr>
        <w:t>.</w:t>
      </w:r>
    </w:p>
    <w:p w:rsidR="0079124C" w:rsidRPr="00C17C2A" w:rsidRDefault="0079124C" w:rsidP="0079124C">
      <w:pPr>
        <w:pStyle w:val="SingleTxtG"/>
        <w:ind w:firstLine="567"/>
      </w:pPr>
      <w:r>
        <w:rPr>
          <w:lang w:val="fr-FR"/>
        </w:rPr>
        <w:t xml:space="preserve">En outre, le groupe de travail informel a établi des projets d’amendement au Règlement </w:t>
      </w:r>
      <w:r w:rsidR="00A104D9" w:rsidRPr="00A104D9">
        <w:rPr>
          <w:rFonts w:eastAsia="MS Mincho"/>
          <w:szCs w:val="22"/>
          <w:lang w:val="fr-FR"/>
        </w:rPr>
        <w:t>n</w:t>
      </w:r>
      <w:r w:rsidR="00A104D9" w:rsidRPr="00A104D9">
        <w:rPr>
          <w:rFonts w:eastAsia="MS Mincho"/>
          <w:szCs w:val="22"/>
          <w:vertAlign w:val="superscript"/>
          <w:lang w:val="fr-FR"/>
        </w:rPr>
        <w:t>o</w:t>
      </w:r>
      <w:r w:rsidR="00A104D9">
        <w:rPr>
          <w:lang w:val="fr-FR"/>
        </w:rPr>
        <w:t> </w:t>
      </w:r>
      <w:r>
        <w:rPr>
          <w:lang w:val="fr-FR"/>
        </w:rPr>
        <w:t>48, qui regroupent les définitions des Règlements existants et introduisent des références aux nouveaux Règlements simplifiés.</w:t>
      </w:r>
    </w:p>
    <w:p w:rsidR="0079124C" w:rsidRPr="00C17C2A" w:rsidRDefault="0079124C" w:rsidP="0056658A">
      <w:pPr>
        <w:pStyle w:val="SingleTxtG"/>
        <w:ind w:left="2835" w:hanging="1701"/>
        <w:jc w:val="left"/>
      </w:pPr>
      <w:r>
        <w:rPr>
          <w:b/>
          <w:bCs/>
          <w:lang w:val="fr-FR"/>
        </w:rPr>
        <w:t>Document</w:t>
      </w:r>
      <w:r w:rsidR="007452F5">
        <w:rPr>
          <w:b/>
          <w:bCs/>
          <w:lang w:val="fr-FR"/>
        </w:rPr>
        <w:t>(s)</w:t>
      </w:r>
      <w:r>
        <w:rPr>
          <w:b/>
          <w:bCs/>
          <w:lang w:val="fr-FR"/>
        </w:rPr>
        <w:t> :</w:t>
      </w:r>
      <w:r w:rsidR="0056658A">
        <w:rPr>
          <w:b/>
          <w:bCs/>
          <w:lang w:val="fr-FR"/>
        </w:rPr>
        <w:tab/>
      </w:r>
      <w:r w:rsidR="0056658A">
        <w:rPr>
          <w:lang w:val="fr-FR"/>
        </w:rPr>
        <w:tab/>
      </w:r>
      <w:r>
        <w:rPr>
          <w:lang w:val="fr-FR"/>
        </w:rPr>
        <w:t>ECE/TRANS/WP.29/GRE/2017/10</w:t>
      </w:r>
      <w:r w:rsidR="0056658A">
        <w:rPr>
          <w:lang w:val="fr-FR"/>
        </w:rPr>
        <w:t xml:space="preserve"> et </w:t>
      </w:r>
      <w:r>
        <w:rPr>
          <w:lang w:val="fr-FR"/>
        </w:rPr>
        <w:t>ECE/TRANS/WP.29/GRE/2017/11</w:t>
      </w:r>
      <w:r w:rsidR="00A104D9">
        <w:rPr>
          <w:lang w:val="fr-FR"/>
        </w:rPr>
        <w:t>.</w:t>
      </w:r>
    </w:p>
    <w:p w:rsidR="0079124C" w:rsidRPr="00C17C2A" w:rsidRDefault="0079124C" w:rsidP="0079124C">
      <w:pPr>
        <w:pStyle w:val="SingleTxtG"/>
        <w:ind w:firstLine="567"/>
      </w:pPr>
      <w:r>
        <w:rPr>
          <w:lang w:val="fr-FR"/>
        </w:rPr>
        <w:t>Le Groupe de travail examinera également de nouvelles dispositions transitoires pour les Règlements n</w:t>
      </w:r>
      <w:r>
        <w:rPr>
          <w:vertAlign w:val="superscript"/>
          <w:lang w:val="fr-FR"/>
        </w:rPr>
        <w:t>os</w:t>
      </w:r>
      <w:r w:rsidR="00A104D9">
        <w:rPr>
          <w:lang w:val="fr-FR"/>
        </w:rPr>
        <w:t> </w:t>
      </w:r>
      <w:r>
        <w:rPr>
          <w:lang w:val="fr-FR"/>
        </w:rPr>
        <w:t>3, 4, 6, 7, 19, 23, 27, 38, 50, 69, 70, 77, 87, 91, 98, 104, 112, 113, 119 et 123, établies par le groupe de travail informel en relation avec la mise en place des nouveaux Règlements simplifiés.</w:t>
      </w:r>
    </w:p>
    <w:p w:rsidR="0079124C" w:rsidRPr="00C17C2A" w:rsidRDefault="0079124C" w:rsidP="0079124C">
      <w:pPr>
        <w:pStyle w:val="SingleTxtG"/>
        <w:ind w:left="2835" w:hanging="1701"/>
        <w:jc w:val="left"/>
      </w:pPr>
      <w:r>
        <w:rPr>
          <w:b/>
          <w:bCs/>
          <w:lang w:val="fr-FR"/>
        </w:rPr>
        <w:t>Document</w:t>
      </w:r>
      <w:r w:rsidR="007452F5">
        <w:rPr>
          <w:b/>
          <w:bCs/>
          <w:lang w:val="fr-FR"/>
        </w:rPr>
        <w:t>(s)</w:t>
      </w:r>
      <w:r>
        <w:rPr>
          <w:b/>
          <w:bCs/>
          <w:lang w:val="fr-FR"/>
        </w:rPr>
        <w:t> :</w:t>
      </w:r>
      <w:r>
        <w:rPr>
          <w:lang w:val="fr-FR"/>
        </w:rPr>
        <w:t xml:space="preserve"> </w:t>
      </w:r>
      <w:r>
        <w:rPr>
          <w:lang w:val="fr-FR"/>
        </w:rPr>
        <w:tab/>
        <w:t>ECE/TRANS/WP.29/GRE/2017/13</w:t>
      </w:r>
      <w:r w:rsidR="00A104D9">
        <w:rPr>
          <w:lang w:val="fr-FR"/>
        </w:rPr>
        <w:t>.</w:t>
      </w:r>
    </w:p>
    <w:p w:rsidR="0079124C" w:rsidRPr="00C17C2A" w:rsidRDefault="0079124C" w:rsidP="0079124C">
      <w:pPr>
        <w:pStyle w:val="SingleTxtG"/>
        <w:ind w:firstLine="567"/>
      </w:pPr>
      <w:r>
        <w:rPr>
          <w:lang w:val="fr-FR"/>
        </w:rPr>
        <w:t xml:space="preserve">Enfin, le Groupe de travail sera invité à examiner les propositions soumises par l’expert du Groupe de travail « Bruxelles 1952 » (GTB) dans le but d’introduire des substituts aux sources lumineuses à diodes électroluminescentes et des sources lumineuses remplaçables dans les nouveaux Règlements sur les dispositifs de signalisation lumineuse et sur les dispositifs d’éclairage de la route. </w:t>
      </w:r>
    </w:p>
    <w:p w:rsidR="0079124C" w:rsidRPr="00C17C2A" w:rsidRDefault="0079124C" w:rsidP="0079124C">
      <w:pPr>
        <w:pStyle w:val="SingleTxtG"/>
        <w:ind w:left="2835" w:hanging="1701"/>
        <w:jc w:val="left"/>
      </w:pPr>
      <w:r>
        <w:rPr>
          <w:b/>
          <w:bCs/>
          <w:lang w:val="fr-FR"/>
        </w:rPr>
        <w:t>Document</w:t>
      </w:r>
      <w:r w:rsidR="007452F5">
        <w:rPr>
          <w:b/>
          <w:bCs/>
          <w:lang w:val="fr-FR"/>
        </w:rPr>
        <w:t>(s)</w:t>
      </w:r>
      <w:r>
        <w:rPr>
          <w:b/>
          <w:bCs/>
          <w:lang w:val="fr-FR"/>
        </w:rPr>
        <w:t> :</w:t>
      </w:r>
      <w:r>
        <w:rPr>
          <w:lang w:val="fr-FR"/>
        </w:rPr>
        <w:tab/>
        <w:t xml:space="preserve">ECE/TRANS/WP.29/GRE/2017/14 </w:t>
      </w:r>
      <w:r w:rsidR="0084481F">
        <w:rPr>
          <w:lang w:val="fr-FR"/>
        </w:rPr>
        <w:t xml:space="preserve">et </w:t>
      </w:r>
      <w:r>
        <w:rPr>
          <w:lang w:val="fr-FR"/>
        </w:rPr>
        <w:t>ECE/TRANS/WP.29/GRE/2017/15</w:t>
      </w:r>
      <w:r w:rsidR="0084481F">
        <w:rPr>
          <w:lang w:val="fr-FR"/>
        </w:rPr>
        <w:t>.</w:t>
      </w:r>
    </w:p>
    <w:p w:rsidR="0079124C" w:rsidRPr="00C17C2A" w:rsidRDefault="0079124C" w:rsidP="0079124C">
      <w:pPr>
        <w:pStyle w:val="H1G"/>
      </w:pPr>
      <w:r>
        <w:rPr>
          <w:lang w:val="fr-FR"/>
        </w:rPr>
        <w:tab/>
        <w:t>5.</w:t>
      </w:r>
      <w:r>
        <w:rPr>
          <w:lang w:val="fr-FR"/>
        </w:rPr>
        <w:tab/>
        <w:t>Règlements n</w:t>
      </w:r>
      <w:r>
        <w:rPr>
          <w:vertAlign w:val="superscript"/>
          <w:lang w:val="fr-FR"/>
        </w:rPr>
        <w:t>os</w:t>
      </w:r>
      <w:r w:rsidR="0084481F">
        <w:rPr>
          <w:lang w:val="fr-FR"/>
        </w:rPr>
        <w:t> </w:t>
      </w:r>
      <w:r>
        <w:rPr>
          <w:lang w:val="fr-FR"/>
        </w:rPr>
        <w:t>37 (Lampes à incandescence), 99 (Sources lumineuses à décharge), 128 (Sources lumineuses à diodes électroluminescentes) et Résolution d’ensemble sur une spécification commune des catégories de sources lumineuses</w:t>
      </w:r>
    </w:p>
    <w:p w:rsidR="0079124C" w:rsidRPr="00C17C2A" w:rsidRDefault="0079124C" w:rsidP="0079124C">
      <w:pPr>
        <w:pStyle w:val="SingleTxtG"/>
        <w:ind w:firstLine="567"/>
      </w:pPr>
      <w:r>
        <w:rPr>
          <w:lang w:val="fr-FR"/>
        </w:rPr>
        <w:t xml:space="preserve">Le Groupe de travail examinera une proposition d’amendement au Règlement </w:t>
      </w:r>
      <w:r w:rsidR="0084481F" w:rsidRPr="00A104D9">
        <w:rPr>
          <w:rFonts w:eastAsia="MS Mincho"/>
          <w:szCs w:val="22"/>
          <w:lang w:val="fr-FR"/>
        </w:rPr>
        <w:t>n</w:t>
      </w:r>
      <w:r w:rsidR="0084481F" w:rsidRPr="00A104D9">
        <w:rPr>
          <w:rFonts w:eastAsia="MS Mincho"/>
          <w:szCs w:val="22"/>
          <w:vertAlign w:val="superscript"/>
          <w:lang w:val="fr-FR"/>
        </w:rPr>
        <w:t>o</w:t>
      </w:r>
      <w:r w:rsidR="0084481F">
        <w:rPr>
          <w:lang w:val="fr-FR"/>
        </w:rPr>
        <w:t> </w:t>
      </w:r>
      <w:r>
        <w:rPr>
          <w:lang w:val="fr-FR"/>
        </w:rPr>
        <w:t xml:space="preserve">37 soumise par l’expert du GTB, qui vise à corriger une erreur et à harmoniser un terme avec le Règlement </w:t>
      </w:r>
      <w:r w:rsidR="0084481F" w:rsidRPr="00A104D9">
        <w:rPr>
          <w:rFonts w:eastAsia="MS Mincho"/>
          <w:szCs w:val="22"/>
          <w:lang w:val="fr-FR"/>
        </w:rPr>
        <w:t>n</w:t>
      </w:r>
      <w:r w:rsidR="0084481F" w:rsidRPr="00A104D9">
        <w:rPr>
          <w:rFonts w:eastAsia="MS Mincho"/>
          <w:szCs w:val="22"/>
          <w:vertAlign w:val="superscript"/>
          <w:lang w:val="fr-FR"/>
        </w:rPr>
        <w:t>o</w:t>
      </w:r>
      <w:r w:rsidR="0084481F">
        <w:rPr>
          <w:lang w:val="fr-FR"/>
        </w:rPr>
        <w:t> </w:t>
      </w:r>
      <w:r>
        <w:rPr>
          <w:lang w:val="fr-FR"/>
        </w:rPr>
        <w:t>128.</w:t>
      </w:r>
    </w:p>
    <w:p w:rsidR="0079124C" w:rsidRPr="00C17C2A" w:rsidRDefault="0079124C" w:rsidP="0079124C">
      <w:pPr>
        <w:pStyle w:val="SingleTxtG"/>
        <w:ind w:left="2835" w:hanging="1701"/>
        <w:jc w:val="left"/>
      </w:pPr>
      <w:r>
        <w:rPr>
          <w:b/>
          <w:bCs/>
          <w:lang w:val="fr-FR"/>
        </w:rPr>
        <w:t>Document</w:t>
      </w:r>
      <w:r w:rsidR="00266BE3">
        <w:rPr>
          <w:b/>
          <w:bCs/>
          <w:lang w:val="fr-FR"/>
        </w:rPr>
        <w:t>(s)</w:t>
      </w:r>
      <w:r>
        <w:rPr>
          <w:b/>
          <w:bCs/>
          <w:lang w:val="fr-FR"/>
        </w:rPr>
        <w:t> :</w:t>
      </w:r>
      <w:r>
        <w:rPr>
          <w:lang w:val="fr-FR"/>
        </w:rPr>
        <w:tab/>
        <w:t>ECE/TRANS/WP.29/GRE/2017/19</w:t>
      </w:r>
      <w:r w:rsidR="0084481F">
        <w:rPr>
          <w:lang w:val="fr-FR"/>
        </w:rPr>
        <w:t>.</w:t>
      </w:r>
    </w:p>
    <w:p w:rsidR="0079124C" w:rsidRPr="00C17C2A" w:rsidRDefault="0079124C" w:rsidP="0079124C">
      <w:pPr>
        <w:pStyle w:val="SingleTxtG"/>
        <w:ind w:firstLine="567"/>
      </w:pPr>
      <w:r>
        <w:rPr>
          <w:lang w:val="fr-FR"/>
        </w:rPr>
        <w:t>Le Groupe de travail sera invité à examiner les projets d’amendement à la Résolution d’ensemble sur une spécification commune des catégories de sources lumineuses (R.E.5) (ECE/TRANS/WP.29/2016/111) établis par l’expert du GTB en vue de corriger et de modifier certaines spécifications.</w:t>
      </w:r>
    </w:p>
    <w:p w:rsidR="0079124C" w:rsidRPr="00C17C2A" w:rsidRDefault="0079124C" w:rsidP="0079124C">
      <w:pPr>
        <w:pStyle w:val="SingleTxtG"/>
        <w:ind w:left="2835" w:hanging="1701"/>
        <w:jc w:val="left"/>
      </w:pPr>
      <w:r>
        <w:rPr>
          <w:b/>
          <w:bCs/>
          <w:lang w:val="fr-FR"/>
        </w:rPr>
        <w:t>Document</w:t>
      </w:r>
      <w:r w:rsidR="00266BE3">
        <w:rPr>
          <w:b/>
          <w:bCs/>
          <w:lang w:val="fr-FR"/>
        </w:rPr>
        <w:t>(s)</w:t>
      </w:r>
      <w:r>
        <w:rPr>
          <w:b/>
          <w:bCs/>
          <w:lang w:val="fr-FR"/>
        </w:rPr>
        <w:t> :</w:t>
      </w:r>
      <w:r>
        <w:rPr>
          <w:lang w:val="fr-FR"/>
        </w:rPr>
        <w:tab/>
        <w:t>ECE/TRANS/WP.29/GRE/2017/18</w:t>
      </w:r>
      <w:r w:rsidR="0084481F">
        <w:rPr>
          <w:lang w:val="fr-FR"/>
        </w:rPr>
        <w:t>.</w:t>
      </w:r>
    </w:p>
    <w:p w:rsidR="0079124C" w:rsidRPr="00C17C2A" w:rsidRDefault="0079124C" w:rsidP="0079124C">
      <w:pPr>
        <w:pStyle w:val="SingleTxtG"/>
        <w:ind w:firstLine="567"/>
      </w:pPr>
      <w:r>
        <w:rPr>
          <w:lang w:val="fr-FR"/>
        </w:rPr>
        <w:t xml:space="preserve">Le Groupe de travail sera aussi invité à examiner les propositions d’amendement au Règlement </w:t>
      </w:r>
      <w:r w:rsidR="0084481F" w:rsidRPr="00A104D9">
        <w:rPr>
          <w:rFonts w:eastAsia="MS Mincho"/>
          <w:szCs w:val="22"/>
          <w:lang w:val="fr-FR"/>
        </w:rPr>
        <w:t>n</w:t>
      </w:r>
      <w:r w:rsidR="0084481F" w:rsidRPr="00A104D9">
        <w:rPr>
          <w:rFonts w:eastAsia="MS Mincho"/>
          <w:szCs w:val="22"/>
          <w:vertAlign w:val="superscript"/>
          <w:lang w:val="fr-FR"/>
        </w:rPr>
        <w:t>o</w:t>
      </w:r>
      <w:r w:rsidR="0084481F">
        <w:rPr>
          <w:lang w:val="fr-FR"/>
        </w:rPr>
        <w:t> </w:t>
      </w:r>
      <w:r>
        <w:rPr>
          <w:lang w:val="fr-FR"/>
        </w:rPr>
        <w:t>128 et à la Résolution d’ensemble (R.E.5) présentées par l’expert du GTB, qui visent à introduire des prescriptions, des spécifications d’essai et de nouvelles catégories pour les sources lumineuses à diodes électroluminescentes de substitution. Ces propositions vont de pair avec une proposition d’amendements collectifs aux Règlements n</w:t>
      </w:r>
      <w:r>
        <w:rPr>
          <w:vertAlign w:val="superscript"/>
          <w:lang w:val="fr-FR"/>
        </w:rPr>
        <w:t>os</w:t>
      </w:r>
      <w:r w:rsidR="0084481F">
        <w:rPr>
          <w:lang w:val="fr-FR"/>
        </w:rPr>
        <w:t> </w:t>
      </w:r>
      <w:r>
        <w:rPr>
          <w:lang w:val="fr-FR"/>
        </w:rPr>
        <w:t>48, 53, 74 et 86 intégrant les prescriptions relatives aux sources lumineuses à diodes électroluminescentes de substitution.</w:t>
      </w:r>
    </w:p>
    <w:p w:rsidR="0079124C" w:rsidRPr="00C17C2A" w:rsidRDefault="0079124C" w:rsidP="00101015">
      <w:pPr>
        <w:pStyle w:val="SingleTxtG"/>
        <w:keepLines/>
        <w:ind w:left="2835" w:hanging="1701"/>
        <w:jc w:val="left"/>
      </w:pPr>
      <w:r>
        <w:rPr>
          <w:b/>
          <w:bCs/>
          <w:lang w:val="fr-FR"/>
        </w:rPr>
        <w:t>Document</w:t>
      </w:r>
      <w:r w:rsidR="00266BE3">
        <w:rPr>
          <w:b/>
          <w:bCs/>
          <w:lang w:val="fr-FR"/>
        </w:rPr>
        <w:t>(s)</w:t>
      </w:r>
      <w:r>
        <w:rPr>
          <w:b/>
          <w:bCs/>
          <w:lang w:val="fr-FR"/>
        </w:rPr>
        <w:t> :</w:t>
      </w:r>
      <w:r>
        <w:rPr>
          <w:lang w:val="fr-FR"/>
        </w:rPr>
        <w:tab/>
      </w:r>
      <w:r w:rsidRPr="00266BE3">
        <w:rPr>
          <w:spacing w:val="-2"/>
          <w:lang w:val="fr-FR"/>
        </w:rPr>
        <w:t>ECE/TRANS/WP.29/GRE/2017/17</w:t>
      </w:r>
      <w:r w:rsidR="00266BE3" w:rsidRPr="00266BE3">
        <w:rPr>
          <w:spacing w:val="-2"/>
          <w:lang w:val="fr-FR"/>
        </w:rPr>
        <w:t xml:space="preserve">, </w:t>
      </w:r>
      <w:r w:rsidR="00266BE3">
        <w:rPr>
          <w:spacing w:val="-2"/>
          <w:lang w:val="fr-FR"/>
        </w:rPr>
        <w:t>E</w:t>
      </w:r>
      <w:r w:rsidRPr="00266BE3">
        <w:rPr>
          <w:spacing w:val="-2"/>
          <w:lang w:val="fr-FR"/>
        </w:rPr>
        <w:t>CE/TRANS/WP.29/GRE/2017/21</w:t>
      </w:r>
      <w:r w:rsidR="005A65C6">
        <w:rPr>
          <w:spacing w:val="-2"/>
          <w:lang w:val="fr-FR"/>
        </w:rPr>
        <w:t>,</w:t>
      </w:r>
      <w:r>
        <w:rPr>
          <w:lang w:val="fr-FR"/>
        </w:rPr>
        <w:t xml:space="preserve"> ECE/TRANS/WP.29/GRE/2017/22</w:t>
      </w:r>
      <w:r w:rsidR="00266BE3">
        <w:rPr>
          <w:lang w:val="fr-FR"/>
        </w:rPr>
        <w:t xml:space="preserve"> </w:t>
      </w:r>
      <w:r w:rsidR="005A65C6">
        <w:rPr>
          <w:lang w:val="fr-FR"/>
        </w:rPr>
        <w:br/>
      </w:r>
      <w:r w:rsidR="00266BE3">
        <w:rPr>
          <w:lang w:val="fr-FR"/>
        </w:rPr>
        <w:t xml:space="preserve">et </w:t>
      </w:r>
      <w:r w:rsidR="0084481F">
        <w:rPr>
          <w:lang w:val="fr-FR"/>
        </w:rPr>
        <w:t>document informel GRE-78-02.</w:t>
      </w:r>
    </w:p>
    <w:p w:rsidR="0079124C" w:rsidRPr="00C17C2A" w:rsidRDefault="0079124C" w:rsidP="0079124C">
      <w:pPr>
        <w:pStyle w:val="SingleTxtG"/>
        <w:ind w:firstLine="567"/>
        <w:rPr>
          <w:szCs w:val="24"/>
        </w:rPr>
      </w:pPr>
      <w:r>
        <w:rPr>
          <w:lang w:val="fr-FR"/>
        </w:rPr>
        <w:t xml:space="preserve">Le Groupe de travail sera aussi invité à examiner les propositions d’amendement au Règlement </w:t>
      </w:r>
      <w:r w:rsidR="0084481F" w:rsidRPr="00A104D9">
        <w:rPr>
          <w:rFonts w:eastAsia="MS Mincho"/>
          <w:szCs w:val="22"/>
          <w:lang w:val="fr-FR"/>
        </w:rPr>
        <w:t>n</w:t>
      </w:r>
      <w:r w:rsidR="0084481F" w:rsidRPr="00A104D9">
        <w:rPr>
          <w:rFonts w:eastAsia="MS Mincho"/>
          <w:szCs w:val="22"/>
          <w:vertAlign w:val="superscript"/>
          <w:lang w:val="fr-FR"/>
        </w:rPr>
        <w:t>o</w:t>
      </w:r>
      <w:r w:rsidR="0084481F">
        <w:rPr>
          <w:lang w:val="fr-FR"/>
        </w:rPr>
        <w:t> </w:t>
      </w:r>
      <w:r>
        <w:rPr>
          <w:lang w:val="fr-FR"/>
        </w:rPr>
        <w:t>128 et à la Résolution d’ensemble (R.E.5) présentées par l’expert du GTB, qui visent à introduire des prescriptions, des spécifications d’essai et une nouvelle catégorie pour les sources lumineuses d’éclairage avant à diodes électr</w:t>
      </w:r>
      <w:r w:rsidR="0084481F">
        <w:rPr>
          <w:lang w:val="fr-FR"/>
        </w:rPr>
        <w:t>oluminescentes de substitution.</w:t>
      </w:r>
    </w:p>
    <w:p w:rsidR="0079124C" w:rsidRPr="00C17C2A" w:rsidRDefault="0079124C" w:rsidP="0079124C">
      <w:pPr>
        <w:pStyle w:val="SingleTxtG"/>
        <w:ind w:left="2835" w:hanging="1701"/>
        <w:jc w:val="left"/>
        <w:rPr>
          <w:szCs w:val="24"/>
        </w:rPr>
      </w:pPr>
      <w:r>
        <w:rPr>
          <w:b/>
          <w:bCs/>
          <w:lang w:val="fr-FR"/>
        </w:rPr>
        <w:t>Document</w:t>
      </w:r>
      <w:r w:rsidR="00D014A4">
        <w:rPr>
          <w:b/>
          <w:bCs/>
          <w:lang w:val="fr-FR"/>
        </w:rPr>
        <w:t>(</w:t>
      </w:r>
      <w:r>
        <w:rPr>
          <w:b/>
          <w:bCs/>
          <w:lang w:val="fr-FR"/>
        </w:rPr>
        <w:t>s</w:t>
      </w:r>
      <w:r w:rsidR="00D014A4">
        <w:rPr>
          <w:b/>
          <w:bCs/>
          <w:lang w:val="fr-FR"/>
        </w:rPr>
        <w:t>)</w:t>
      </w:r>
      <w:r>
        <w:rPr>
          <w:b/>
          <w:bCs/>
          <w:lang w:val="fr-FR"/>
        </w:rPr>
        <w:t> :</w:t>
      </w:r>
      <w:r>
        <w:rPr>
          <w:lang w:val="fr-FR"/>
        </w:rPr>
        <w:tab/>
        <w:t>ECE/TRANS/WP.29/GRE/2017/16</w:t>
      </w:r>
      <w:r w:rsidR="005A65C6">
        <w:rPr>
          <w:lang w:val="fr-FR"/>
        </w:rPr>
        <w:t xml:space="preserve"> et </w:t>
      </w:r>
      <w:r>
        <w:rPr>
          <w:lang w:val="fr-FR"/>
        </w:rPr>
        <w:t>ECE/TRANS/WP.29/GRE/2017/20</w:t>
      </w:r>
      <w:r w:rsidR="0084481F">
        <w:rPr>
          <w:lang w:val="fr-FR"/>
        </w:rPr>
        <w:t>.</w:t>
      </w:r>
    </w:p>
    <w:p w:rsidR="0079124C" w:rsidRPr="00C17C2A" w:rsidRDefault="0079124C" w:rsidP="0079124C">
      <w:pPr>
        <w:pStyle w:val="H1G"/>
        <w:rPr>
          <w:color w:val="000000"/>
        </w:rPr>
      </w:pPr>
      <w:r>
        <w:rPr>
          <w:lang w:val="fr-FR"/>
        </w:rPr>
        <w:tab/>
        <w:t>6.</w:t>
      </w:r>
      <w:r>
        <w:rPr>
          <w:lang w:val="fr-FR"/>
        </w:rPr>
        <w:tab/>
        <w:t>Règlement n</w:t>
      </w:r>
      <w:r>
        <w:rPr>
          <w:vertAlign w:val="superscript"/>
          <w:lang w:val="fr-FR"/>
        </w:rPr>
        <w:t>o</w:t>
      </w:r>
      <w:r>
        <w:rPr>
          <w:lang w:val="fr-FR"/>
        </w:rPr>
        <w:t xml:space="preserve"> 48 (Installation des dispositifs d’éclairage </w:t>
      </w:r>
      <w:r>
        <w:rPr>
          <w:lang w:val="fr-FR"/>
        </w:rPr>
        <w:br/>
        <w:t>et de signalisation lumineuse)</w:t>
      </w:r>
    </w:p>
    <w:p w:rsidR="0079124C" w:rsidRPr="00C17C2A" w:rsidRDefault="0079124C" w:rsidP="0079124C">
      <w:pPr>
        <w:pStyle w:val="H23G"/>
        <w:rPr>
          <w:color w:val="000000"/>
        </w:rPr>
      </w:pPr>
      <w:r>
        <w:rPr>
          <w:lang w:val="fr-FR"/>
        </w:rPr>
        <w:tab/>
        <w:t>a)</w:t>
      </w:r>
      <w:r>
        <w:rPr>
          <w:lang w:val="fr-FR"/>
        </w:rPr>
        <w:tab/>
        <w:t>Propositions d’amendements aux séries 05 et 06 d’</w:t>
      </w:r>
      <w:r w:rsidR="003503B4">
        <w:rPr>
          <w:lang w:val="fr-FR"/>
        </w:rPr>
        <w:t>amendements</w:t>
      </w:r>
    </w:p>
    <w:p w:rsidR="0079124C" w:rsidRPr="00C17C2A" w:rsidRDefault="0079124C" w:rsidP="0079124C">
      <w:pPr>
        <w:pStyle w:val="SingleTxtG"/>
        <w:ind w:firstLine="567"/>
        <w:rPr>
          <w:color w:val="000000"/>
        </w:rPr>
      </w:pPr>
      <w:r>
        <w:rPr>
          <w:lang w:val="fr-FR"/>
        </w:rPr>
        <w:t>Le Groupe de travail examinera des propositions, établies par les experts de l’Italie et de la Tchéquie avec l’appui de l’Équipe spéciale sur l’allumage des projecteurs, qui visent à corriger et préciser les prescriptions relatives aux feux de circulation diurne en conjonction ave</w:t>
      </w:r>
      <w:r w:rsidR="003503B4">
        <w:rPr>
          <w:lang w:val="fr-FR"/>
        </w:rPr>
        <w:t>c les feux de position arrière.</w:t>
      </w:r>
    </w:p>
    <w:p w:rsidR="0079124C" w:rsidRPr="00C17C2A" w:rsidRDefault="0079124C" w:rsidP="0079124C">
      <w:pPr>
        <w:pStyle w:val="SingleTxtG"/>
        <w:ind w:left="2835" w:hanging="1701"/>
        <w:jc w:val="left"/>
        <w:rPr>
          <w:color w:val="000000"/>
        </w:rPr>
      </w:pPr>
      <w:r>
        <w:rPr>
          <w:b/>
          <w:bCs/>
          <w:lang w:val="fr-FR"/>
        </w:rPr>
        <w:t>Document</w:t>
      </w:r>
      <w:r w:rsidR="005A65C6">
        <w:rPr>
          <w:b/>
          <w:bCs/>
          <w:lang w:val="fr-FR"/>
        </w:rPr>
        <w:t>(s)</w:t>
      </w:r>
      <w:r>
        <w:rPr>
          <w:b/>
          <w:bCs/>
          <w:lang w:val="fr-FR"/>
        </w:rPr>
        <w:t> :</w:t>
      </w:r>
      <w:r w:rsidR="003503B4">
        <w:rPr>
          <w:lang w:val="fr-FR"/>
        </w:rPr>
        <w:tab/>
        <w:t>ECE/TRANS/WP.29/GRE/2017/23.</w:t>
      </w:r>
    </w:p>
    <w:p w:rsidR="0079124C" w:rsidRPr="00C17C2A" w:rsidRDefault="0079124C" w:rsidP="0079124C">
      <w:pPr>
        <w:pStyle w:val="SingleTxtG"/>
        <w:ind w:firstLine="567"/>
        <w:rPr>
          <w:color w:val="000000"/>
        </w:rPr>
      </w:pPr>
      <w:r>
        <w:rPr>
          <w:lang w:val="fr-FR"/>
        </w:rPr>
        <w:t>Le Groupe de travail sera invité à examiner une proposition de l’expert du GTB, qui vise à harmoniser les prescriptions relatives à l’allumage des feux de position latéraux et des feux de position avant et arrière lorsqu’ils sont combinés ensemble.</w:t>
      </w:r>
    </w:p>
    <w:p w:rsidR="0079124C" w:rsidRPr="00C17C2A" w:rsidRDefault="0079124C" w:rsidP="0079124C">
      <w:pPr>
        <w:pStyle w:val="SingleTxtG"/>
        <w:ind w:left="2835" w:hanging="1701"/>
        <w:jc w:val="left"/>
        <w:rPr>
          <w:color w:val="000000"/>
        </w:rPr>
      </w:pPr>
      <w:r>
        <w:rPr>
          <w:b/>
          <w:bCs/>
          <w:lang w:val="fr-FR"/>
        </w:rPr>
        <w:t>Document</w:t>
      </w:r>
      <w:r w:rsidR="005A65C6">
        <w:rPr>
          <w:b/>
          <w:bCs/>
          <w:lang w:val="fr-FR"/>
        </w:rPr>
        <w:t>(s) </w:t>
      </w:r>
      <w:r>
        <w:rPr>
          <w:b/>
          <w:bCs/>
          <w:lang w:val="fr-FR"/>
        </w:rPr>
        <w:t>:</w:t>
      </w:r>
      <w:r w:rsidR="003503B4">
        <w:rPr>
          <w:lang w:val="fr-FR"/>
        </w:rPr>
        <w:tab/>
        <w:t>ECE/TRANS/WP.29/GRE/2016/24.</w:t>
      </w:r>
    </w:p>
    <w:p w:rsidR="0079124C" w:rsidRPr="00C17C2A" w:rsidRDefault="0079124C" w:rsidP="0079124C">
      <w:pPr>
        <w:pStyle w:val="SingleTxtG"/>
        <w:ind w:firstLine="567"/>
        <w:rPr>
          <w:color w:val="000000"/>
        </w:rPr>
      </w:pPr>
      <w:r>
        <w:rPr>
          <w:lang w:val="fr-FR"/>
        </w:rPr>
        <w:t>Le Groupe de travail souhaitera sans doute reprendre l’examen des propositions d’amendement sur les indicateurs extérieurs d’état, tels qu’ils sont décrits dans les Règlements n</w:t>
      </w:r>
      <w:r>
        <w:rPr>
          <w:vertAlign w:val="superscript"/>
          <w:lang w:val="fr-FR"/>
        </w:rPr>
        <w:t>os</w:t>
      </w:r>
      <w:r w:rsidR="005A65C6">
        <w:rPr>
          <w:lang w:val="fr-FR"/>
        </w:rPr>
        <w:t> </w:t>
      </w:r>
      <w:r w:rsidR="00CF14CD">
        <w:rPr>
          <w:lang w:val="fr-FR"/>
        </w:rPr>
        <w:t>97 et 116.</w:t>
      </w:r>
    </w:p>
    <w:p w:rsidR="0079124C" w:rsidRPr="00C17C2A" w:rsidRDefault="0079124C" w:rsidP="0079124C">
      <w:pPr>
        <w:pStyle w:val="SingleTxtG"/>
        <w:ind w:left="2835" w:hanging="1701"/>
        <w:jc w:val="left"/>
        <w:rPr>
          <w:color w:val="000000"/>
        </w:rPr>
      </w:pPr>
      <w:r>
        <w:rPr>
          <w:b/>
          <w:bCs/>
          <w:lang w:val="fr-FR"/>
        </w:rPr>
        <w:t>Document</w:t>
      </w:r>
      <w:r w:rsidR="005A65C6">
        <w:rPr>
          <w:b/>
          <w:bCs/>
          <w:lang w:val="fr-FR"/>
        </w:rPr>
        <w:t>(s)</w:t>
      </w:r>
      <w:r>
        <w:rPr>
          <w:b/>
          <w:bCs/>
          <w:lang w:val="fr-FR"/>
        </w:rPr>
        <w:t> :</w:t>
      </w:r>
      <w:r>
        <w:rPr>
          <w:lang w:val="fr-FR"/>
        </w:rPr>
        <w:tab/>
      </w:r>
      <w:r w:rsidR="003503B4">
        <w:rPr>
          <w:lang w:val="fr-FR"/>
        </w:rPr>
        <w:t>ECE/TRANS/WP.29/GRE/77, par. 18.</w:t>
      </w:r>
    </w:p>
    <w:p w:rsidR="0079124C" w:rsidRPr="00C17C2A" w:rsidRDefault="0079124C" w:rsidP="0079124C">
      <w:pPr>
        <w:pStyle w:val="H23G"/>
        <w:rPr>
          <w:color w:val="000000"/>
        </w:rPr>
      </w:pPr>
      <w:r>
        <w:rPr>
          <w:lang w:val="fr-FR"/>
        </w:rPr>
        <w:tab/>
        <w:t>b)</w:t>
      </w:r>
      <w:r>
        <w:rPr>
          <w:lang w:val="fr-FR"/>
        </w:rPr>
        <w:tab/>
        <w:t xml:space="preserve">Autres propositions d’amendements au Règlement </w:t>
      </w:r>
      <w:r w:rsidR="003503B4" w:rsidRPr="003503B4">
        <w:rPr>
          <w:rFonts w:eastAsia="MS Mincho"/>
          <w:szCs w:val="22"/>
          <w:lang w:val="fr-FR"/>
        </w:rPr>
        <w:t>n</w:t>
      </w:r>
      <w:r w:rsidR="003503B4" w:rsidRPr="003503B4">
        <w:rPr>
          <w:rFonts w:eastAsia="MS Mincho"/>
          <w:szCs w:val="22"/>
          <w:vertAlign w:val="superscript"/>
          <w:lang w:val="fr-FR"/>
        </w:rPr>
        <w:t>o</w:t>
      </w:r>
      <w:r w:rsidR="003503B4">
        <w:rPr>
          <w:lang w:val="fr-FR"/>
        </w:rPr>
        <w:t> </w:t>
      </w:r>
      <w:r>
        <w:rPr>
          <w:lang w:val="fr-FR"/>
        </w:rPr>
        <w:t>48</w:t>
      </w:r>
    </w:p>
    <w:p w:rsidR="0079124C" w:rsidRPr="00C17C2A" w:rsidRDefault="0079124C" w:rsidP="0079124C">
      <w:pPr>
        <w:pStyle w:val="SingleTxtG"/>
        <w:ind w:firstLine="567"/>
        <w:rPr>
          <w:color w:val="000000"/>
        </w:rPr>
      </w:pPr>
      <w:r>
        <w:rPr>
          <w:lang w:val="fr-FR"/>
        </w:rPr>
        <w:t>Le Groupe de travail sera informé des activités menées par le groupe de travail informel de la visibilité, de l’éblouissement et du réglage, et des projets de proposition élaborés par ce groupe, le cas échéant. Le Groupe de travail voudra peut-être également proroger le mandat du groupe de travail informel.</w:t>
      </w:r>
    </w:p>
    <w:p w:rsidR="0079124C" w:rsidRPr="00C17C2A" w:rsidRDefault="0079124C" w:rsidP="0079124C">
      <w:pPr>
        <w:pStyle w:val="SingleTxtG"/>
        <w:ind w:left="2835" w:hanging="1701"/>
        <w:jc w:val="left"/>
      </w:pPr>
      <w:r>
        <w:rPr>
          <w:b/>
          <w:bCs/>
          <w:lang w:val="fr-FR"/>
        </w:rPr>
        <w:t>Document</w:t>
      </w:r>
      <w:r w:rsidR="004A2FC4">
        <w:rPr>
          <w:b/>
          <w:bCs/>
          <w:lang w:val="fr-FR"/>
        </w:rPr>
        <w:t>(s)</w:t>
      </w:r>
      <w:r>
        <w:rPr>
          <w:b/>
          <w:bCs/>
          <w:lang w:val="fr-FR"/>
        </w:rPr>
        <w:t> :</w:t>
      </w:r>
      <w:r>
        <w:rPr>
          <w:lang w:val="fr-FR"/>
        </w:rPr>
        <w:t xml:space="preserve"> </w:t>
      </w:r>
      <w:r>
        <w:rPr>
          <w:lang w:val="fr-FR"/>
        </w:rPr>
        <w:tab/>
        <w:t>ECE/TRANS/WP.2</w:t>
      </w:r>
      <w:r w:rsidR="003503B4">
        <w:rPr>
          <w:lang w:val="fr-FR"/>
        </w:rPr>
        <w:t>9/GRE/76, par. 21 et annexe III.</w:t>
      </w:r>
    </w:p>
    <w:p w:rsidR="0079124C" w:rsidRPr="00C17C2A" w:rsidRDefault="0079124C" w:rsidP="0079124C">
      <w:pPr>
        <w:pStyle w:val="H1G"/>
        <w:rPr>
          <w:color w:val="000000"/>
        </w:rPr>
      </w:pPr>
      <w:r>
        <w:rPr>
          <w:lang w:val="fr-FR"/>
        </w:rPr>
        <w:tab/>
        <w:t>7.</w:t>
      </w:r>
      <w:r>
        <w:rPr>
          <w:lang w:val="fr-FR"/>
        </w:rPr>
        <w:tab/>
        <w:t>Autres Règlements</w:t>
      </w:r>
    </w:p>
    <w:p w:rsidR="0079124C" w:rsidRPr="00C17C2A" w:rsidRDefault="0079124C" w:rsidP="0079124C">
      <w:pPr>
        <w:pStyle w:val="H23G"/>
      </w:pPr>
      <w:r>
        <w:rPr>
          <w:lang w:val="fr-FR"/>
        </w:rPr>
        <w:tab/>
        <w:t>a)</w:t>
      </w:r>
      <w:r>
        <w:rPr>
          <w:lang w:val="fr-FR"/>
        </w:rPr>
        <w:tab/>
        <w:t xml:space="preserve">Règlement </w:t>
      </w:r>
      <w:r w:rsidR="0041457F" w:rsidRPr="0041457F">
        <w:rPr>
          <w:rFonts w:eastAsia="MS Mincho"/>
          <w:szCs w:val="22"/>
          <w:lang w:val="fr-FR"/>
        </w:rPr>
        <w:t>n</w:t>
      </w:r>
      <w:r w:rsidR="0041457F" w:rsidRPr="0041457F">
        <w:rPr>
          <w:rFonts w:eastAsia="MS Mincho"/>
          <w:szCs w:val="22"/>
          <w:vertAlign w:val="superscript"/>
          <w:lang w:val="fr-FR"/>
        </w:rPr>
        <w:t>o</w:t>
      </w:r>
      <w:r w:rsidR="0041457F">
        <w:rPr>
          <w:lang w:val="fr-FR"/>
        </w:rPr>
        <w:t> </w:t>
      </w:r>
      <w:r>
        <w:rPr>
          <w:lang w:val="fr-FR"/>
        </w:rPr>
        <w:t>10 (Compatibilité électromagnétique)</w:t>
      </w:r>
    </w:p>
    <w:p w:rsidR="0079124C" w:rsidRPr="00C17C2A" w:rsidRDefault="0079124C" w:rsidP="0079124C">
      <w:pPr>
        <w:pStyle w:val="H23G"/>
        <w:keepNext w:val="0"/>
        <w:keepLines w:val="0"/>
        <w:tabs>
          <w:tab w:val="clear" w:pos="851"/>
        </w:tabs>
        <w:spacing w:before="0" w:line="240" w:lineRule="atLeast"/>
        <w:ind w:firstLine="567"/>
        <w:jc w:val="both"/>
        <w:rPr>
          <w:b w:val="0"/>
        </w:rPr>
      </w:pPr>
      <w:r w:rsidRPr="005C075C">
        <w:rPr>
          <w:b w:val="0"/>
          <w:lang w:val="fr-FR"/>
        </w:rPr>
        <w:t>Le Groupe de travail sera informé des activités de l</w:t>
      </w:r>
      <w:r>
        <w:rPr>
          <w:b w:val="0"/>
          <w:lang w:val="fr-FR"/>
        </w:rPr>
        <w:t>’</w:t>
      </w:r>
      <w:r w:rsidRPr="005C075C">
        <w:rPr>
          <w:b w:val="0"/>
          <w:lang w:val="fr-FR"/>
        </w:rPr>
        <w:t>Équipe spéciale de la compatibilité électromagnétique et examinera les propositions d</w:t>
      </w:r>
      <w:r>
        <w:rPr>
          <w:b w:val="0"/>
          <w:lang w:val="fr-FR"/>
        </w:rPr>
        <w:t>’</w:t>
      </w:r>
      <w:r w:rsidRPr="005C075C">
        <w:rPr>
          <w:b w:val="0"/>
          <w:lang w:val="fr-FR"/>
        </w:rPr>
        <w:t>amendement qu</w:t>
      </w:r>
      <w:r>
        <w:rPr>
          <w:b w:val="0"/>
          <w:lang w:val="fr-FR"/>
        </w:rPr>
        <w:t>’</w:t>
      </w:r>
      <w:r w:rsidRPr="005C075C">
        <w:rPr>
          <w:b w:val="0"/>
          <w:lang w:val="fr-FR"/>
        </w:rPr>
        <w:t>elle aura élaborées.</w:t>
      </w:r>
    </w:p>
    <w:p w:rsidR="0079124C" w:rsidRPr="00C17C2A" w:rsidRDefault="0079124C" w:rsidP="0079124C">
      <w:pPr>
        <w:pStyle w:val="SingleTxtG"/>
        <w:ind w:left="2835" w:hanging="1701"/>
        <w:jc w:val="left"/>
      </w:pPr>
      <w:r>
        <w:rPr>
          <w:b/>
          <w:bCs/>
          <w:lang w:val="fr-FR"/>
        </w:rPr>
        <w:t>Document</w:t>
      </w:r>
      <w:r w:rsidR="00CE48FF">
        <w:rPr>
          <w:b/>
          <w:bCs/>
          <w:lang w:val="fr-FR"/>
        </w:rPr>
        <w:t>(s)</w:t>
      </w:r>
      <w:r>
        <w:rPr>
          <w:b/>
          <w:bCs/>
          <w:lang w:val="fr-FR"/>
        </w:rPr>
        <w:t> :</w:t>
      </w:r>
      <w:r w:rsidR="003503B4">
        <w:rPr>
          <w:lang w:val="fr-FR"/>
        </w:rPr>
        <w:t xml:space="preserve"> </w:t>
      </w:r>
      <w:r w:rsidR="003503B4">
        <w:rPr>
          <w:lang w:val="fr-FR"/>
        </w:rPr>
        <w:tab/>
        <w:t>ECE/TRANS/WP.29/GRE/2017/12.</w:t>
      </w:r>
    </w:p>
    <w:p w:rsidR="0079124C" w:rsidRPr="00C17C2A" w:rsidRDefault="0079124C" w:rsidP="0079124C">
      <w:pPr>
        <w:pStyle w:val="H23G"/>
      </w:pPr>
      <w:r>
        <w:rPr>
          <w:lang w:val="fr-FR"/>
        </w:rPr>
        <w:tab/>
        <w:t>b)</w:t>
      </w:r>
      <w:r>
        <w:rPr>
          <w:lang w:val="fr-FR"/>
        </w:rPr>
        <w:tab/>
        <w:t xml:space="preserve">Règlement </w:t>
      </w:r>
      <w:r w:rsidR="003503B4" w:rsidRPr="00A104D9">
        <w:rPr>
          <w:rFonts w:eastAsia="MS Mincho"/>
          <w:szCs w:val="22"/>
          <w:lang w:val="fr-FR"/>
        </w:rPr>
        <w:t>n</w:t>
      </w:r>
      <w:r w:rsidR="003503B4" w:rsidRPr="00A104D9">
        <w:rPr>
          <w:rFonts w:eastAsia="MS Mincho"/>
          <w:szCs w:val="22"/>
          <w:vertAlign w:val="superscript"/>
          <w:lang w:val="fr-FR"/>
        </w:rPr>
        <w:t>o</w:t>
      </w:r>
      <w:r w:rsidR="003503B4">
        <w:rPr>
          <w:lang w:val="fr-FR"/>
        </w:rPr>
        <w:t> </w:t>
      </w:r>
      <w:r>
        <w:rPr>
          <w:lang w:val="fr-FR"/>
        </w:rPr>
        <w:t>53 (Installation des dispositifs d’éclairage et de signalisation lumineuse sur les véhicules de la catégorie L</w:t>
      </w:r>
      <w:r>
        <w:rPr>
          <w:vertAlign w:val="subscript"/>
          <w:lang w:val="fr-FR"/>
        </w:rPr>
        <w:t>3</w:t>
      </w:r>
      <w:r>
        <w:rPr>
          <w:lang w:val="fr-FR"/>
        </w:rPr>
        <w:t>)</w:t>
      </w:r>
    </w:p>
    <w:p w:rsidR="0079124C" w:rsidRPr="00C17C2A" w:rsidRDefault="0079124C" w:rsidP="0079124C">
      <w:pPr>
        <w:spacing w:after="120"/>
        <w:ind w:left="1134" w:right="1134" w:firstLine="567"/>
        <w:jc w:val="both"/>
      </w:pPr>
      <w:r>
        <w:rPr>
          <w:lang w:val="fr-FR"/>
        </w:rPr>
        <w:t>Le Groupe de travail sera invité à ex</w:t>
      </w:r>
      <w:r w:rsidR="003503B4">
        <w:rPr>
          <w:lang w:val="fr-FR"/>
        </w:rPr>
        <w:t>aminer une proposition de série </w:t>
      </w:r>
      <w:r>
        <w:rPr>
          <w:lang w:val="fr-FR"/>
        </w:rPr>
        <w:t xml:space="preserve">03 d’amendements au Règlement </w:t>
      </w:r>
      <w:r w:rsidR="003503B4" w:rsidRPr="00A104D9">
        <w:rPr>
          <w:rFonts w:eastAsia="MS Mincho"/>
          <w:szCs w:val="22"/>
          <w:lang w:val="fr-FR"/>
        </w:rPr>
        <w:t>n</w:t>
      </w:r>
      <w:r w:rsidR="003503B4" w:rsidRPr="00A104D9">
        <w:rPr>
          <w:rFonts w:eastAsia="MS Mincho"/>
          <w:szCs w:val="22"/>
          <w:vertAlign w:val="superscript"/>
          <w:lang w:val="fr-FR"/>
        </w:rPr>
        <w:t>o</w:t>
      </w:r>
      <w:r w:rsidR="003503B4">
        <w:rPr>
          <w:lang w:val="fr-FR"/>
        </w:rPr>
        <w:t> </w:t>
      </w:r>
      <w:r>
        <w:rPr>
          <w:lang w:val="fr-FR"/>
        </w:rPr>
        <w:t>53, soumise par l’expert du Japon et concernant une nouvelle prescription relative à la commutation automatique entre le feu de circu</w:t>
      </w:r>
      <w:r w:rsidR="003503B4">
        <w:rPr>
          <w:lang w:val="fr-FR"/>
        </w:rPr>
        <w:t>lation diurne et le projecteur.</w:t>
      </w:r>
    </w:p>
    <w:p w:rsidR="0079124C" w:rsidRPr="00C17C2A" w:rsidRDefault="0079124C" w:rsidP="0079124C">
      <w:pPr>
        <w:spacing w:after="120"/>
        <w:ind w:left="2835" w:right="1134" w:hanging="1701"/>
      </w:pPr>
      <w:r>
        <w:rPr>
          <w:b/>
          <w:bCs/>
          <w:lang w:val="fr-FR"/>
        </w:rPr>
        <w:t>Document</w:t>
      </w:r>
      <w:r w:rsidR="00CE48FF">
        <w:rPr>
          <w:b/>
          <w:bCs/>
          <w:lang w:val="fr-FR"/>
        </w:rPr>
        <w:t>(s)</w:t>
      </w:r>
      <w:r>
        <w:rPr>
          <w:b/>
          <w:bCs/>
          <w:lang w:val="fr-FR"/>
        </w:rPr>
        <w:t> :</w:t>
      </w:r>
      <w:r>
        <w:rPr>
          <w:lang w:val="fr-FR"/>
        </w:rPr>
        <w:t xml:space="preserve"> </w:t>
      </w:r>
      <w:r>
        <w:rPr>
          <w:lang w:val="fr-FR"/>
        </w:rPr>
        <w:tab/>
        <w:t>ECE/TRA</w:t>
      </w:r>
      <w:r w:rsidR="003503B4">
        <w:rPr>
          <w:lang w:val="fr-FR"/>
        </w:rPr>
        <w:t>NS/WP.29/GRE/77, par. 24 et 25.</w:t>
      </w:r>
    </w:p>
    <w:p w:rsidR="0079124C" w:rsidRPr="00C17C2A" w:rsidRDefault="0079124C" w:rsidP="0079124C">
      <w:pPr>
        <w:spacing w:after="120"/>
        <w:ind w:left="1134" w:right="1134" w:firstLine="567"/>
        <w:jc w:val="both"/>
      </w:pPr>
      <w:r>
        <w:rPr>
          <w:lang w:val="fr-FR"/>
        </w:rPr>
        <w:t>Le Groupe de travail sera également invité à examiner la proposition concernant les feux de position avant soumise par l’expert de l’Inde, qui n’a pas été examinée à la session précédente, faute de temps.</w:t>
      </w:r>
    </w:p>
    <w:p w:rsidR="0079124C" w:rsidRPr="00C17C2A" w:rsidRDefault="0079124C" w:rsidP="0079124C">
      <w:pPr>
        <w:spacing w:after="120"/>
        <w:ind w:left="2835" w:right="1134" w:hanging="1701"/>
      </w:pPr>
      <w:r>
        <w:rPr>
          <w:b/>
          <w:bCs/>
          <w:lang w:val="fr-FR"/>
        </w:rPr>
        <w:t>Document</w:t>
      </w:r>
      <w:r w:rsidR="00D1127A">
        <w:rPr>
          <w:b/>
          <w:bCs/>
          <w:lang w:val="fr-FR"/>
        </w:rPr>
        <w:t>(s)</w:t>
      </w:r>
      <w:r>
        <w:rPr>
          <w:b/>
          <w:bCs/>
          <w:lang w:val="fr-FR"/>
        </w:rPr>
        <w:t> :</w:t>
      </w:r>
      <w:r>
        <w:rPr>
          <w:lang w:val="fr-FR"/>
        </w:rPr>
        <w:t xml:space="preserve"> </w:t>
      </w:r>
      <w:r>
        <w:rPr>
          <w:lang w:val="fr-FR"/>
        </w:rPr>
        <w:tab/>
        <w:t>ECE/TRANS/WP.29/GRE/77, par.</w:t>
      </w:r>
      <w:r w:rsidR="00F33A6D">
        <w:rPr>
          <w:lang w:val="fr-FR"/>
        </w:rPr>
        <w:t> </w:t>
      </w:r>
      <w:r>
        <w:rPr>
          <w:lang w:val="fr-FR"/>
        </w:rPr>
        <w:t>26</w:t>
      </w:r>
      <w:r w:rsidR="00CE48FF">
        <w:rPr>
          <w:lang w:val="fr-FR"/>
        </w:rPr>
        <w:t xml:space="preserve"> </w:t>
      </w:r>
      <w:r w:rsidR="00CE48FF">
        <w:rPr>
          <w:lang w:val="fr-FR"/>
        </w:rPr>
        <w:br/>
        <w:t xml:space="preserve">et </w:t>
      </w:r>
      <w:r>
        <w:rPr>
          <w:lang w:val="fr-FR"/>
        </w:rPr>
        <w:t>document informel GRE-77-08</w:t>
      </w:r>
      <w:r w:rsidR="00F33A6D">
        <w:rPr>
          <w:lang w:val="fr-FR"/>
        </w:rPr>
        <w:t>.</w:t>
      </w:r>
    </w:p>
    <w:p w:rsidR="0079124C" w:rsidRPr="00C17C2A" w:rsidRDefault="0079124C" w:rsidP="0079124C">
      <w:pPr>
        <w:spacing w:after="120"/>
        <w:ind w:left="1134" w:right="1134" w:firstLine="567"/>
        <w:jc w:val="both"/>
      </w:pPr>
      <w:r>
        <w:rPr>
          <w:lang w:val="fr-FR"/>
        </w:rPr>
        <w:t>Le Groupe de travail examinera une proposition soumise par l’expert de l’Association internationale des constructeurs de motocycles (IMMA) en vue d’autoriser l’utilisation de diverses méthodes pour l’activation des feux stop et d’harmoniser la disposition relative aux feux stop avec celle qui s’applique aux véhicules à quatre roues.</w:t>
      </w:r>
    </w:p>
    <w:p w:rsidR="0079124C" w:rsidRPr="00C17C2A" w:rsidRDefault="0079124C" w:rsidP="0079124C">
      <w:pPr>
        <w:spacing w:after="120"/>
        <w:ind w:left="2835" w:right="1134" w:hanging="1701"/>
      </w:pPr>
      <w:r>
        <w:rPr>
          <w:b/>
          <w:bCs/>
          <w:lang w:val="fr-FR"/>
        </w:rPr>
        <w:t>Document</w:t>
      </w:r>
      <w:r w:rsidR="00CE48FF">
        <w:rPr>
          <w:b/>
          <w:bCs/>
          <w:lang w:val="fr-FR"/>
        </w:rPr>
        <w:t>(s)</w:t>
      </w:r>
      <w:r>
        <w:rPr>
          <w:b/>
          <w:bCs/>
          <w:lang w:val="fr-FR"/>
        </w:rPr>
        <w:t> :</w:t>
      </w:r>
      <w:r>
        <w:rPr>
          <w:lang w:val="fr-FR"/>
        </w:rPr>
        <w:t xml:space="preserve"> </w:t>
      </w:r>
      <w:r>
        <w:rPr>
          <w:lang w:val="fr-FR"/>
        </w:rPr>
        <w:tab/>
        <w:t>ECE/TRANS/WP.29/GRE/2017/25</w:t>
      </w:r>
      <w:r w:rsidR="00F33A6D">
        <w:rPr>
          <w:lang w:val="fr-FR"/>
        </w:rPr>
        <w:t>.</w:t>
      </w:r>
    </w:p>
    <w:p w:rsidR="0079124C" w:rsidRPr="00C17C2A" w:rsidRDefault="0079124C" w:rsidP="0079124C">
      <w:pPr>
        <w:spacing w:after="120"/>
        <w:ind w:left="1134" w:right="1134" w:firstLine="567"/>
        <w:jc w:val="both"/>
      </w:pPr>
      <w:r>
        <w:rPr>
          <w:lang w:val="fr-FR"/>
        </w:rPr>
        <w:t xml:space="preserve">Le Groupe de travail sera invité à examiner une proposition de l’expert de l’IMMA qui vise à harmoniser le texte du Règlement </w:t>
      </w:r>
      <w:r w:rsidR="00F33A6D" w:rsidRPr="00A104D9">
        <w:rPr>
          <w:rFonts w:eastAsia="MS Mincho"/>
          <w:szCs w:val="22"/>
          <w:lang w:val="fr-FR"/>
        </w:rPr>
        <w:t>n</w:t>
      </w:r>
      <w:r w:rsidR="00F33A6D" w:rsidRPr="00A104D9">
        <w:rPr>
          <w:rFonts w:eastAsia="MS Mincho"/>
          <w:szCs w:val="22"/>
          <w:vertAlign w:val="superscript"/>
          <w:lang w:val="fr-FR"/>
        </w:rPr>
        <w:t>o</w:t>
      </w:r>
      <w:r w:rsidR="00F33A6D">
        <w:rPr>
          <w:lang w:val="fr-FR"/>
        </w:rPr>
        <w:t> </w:t>
      </w:r>
      <w:r>
        <w:rPr>
          <w:lang w:val="fr-FR"/>
        </w:rPr>
        <w:t xml:space="preserve">53 avec celui du Règlement </w:t>
      </w:r>
      <w:r w:rsidR="00F33A6D" w:rsidRPr="00A104D9">
        <w:rPr>
          <w:rFonts w:eastAsia="MS Mincho"/>
          <w:szCs w:val="22"/>
          <w:lang w:val="fr-FR"/>
        </w:rPr>
        <w:t>n</w:t>
      </w:r>
      <w:r w:rsidR="00F33A6D" w:rsidRPr="00A104D9">
        <w:rPr>
          <w:rFonts w:eastAsia="MS Mincho"/>
          <w:szCs w:val="22"/>
          <w:vertAlign w:val="superscript"/>
          <w:lang w:val="fr-FR"/>
        </w:rPr>
        <w:t>o</w:t>
      </w:r>
      <w:r w:rsidR="00F33A6D">
        <w:rPr>
          <w:lang w:val="fr-FR"/>
        </w:rPr>
        <w:t> </w:t>
      </w:r>
      <w:r>
        <w:rPr>
          <w:lang w:val="fr-FR"/>
        </w:rPr>
        <w:t>48 et à corriger une erreur dans le processus d’</w:t>
      </w:r>
      <w:r w:rsidR="00F33A6D">
        <w:rPr>
          <w:lang w:val="fr-FR"/>
        </w:rPr>
        <w:t>amendement passé.</w:t>
      </w:r>
    </w:p>
    <w:p w:rsidR="0079124C" w:rsidRPr="00C17C2A" w:rsidRDefault="0079124C" w:rsidP="0079124C">
      <w:pPr>
        <w:spacing w:after="120"/>
        <w:ind w:left="2835" w:right="1134" w:hanging="1701"/>
      </w:pPr>
      <w:r>
        <w:rPr>
          <w:b/>
          <w:bCs/>
          <w:lang w:val="fr-FR"/>
        </w:rPr>
        <w:t>Document</w:t>
      </w:r>
      <w:r w:rsidR="00CE48FF">
        <w:rPr>
          <w:b/>
          <w:bCs/>
          <w:lang w:val="fr-FR"/>
        </w:rPr>
        <w:t>(s)</w:t>
      </w:r>
      <w:r>
        <w:rPr>
          <w:b/>
          <w:bCs/>
          <w:lang w:val="fr-FR"/>
        </w:rPr>
        <w:t> :</w:t>
      </w:r>
      <w:r>
        <w:rPr>
          <w:lang w:val="fr-FR"/>
        </w:rPr>
        <w:t xml:space="preserve"> </w:t>
      </w:r>
      <w:r>
        <w:rPr>
          <w:lang w:val="fr-FR"/>
        </w:rPr>
        <w:tab/>
        <w:t>ECE/TRANS/WP.29/GRE/2017/26</w:t>
      </w:r>
      <w:r w:rsidR="00F33A6D">
        <w:rPr>
          <w:lang w:val="fr-FR"/>
        </w:rPr>
        <w:t>.</w:t>
      </w:r>
    </w:p>
    <w:p w:rsidR="0079124C" w:rsidRPr="00C17C2A" w:rsidRDefault="0079124C" w:rsidP="0079124C">
      <w:pPr>
        <w:spacing w:after="120"/>
        <w:ind w:left="1134" w:right="1134" w:firstLine="567"/>
        <w:jc w:val="both"/>
      </w:pPr>
      <w:r>
        <w:rPr>
          <w:lang w:val="fr-FR"/>
        </w:rPr>
        <w:t>Le Groupe de travail souhaitera sans doute examiner une proposition de l’expert de l’IMMA visant à préciser que les feux indicateurs de direction peuvent être activés pour indiquer l’état du véhicule lorsque le moteur est arrêté.</w:t>
      </w:r>
    </w:p>
    <w:p w:rsidR="0079124C" w:rsidRPr="00C17C2A" w:rsidRDefault="0079124C" w:rsidP="0079124C">
      <w:pPr>
        <w:spacing w:after="120"/>
        <w:ind w:left="2835" w:right="1134" w:hanging="1701"/>
      </w:pPr>
      <w:r>
        <w:rPr>
          <w:b/>
          <w:bCs/>
          <w:lang w:val="fr-FR"/>
        </w:rPr>
        <w:t>Document</w:t>
      </w:r>
      <w:r w:rsidR="00CE48FF">
        <w:rPr>
          <w:b/>
          <w:bCs/>
          <w:lang w:val="fr-FR"/>
        </w:rPr>
        <w:t>(s)</w:t>
      </w:r>
      <w:r>
        <w:rPr>
          <w:b/>
          <w:bCs/>
          <w:lang w:val="fr-FR"/>
        </w:rPr>
        <w:t> :</w:t>
      </w:r>
      <w:r>
        <w:rPr>
          <w:lang w:val="fr-FR"/>
        </w:rPr>
        <w:t xml:space="preserve"> </w:t>
      </w:r>
      <w:r>
        <w:rPr>
          <w:lang w:val="fr-FR"/>
        </w:rPr>
        <w:tab/>
        <w:t>ECE/TRANS/WP.29/GRE/2017/27</w:t>
      </w:r>
      <w:r w:rsidR="00F33A6D">
        <w:rPr>
          <w:lang w:val="fr-FR"/>
        </w:rPr>
        <w:t>.</w:t>
      </w:r>
    </w:p>
    <w:p w:rsidR="0079124C" w:rsidRPr="00C17C2A" w:rsidRDefault="0079124C" w:rsidP="0079124C">
      <w:pPr>
        <w:pStyle w:val="H1G"/>
      </w:pPr>
      <w:r>
        <w:rPr>
          <w:lang w:val="fr-FR"/>
        </w:rPr>
        <w:tab/>
        <w:t>8.</w:t>
      </w:r>
      <w:r>
        <w:rPr>
          <w:lang w:val="fr-FR"/>
        </w:rPr>
        <w:tab/>
        <w:t>Questions diverses</w:t>
      </w:r>
    </w:p>
    <w:p w:rsidR="0079124C" w:rsidRPr="00C17C2A" w:rsidRDefault="0079124C" w:rsidP="0079124C">
      <w:pPr>
        <w:pStyle w:val="H23G"/>
        <w:rPr>
          <w:color w:val="000000"/>
        </w:rPr>
      </w:pPr>
      <w:r>
        <w:rPr>
          <w:lang w:val="fr-FR"/>
        </w:rPr>
        <w:tab/>
        <w:t>a)</w:t>
      </w:r>
      <w:r>
        <w:rPr>
          <w:lang w:val="fr-FR"/>
        </w:rPr>
        <w:tab/>
        <w:t>Amendements à la Convention sur la circulation routière (Vienne, 1968)</w:t>
      </w:r>
    </w:p>
    <w:p w:rsidR="0079124C" w:rsidRPr="00C17C2A" w:rsidRDefault="0079124C" w:rsidP="0079124C">
      <w:pPr>
        <w:pStyle w:val="SingleTxtG"/>
        <w:ind w:firstLine="567"/>
        <w:rPr>
          <w:color w:val="000000"/>
        </w:rPr>
      </w:pPr>
      <w:r>
        <w:rPr>
          <w:lang w:val="fr-FR"/>
        </w:rPr>
        <w:t>Le Groupe de travail sera informé des travaux du Forum mondial de la sécurité routière à sa session de septembre 201</w:t>
      </w:r>
      <w:r w:rsidR="00262B1E">
        <w:rPr>
          <w:lang w:val="fr-FR"/>
        </w:rPr>
        <w:t>7</w:t>
      </w:r>
      <w:r>
        <w:rPr>
          <w:lang w:val="fr-FR"/>
        </w:rPr>
        <w:t>.</w:t>
      </w:r>
    </w:p>
    <w:p w:rsidR="0079124C" w:rsidRPr="00C17C2A" w:rsidRDefault="0079124C" w:rsidP="0079124C">
      <w:pPr>
        <w:pStyle w:val="H23G"/>
        <w:rPr>
          <w:color w:val="000000"/>
        </w:rPr>
      </w:pPr>
      <w:r>
        <w:rPr>
          <w:lang w:val="fr-FR"/>
        </w:rPr>
        <w:tab/>
        <w:t>b)</w:t>
      </w:r>
      <w:r>
        <w:rPr>
          <w:lang w:val="fr-FR"/>
        </w:rPr>
        <w:tab/>
        <w:t>Décennie d’action pour la sécurité routière 2011-2020</w:t>
      </w:r>
    </w:p>
    <w:p w:rsidR="0079124C" w:rsidRPr="00C17C2A" w:rsidRDefault="0079124C" w:rsidP="0079124C">
      <w:pPr>
        <w:pStyle w:val="SingleTxtG"/>
        <w:ind w:firstLine="567"/>
        <w:rPr>
          <w:rFonts w:eastAsia="MS Mincho"/>
        </w:rPr>
      </w:pPr>
      <w:r>
        <w:rPr>
          <w:lang w:val="fr-FR"/>
        </w:rPr>
        <w:t>Le Groupe de travail sera invité à présenter et à examiner les faits nouveaux survenus au</w:t>
      </w:r>
      <w:r w:rsidR="00D014A4">
        <w:rPr>
          <w:lang w:val="fr-FR"/>
        </w:rPr>
        <w:t>x</w:t>
      </w:r>
      <w:r>
        <w:rPr>
          <w:lang w:val="fr-FR"/>
        </w:rPr>
        <w:t xml:space="preserve"> niveau</w:t>
      </w:r>
      <w:r w:rsidR="00D014A4">
        <w:rPr>
          <w:lang w:val="fr-FR"/>
        </w:rPr>
        <w:t>x</w:t>
      </w:r>
      <w:r>
        <w:rPr>
          <w:lang w:val="fr-FR"/>
        </w:rPr>
        <w:t xml:space="preserve"> national et international dans le domaine de la sécurité routière ainsi qu’en matière d’éclairage et de signalisation lumineuse.</w:t>
      </w:r>
    </w:p>
    <w:p w:rsidR="0079124C" w:rsidRPr="00C17C2A" w:rsidRDefault="0079124C" w:rsidP="0079124C">
      <w:pPr>
        <w:pStyle w:val="H23G"/>
        <w:rPr>
          <w:color w:val="000000"/>
        </w:rPr>
      </w:pPr>
      <w:r>
        <w:rPr>
          <w:lang w:val="fr-FR"/>
        </w:rPr>
        <w:tab/>
        <w:t>c)</w:t>
      </w:r>
      <w:r>
        <w:rPr>
          <w:lang w:val="fr-FR"/>
        </w:rPr>
        <w:tab/>
        <w:t>Mise au point d’une homologation de type internationale de l’ensemble du véhicule</w:t>
      </w:r>
    </w:p>
    <w:p w:rsidR="0079124C" w:rsidRPr="00C17C2A" w:rsidRDefault="0079124C" w:rsidP="0079124C">
      <w:pPr>
        <w:pStyle w:val="SingleTxtG"/>
        <w:ind w:firstLine="567"/>
        <w:rPr>
          <w:rFonts w:eastAsia="MS Mincho"/>
        </w:rPr>
      </w:pPr>
      <w:r>
        <w:rPr>
          <w:lang w:val="fr-FR"/>
        </w:rPr>
        <w:t xml:space="preserve">Le représentant du Groupe de travail auprès du groupe de travail concerné présentera probablement un rapport oral sur les activités relatives à l’homologation de type internationale de l’ensemble du véhicule (IWVTA) et les mesures de suivi éventuellement </w:t>
      </w:r>
      <w:r w:rsidR="00F33A6D">
        <w:rPr>
          <w:lang w:val="fr-FR"/>
        </w:rPr>
        <w:t>nécessaires.</w:t>
      </w:r>
    </w:p>
    <w:p w:rsidR="0079124C" w:rsidRPr="00C17C2A" w:rsidRDefault="0079124C" w:rsidP="0079124C">
      <w:pPr>
        <w:pStyle w:val="SingleTxtG"/>
        <w:ind w:firstLine="567"/>
        <w:rPr>
          <w:rFonts w:eastAsia="MS Mincho"/>
        </w:rPr>
      </w:pPr>
      <w:r>
        <w:rPr>
          <w:lang w:val="fr-FR"/>
        </w:rPr>
        <w:t>Le Groupe de travail sera également informé de la mise en place d’une base de données électronique pour l’échange d’informations concernant les homologations de type (DETA).</w:t>
      </w:r>
    </w:p>
    <w:p w:rsidR="0079124C" w:rsidRPr="00C17C2A" w:rsidRDefault="0079124C" w:rsidP="0079124C">
      <w:pPr>
        <w:pStyle w:val="H23G"/>
        <w:rPr>
          <w:color w:val="000000"/>
        </w:rPr>
      </w:pPr>
      <w:r>
        <w:rPr>
          <w:lang w:val="fr-FR"/>
        </w:rPr>
        <w:tab/>
        <w:t>d)</w:t>
      </w:r>
      <w:r>
        <w:rPr>
          <w:lang w:val="fr-FR"/>
        </w:rPr>
        <w:tab/>
        <w:t>Phénomènes de lumière parasite et de dégradation des couleurs</w:t>
      </w:r>
    </w:p>
    <w:p w:rsidR="0079124C" w:rsidRPr="00C17C2A" w:rsidRDefault="0079124C" w:rsidP="0079124C">
      <w:pPr>
        <w:pStyle w:val="SingleTxtG"/>
        <w:ind w:firstLine="567"/>
      </w:pPr>
      <w:r>
        <w:rPr>
          <w:lang w:val="fr-FR"/>
        </w:rPr>
        <w:t>Le Groupe de travail sera informé de l’état d’avancement de l’étude menée en Allemagne.</w:t>
      </w:r>
    </w:p>
    <w:p w:rsidR="0079124C" w:rsidRPr="00C17C2A" w:rsidRDefault="0079124C" w:rsidP="0079124C">
      <w:pPr>
        <w:pStyle w:val="SingleTxtG"/>
        <w:ind w:left="2835" w:hanging="1701"/>
        <w:jc w:val="left"/>
      </w:pPr>
      <w:r>
        <w:rPr>
          <w:b/>
          <w:bCs/>
          <w:lang w:val="fr-FR"/>
        </w:rPr>
        <w:t>Document</w:t>
      </w:r>
      <w:r w:rsidR="00CE48FF">
        <w:rPr>
          <w:b/>
          <w:bCs/>
          <w:lang w:val="fr-FR"/>
        </w:rPr>
        <w:t>(s)</w:t>
      </w:r>
      <w:r>
        <w:rPr>
          <w:b/>
          <w:bCs/>
          <w:lang w:val="fr-FR"/>
        </w:rPr>
        <w:t> :</w:t>
      </w:r>
      <w:r>
        <w:rPr>
          <w:lang w:val="fr-FR"/>
        </w:rPr>
        <w:t xml:space="preserve"> </w:t>
      </w:r>
      <w:r>
        <w:rPr>
          <w:lang w:val="fr-FR"/>
        </w:rPr>
        <w:tab/>
      </w:r>
      <w:r w:rsidR="00F33A6D">
        <w:rPr>
          <w:lang w:val="fr-FR"/>
        </w:rPr>
        <w:t>D</w:t>
      </w:r>
      <w:r>
        <w:rPr>
          <w:lang w:val="fr-FR"/>
        </w:rPr>
        <w:t>ocument informel GRE-75-16</w:t>
      </w:r>
      <w:r w:rsidR="00F33A6D">
        <w:rPr>
          <w:lang w:val="fr-FR"/>
        </w:rPr>
        <w:t>.</w:t>
      </w:r>
    </w:p>
    <w:p w:rsidR="0079124C" w:rsidRPr="00C17C2A" w:rsidRDefault="0079124C" w:rsidP="0079124C">
      <w:pPr>
        <w:pStyle w:val="H1G"/>
      </w:pPr>
      <w:r>
        <w:rPr>
          <w:lang w:val="fr-FR"/>
        </w:rPr>
        <w:tab/>
        <w:t>9.</w:t>
      </w:r>
      <w:r>
        <w:rPr>
          <w:lang w:val="fr-FR"/>
        </w:rPr>
        <w:tab/>
        <w:t>Nouvelles questions et soumissions tardives</w:t>
      </w:r>
    </w:p>
    <w:p w:rsidR="0079124C" w:rsidRPr="00C17C2A" w:rsidRDefault="0079124C" w:rsidP="0079124C">
      <w:pPr>
        <w:pStyle w:val="SingleTxtG"/>
        <w:ind w:firstLine="567"/>
      </w:pPr>
      <w:r>
        <w:rPr>
          <w:lang w:val="fr-FR"/>
        </w:rPr>
        <w:t>À la demande formulée par le Forum mondial de l’harmonisation des Règlements concernant les véhicules à sa session de juin 2017, le Groupe de travail sera invité à examiner le projet de directives générales concernant l’élaboration des Règlements de l’ONU et des dispositions transitoires qui y sont énoncées. Ce document devrait être adopté par le Forum mondial à sa session de novembre 2017, à la suite de l’entrée en vigueur en septembre 2017 de la troisième révision de l’Accord de 1958.</w:t>
      </w:r>
    </w:p>
    <w:p w:rsidR="0079124C" w:rsidRPr="00262B1E" w:rsidRDefault="0079124C" w:rsidP="0079124C">
      <w:pPr>
        <w:pStyle w:val="SingleTxtG"/>
        <w:ind w:left="2835" w:hanging="1701"/>
        <w:jc w:val="left"/>
      </w:pPr>
      <w:r w:rsidRPr="00262B1E">
        <w:rPr>
          <w:b/>
          <w:bCs/>
        </w:rPr>
        <w:t>Document</w:t>
      </w:r>
      <w:r w:rsidR="00CE48FF" w:rsidRPr="00262B1E">
        <w:rPr>
          <w:b/>
          <w:bCs/>
        </w:rPr>
        <w:t>(s)</w:t>
      </w:r>
      <w:r w:rsidRPr="00262B1E">
        <w:rPr>
          <w:b/>
          <w:bCs/>
        </w:rPr>
        <w:t> :</w:t>
      </w:r>
      <w:r w:rsidRPr="00262B1E">
        <w:tab/>
        <w:t>ECE/TRANS/WP.29/2017/67</w:t>
      </w:r>
      <w:r w:rsidR="00CE48FF" w:rsidRPr="00262B1E">
        <w:t xml:space="preserve"> et </w:t>
      </w:r>
      <w:r w:rsidRPr="00262B1E">
        <w:t>ECE/TRANS/WP.29/2017/107</w:t>
      </w:r>
      <w:r w:rsidR="00F33A6D" w:rsidRPr="00262B1E">
        <w:t>.</w:t>
      </w:r>
    </w:p>
    <w:p w:rsidR="0079124C" w:rsidRPr="00C17C2A" w:rsidRDefault="0079124C" w:rsidP="0079124C">
      <w:pPr>
        <w:pStyle w:val="SingleTxtG"/>
        <w:ind w:firstLine="567"/>
      </w:pPr>
      <w:r>
        <w:rPr>
          <w:lang w:val="fr-FR"/>
        </w:rPr>
        <w:t>Le Groupe de travail se penchera également sur des questions nouvelles ou des documents qui auraient été soumis après la publication du présent ordre du jour provisoire annoté.</w:t>
      </w:r>
    </w:p>
    <w:p w:rsidR="0079124C" w:rsidRPr="00C17C2A" w:rsidRDefault="0079124C" w:rsidP="0079124C">
      <w:pPr>
        <w:pStyle w:val="H1G"/>
      </w:pPr>
      <w:r>
        <w:rPr>
          <w:lang w:val="fr-FR"/>
        </w:rPr>
        <w:tab/>
        <w:t>10.</w:t>
      </w:r>
      <w:r>
        <w:rPr>
          <w:lang w:val="fr-FR"/>
        </w:rPr>
        <w:tab/>
        <w:t>Orientation des travaux futurs du Groupe de travail</w:t>
      </w:r>
    </w:p>
    <w:p w:rsidR="0079124C" w:rsidRPr="00C17C2A" w:rsidRDefault="0079124C" w:rsidP="0079124C">
      <w:pPr>
        <w:pStyle w:val="H23G"/>
        <w:keepNext w:val="0"/>
        <w:keepLines w:val="0"/>
        <w:spacing w:before="0" w:line="240" w:lineRule="atLeast"/>
        <w:ind w:firstLine="567"/>
        <w:jc w:val="both"/>
        <w:rPr>
          <w:b w:val="0"/>
          <w:color w:val="000000"/>
        </w:rPr>
      </w:pPr>
      <w:r w:rsidRPr="00201904">
        <w:rPr>
          <w:b w:val="0"/>
          <w:lang w:val="fr-FR"/>
        </w:rPr>
        <w:t>Le Groupe de travail souhaitera sans doute être informé des activités des équipes spéciales du GTB et donner des conseils à celles-ci si elles le souhaitent.</w:t>
      </w:r>
    </w:p>
    <w:p w:rsidR="0079124C" w:rsidRPr="00C17C2A" w:rsidRDefault="0079124C" w:rsidP="0079124C">
      <w:pPr>
        <w:pStyle w:val="H1G"/>
      </w:pPr>
      <w:r>
        <w:rPr>
          <w:lang w:val="fr-FR"/>
        </w:rPr>
        <w:tab/>
        <w:t>11.</w:t>
      </w:r>
      <w:r>
        <w:rPr>
          <w:lang w:val="fr-FR"/>
        </w:rPr>
        <w:tab/>
        <w:t>Ordre du jour provisoire de la session suivante</w:t>
      </w:r>
    </w:p>
    <w:p w:rsidR="0079124C" w:rsidRPr="00C17C2A" w:rsidRDefault="0079124C" w:rsidP="0079124C">
      <w:pPr>
        <w:spacing w:after="120"/>
        <w:ind w:left="1134" w:right="1134" w:firstLine="567"/>
        <w:jc w:val="both"/>
      </w:pPr>
      <w:r>
        <w:rPr>
          <w:lang w:val="fr-FR"/>
        </w:rPr>
        <w:t>Le Groupe de travail souhaitera peut-être donner des indications sur l’ordre du jour provisoire de la session suivante.</w:t>
      </w:r>
    </w:p>
    <w:p w:rsidR="0079124C" w:rsidRPr="00C17C2A" w:rsidRDefault="0079124C" w:rsidP="0079124C">
      <w:pPr>
        <w:pStyle w:val="H1G"/>
      </w:pPr>
      <w:r>
        <w:rPr>
          <w:lang w:val="fr-FR"/>
        </w:rPr>
        <w:tab/>
        <w:t>12.</w:t>
      </w:r>
      <w:r>
        <w:rPr>
          <w:lang w:val="fr-FR"/>
        </w:rPr>
        <w:tab/>
        <w:t xml:space="preserve">Élection du </w:t>
      </w:r>
      <w:r w:rsidR="00EE04C0">
        <w:rPr>
          <w:lang w:val="fr-FR"/>
        </w:rPr>
        <w:t>B</w:t>
      </w:r>
      <w:r>
        <w:rPr>
          <w:lang w:val="fr-FR"/>
        </w:rPr>
        <w:t>ureau</w:t>
      </w:r>
    </w:p>
    <w:p w:rsidR="0079124C" w:rsidRDefault="0079124C" w:rsidP="00EE04C0">
      <w:pPr>
        <w:pStyle w:val="SingleTxtG"/>
        <w:ind w:firstLine="567"/>
        <w:rPr>
          <w:lang w:val="fr-FR"/>
        </w:rPr>
      </w:pPr>
      <w:r>
        <w:rPr>
          <w:lang w:val="fr-FR"/>
        </w:rPr>
        <w:t>Conformément à l’article</w:t>
      </w:r>
      <w:r w:rsidR="00F33A6D">
        <w:rPr>
          <w:lang w:val="fr-FR"/>
        </w:rPr>
        <w:t> </w:t>
      </w:r>
      <w:r>
        <w:rPr>
          <w:lang w:val="fr-FR"/>
        </w:rPr>
        <w:t>37 du Règlement intérieur (TRANS/WP.29/690 et Amend.1 et 2), le Groupe de travail élira son président et son vice-président pour les sessions prévues en</w:t>
      </w:r>
      <w:r w:rsidR="00182C2A">
        <w:rPr>
          <w:lang w:val="fr-FR"/>
        </w:rPr>
        <w:t> </w:t>
      </w:r>
      <w:r>
        <w:rPr>
          <w:lang w:val="fr-FR"/>
        </w:rPr>
        <w:t>2018.</w:t>
      </w:r>
    </w:p>
    <w:p w:rsidR="0079124C" w:rsidRPr="0079124C" w:rsidRDefault="0079124C" w:rsidP="0079124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9124C" w:rsidRPr="0079124C" w:rsidSect="005A65F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33" w:rsidRDefault="00C22733" w:rsidP="00F95C08">
      <w:pPr>
        <w:spacing w:line="240" w:lineRule="auto"/>
      </w:pPr>
    </w:p>
  </w:endnote>
  <w:endnote w:type="continuationSeparator" w:id="0">
    <w:p w:rsidR="00C22733" w:rsidRPr="00AC3823" w:rsidRDefault="00C22733" w:rsidP="00AC3823">
      <w:pPr>
        <w:pStyle w:val="Footer"/>
      </w:pPr>
    </w:p>
  </w:endnote>
  <w:endnote w:type="continuationNotice" w:id="1">
    <w:p w:rsidR="00C22733" w:rsidRDefault="00C227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F" w:rsidRPr="005A65FF" w:rsidRDefault="005A65FF" w:rsidP="005A65FF">
    <w:pPr>
      <w:pStyle w:val="Footer"/>
      <w:tabs>
        <w:tab w:val="right" w:pos="9638"/>
      </w:tabs>
    </w:pPr>
    <w:r w:rsidRPr="005A65FF">
      <w:rPr>
        <w:b/>
        <w:sz w:val="18"/>
      </w:rPr>
      <w:fldChar w:fldCharType="begin"/>
    </w:r>
    <w:r w:rsidRPr="005A65FF">
      <w:rPr>
        <w:b/>
        <w:sz w:val="18"/>
      </w:rPr>
      <w:instrText xml:space="preserve"> PAGE  \* MERGEFORMAT </w:instrText>
    </w:r>
    <w:r w:rsidRPr="005A65FF">
      <w:rPr>
        <w:b/>
        <w:sz w:val="18"/>
      </w:rPr>
      <w:fldChar w:fldCharType="separate"/>
    </w:r>
    <w:r w:rsidR="00837EED">
      <w:rPr>
        <w:b/>
        <w:noProof/>
        <w:sz w:val="18"/>
      </w:rPr>
      <w:t>6</w:t>
    </w:r>
    <w:r w:rsidRPr="005A65FF">
      <w:rPr>
        <w:b/>
        <w:sz w:val="18"/>
      </w:rPr>
      <w:fldChar w:fldCharType="end"/>
    </w:r>
    <w:r>
      <w:rPr>
        <w:b/>
        <w:sz w:val="18"/>
      </w:rPr>
      <w:tab/>
    </w:r>
    <w:r>
      <w:t>GE.17-13295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F" w:rsidRPr="005A65FF" w:rsidRDefault="005A65FF" w:rsidP="005A65FF">
    <w:pPr>
      <w:pStyle w:val="Footer"/>
      <w:tabs>
        <w:tab w:val="right" w:pos="9638"/>
      </w:tabs>
      <w:rPr>
        <w:b/>
        <w:sz w:val="18"/>
      </w:rPr>
    </w:pPr>
    <w:r>
      <w:t>GE.17-13295</w:t>
    </w:r>
    <w:r>
      <w:tab/>
    </w:r>
    <w:r w:rsidRPr="005A65FF">
      <w:rPr>
        <w:b/>
        <w:sz w:val="18"/>
      </w:rPr>
      <w:fldChar w:fldCharType="begin"/>
    </w:r>
    <w:r w:rsidRPr="005A65FF">
      <w:rPr>
        <w:b/>
        <w:sz w:val="18"/>
      </w:rPr>
      <w:instrText xml:space="preserve"> PAGE  \* MERGEFORMAT </w:instrText>
    </w:r>
    <w:r w:rsidRPr="005A65FF">
      <w:rPr>
        <w:b/>
        <w:sz w:val="18"/>
      </w:rPr>
      <w:fldChar w:fldCharType="separate"/>
    </w:r>
    <w:r w:rsidR="00837EED">
      <w:rPr>
        <w:b/>
        <w:noProof/>
        <w:sz w:val="18"/>
      </w:rPr>
      <w:t>5</w:t>
    </w:r>
    <w:r w:rsidRPr="005A65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5A65FF" w:rsidRDefault="005A65FF" w:rsidP="005A65FF">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17-13295  (F)    160817    1</w:t>
    </w:r>
    <w:r w:rsidR="008F688E">
      <w:rPr>
        <w:sz w:val="20"/>
      </w:rPr>
      <w:t>8</w:t>
    </w:r>
    <w:r>
      <w:rPr>
        <w:sz w:val="20"/>
      </w:rPr>
      <w:t>0817</w:t>
    </w:r>
    <w:r>
      <w:rPr>
        <w:sz w:val="20"/>
      </w:rPr>
      <w:br/>
    </w:r>
    <w:r w:rsidRPr="005A65FF">
      <w:rPr>
        <w:rFonts w:ascii="C39T30Lfz" w:hAnsi="C39T30Lfz"/>
        <w:sz w:val="56"/>
      </w:rPr>
      <w:t></w:t>
    </w:r>
    <w:r w:rsidRPr="005A65FF">
      <w:rPr>
        <w:rFonts w:ascii="C39T30Lfz" w:hAnsi="C39T30Lfz"/>
        <w:sz w:val="56"/>
      </w:rPr>
      <w:t></w:t>
    </w:r>
    <w:r w:rsidRPr="005A65FF">
      <w:rPr>
        <w:rFonts w:ascii="C39T30Lfz" w:hAnsi="C39T30Lfz"/>
        <w:sz w:val="56"/>
      </w:rPr>
      <w:t></w:t>
    </w:r>
    <w:r w:rsidRPr="005A65FF">
      <w:rPr>
        <w:rFonts w:ascii="C39T30Lfz" w:hAnsi="C39T30Lfz"/>
        <w:sz w:val="56"/>
      </w:rPr>
      <w:t></w:t>
    </w:r>
    <w:r w:rsidRPr="005A65FF">
      <w:rPr>
        <w:rFonts w:ascii="C39T30Lfz" w:hAnsi="C39T30Lfz"/>
        <w:sz w:val="56"/>
      </w:rPr>
      <w:t></w:t>
    </w:r>
    <w:r w:rsidRPr="005A65FF">
      <w:rPr>
        <w:rFonts w:ascii="C39T30Lfz" w:hAnsi="C39T30Lfz"/>
        <w:sz w:val="56"/>
      </w:rPr>
      <w:t></w:t>
    </w:r>
    <w:r w:rsidRPr="005A65FF">
      <w:rPr>
        <w:rFonts w:ascii="C39T30Lfz" w:hAnsi="C39T30Lfz"/>
        <w:sz w:val="56"/>
      </w:rPr>
      <w:t></w:t>
    </w:r>
    <w:r w:rsidRPr="005A65FF">
      <w:rPr>
        <w:rFonts w:ascii="C39T30Lfz" w:hAnsi="C39T30Lfz"/>
        <w:sz w:val="56"/>
      </w:rPr>
      <w:t></w:t>
    </w:r>
    <w:r w:rsidRPr="005A65F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33" w:rsidRPr="00AC3823" w:rsidRDefault="00C22733" w:rsidP="00AC3823">
      <w:pPr>
        <w:pStyle w:val="Footer"/>
        <w:tabs>
          <w:tab w:val="right" w:pos="2155"/>
        </w:tabs>
        <w:spacing w:after="80" w:line="240" w:lineRule="atLeast"/>
        <w:ind w:left="680"/>
        <w:rPr>
          <w:u w:val="single"/>
        </w:rPr>
      </w:pPr>
      <w:r>
        <w:rPr>
          <w:u w:val="single"/>
        </w:rPr>
        <w:tab/>
      </w:r>
    </w:p>
  </w:footnote>
  <w:footnote w:type="continuationSeparator" w:id="0">
    <w:p w:rsidR="00C22733" w:rsidRPr="00AC3823" w:rsidRDefault="00C22733" w:rsidP="00AC3823">
      <w:pPr>
        <w:pStyle w:val="Footer"/>
        <w:tabs>
          <w:tab w:val="right" w:pos="2155"/>
        </w:tabs>
        <w:spacing w:after="80" w:line="240" w:lineRule="atLeast"/>
        <w:ind w:left="680"/>
        <w:rPr>
          <w:u w:val="single"/>
        </w:rPr>
      </w:pPr>
      <w:r>
        <w:rPr>
          <w:u w:val="single"/>
        </w:rPr>
        <w:tab/>
      </w:r>
    </w:p>
  </w:footnote>
  <w:footnote w:type="continuationNotice" w:id="1">
    <w:p w:rsidR="00C22733" w:rsidRPr="00AC3823" w:rsidRDefault="00C22733">
      <w:pPr>
        <w:spacing w:line="240" w:lineRule="auto"/>
        <w:rPr>
          <w:sz w:val="2"/>
          <w:szCs w:val="2"/>
        </w:rPr>
      </w:pPr>
    </w:p>
  </w:footnote>
  <w:footnote w:id="2">
    <w:p w:rsidR="00A97836" w:rsidRPr="00583483" w:rsidRDefault="00A97836" w:rsidP="00A97836">
      <w:pPr>
        <w:pStyle w:val="FootnoteText"/>
      </w:pPr>
      <w:r>
        <w:rPr>
          <w:lang w:val="fr-FR"/>
        </w:rPr>
        <w:tab/>
      </w:r>
      <w:r w:rsidRPr="00841D1A">
        <w:rPr>
          <w:sz w:val="20"/>
          <w:lang w:val="fr-FR"/>
        </w:rPr>
        <w:t>*</w:t>
      </w:r>
      <w:r>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(www.unece.org/trans/main/wp29/wp29wgs/wp29gre/greage.html). À</w:t>
      </w:r>
      <w:r w:rsidR="00841D1A">
        <w:rPr>
          <w:lang w:val="fr-FR"/>
        </w:rPr>
        <w:t> </w:t>
      </w:r>
      <w:r>
        <w:rPr>
          <w:lang w:val="fr-FR"/>
        </w:rPr>
        <w:t>titre exceptionnel, ils peuvent également être obtenus par courrier électronique (gre@unece.org) ou par télécopie (+41 22 917 00 39). Durant la session, les documents officiels peuvent être obtenus auprès de la Section de la distribution des documents de l’ONUG (bureau C.337 au 3</w:t>
      </w:r>
      <w:r>
        <w:rPr>
          <w:vertAlign w:val="superscript"/>
          <w:lang w:val="fr-FR"/>
        </w:rPr>
        <w:t>e</w:t>
      </w:r>
      <w:r w:rsidR="00841D1A">
        <w:rPr>
          <w:lang w:val="fr-FR"/>
        </w:rPr>
        <w:t> </w:t>
      </w:r>
      <w:r>
        <w:rPr>
          <w:lang w:val="fr-FR"/>
        </w:rPr>
        <w:t>étage du Palais des Nations). Les versions traduites de ces documents sont disponibles en accès public sur le système de diffusion électronique des documents (ODS), à l’adresse documents.un.org/.</w:t>
      </w:r>
    </w:p>
  </w:footnote>
  <w:footnote w:id="3">
    <w:p w:rsidR="00A97836" w:rsidRPr="00583483" w:rsidRDefault="00A97836" w:rsidP="00A97836">
      <w:pPr>
        <w:pStyle w:val="FootnoteText"/>
      </w:pPr>
      <w:r>
        <w:rPr>
          <w:lang w:val="fr-FR"/>
        </w:rPr>
        <w:tab/>
      </w:r>
      <w:r w:rsidRPr="00ED1DCE">
        <w:rPr>
          <w:sz w:val="20"/>
          <w:lang w:val="fr-FR"/>
        </w:rPr>
        <w:t>**</w:t>
      </w:r>
      <w:r>
        <w:rPr>
          <w:lang w:val="fr-FR"/>
        </w:rPr>
        <w:tab/>
        <w:t>Les représentants sont priés de remplir le formulaire d’inscription disponible sur le site Web de la CEE (https://www2.unece.org/uncdb/app/ext/meeting-registration?id=PwORwk). À leur arrivée au Palais des Nations, ils doivent retirer un badge à la Section de la sécurité́ et de la sûreté́, située au Portail de Pregny (14, avenue de la Paix). En cas de difficulté, ils sont invités à contacter le secrétariat par téléphone (poste 74323). Un plan du Palais des Nations et d’autres renseignements utiles sont disponibles à l’adresse http://www.unece.org/fr/info/events/informations-pratiques-pour-les-delegues.html.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F" w:rsidRPr="005A65FF" w:rsidRDefault="00837EED">
    <w:pPr>
      <w:pStyle w:val="Header"/>
    </w:pPr>
    <w:r>
      <w:fldChar w:fldCharType="begin"/>
    </w:r>
    <w:r>
      <w:instrText xml:space="preserve"> TITLE  \* MERGEFORMAT </w:instrText>
    </w:r>
    <w:r>
      <w:fldChar w:fldCharType="separate"/>
    </w:r>
    <w:r w:rsidR="00A266AA">
      <w:t>ECE/TRANS/WP.29/GRE/2017/8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F" w:rsidRPr="005A65FF" w:rsidRDefault="00837EED" w:rsidP="005A65FF">
    <w:pPr>
      <w:pStyle w:val="Header"/>
      <w:jc w:val="right"/>
    </w:pPr>
    <w:r>
      <w:fldChar w:fldCharType="begin"/>
    </w:r>
    <w:r>
      <w:instrText xml:space="preserve"> TITLE  \* MERGEFORMAT </w:instrText>
    </w:r>
    <w:r>
      <w:fldChar w:fldCharType="separate"/>
    </w:r>
    <w:r w:rsidR="00A266AA">
      <w:t>ECE/TRANS/WP.29/GRE/2017/8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33"/>
    <w:rsid w:val="00017F94"/>
    <w:rsid w:val="00023842"/>
    <w:rsid w:val="000334F9"/>
    <w:rsid w:val="00045FEB"/>
    <w:rsid w:val="0006228C"/>
    <w:rsid w:val="0007796D"/>
    <w:rsid w:val="000B7790"/>
    <w:rsid w:val="000F53E7"/>
    <w:rsid w:val="00101015"/>
    <w:rsid w:val="00111F2F"/>
    <w:rsid w:val="0014365E"/>
    <w:rsid w:val="00143C66"/>
    <w:rsid w:val="00176178"/>
    <w:rsid w:val="00182C2A"/>
    <w:rsid w:val="001F525A"/>
    <w:rsid w:val="00223272"/>
    <w:rsid w:val="0024779E"/>
    <w:rsid w:val="00257168"/>
    <w:rsid w:val="00262B1E"/>
    <w:rsid w:val="00266BE3"/>
    <w:rsid w:val="002744B8"/>
    <w:rsid w:val="00281A83"/>
    <w:rsid w:val="002832AC"/>
    <w:rsid w:val="002D7C93"/>
    <w:rsid w:val="002F434F"/>
    <w:rsid w:val="00305801"/>
    <w:rsid w:val="003503B4"/>
    <w:rsid w:val="0035092E"/>
    <w:rsid w:val="003916DE"/>
    <w:rsid w:val="003B5AA7"/>
    <w:rsid w:val="0041457F"/>
    <w:rsid w:val="00441C3B"/>
    <w:rsid w:val="00446FE5"/>
    <w:rsid w:val="00452396"/>
    <w:rsid w:val="004837D8"/>
    <w:rsid w:val="004A2FC4"/>
    <w:rsid w:val="004E468C"/>
    <w:rsid w:val="004F57EA"/>
    <w:rsid w:val="00513644"/>
    <w:rsid w:val="005505B7"/>
    <w:rsid w:val="0056658A"/>
    <w:rsid w:val="00573BE5"/>
    <w:rsid w:val="00586ED3"/>
    <w:rsid w:val="00596AA9"/>
    <w:rsid w:val="005A65C6"/>
    <w:rsid w:val="005A65FF"/>
    <w:rsid w:val="005F4AD7"/>
    <w:rsid w:val="006141FD"/>
    <w:rsid w:val="006B35A4"/>
    <w:rsid w:val="0071601D"/>
    <w:rsid w:val="007452F5"/>
    <w:rsid w:val="0079124C"/>
    <w:rsid w:val="007A62E6"/>
    <w:rsid w:val="007F20FA"/>
    <w:rsid w:val="0080684C"/>
    <w:rsid w:val="00837EED"/>
    <w:rsid w:val="00841D1A"/>
    <w:rsid w:val="0084481F"/>
    <w:rsid w:val="00871C75"/>
    <w:rsid w:val="008776DC"/>
    <w:rsid w:val="008E2F79"/>
    <w:rsid w:val="008F688E"/>
    <w:rsid w:val="00941366"/>
    <w:rsid w:val="009446C0"/>
    <w:rsid w:val="009705C8"/>
    <w:rsid w:val="009C1CF4"/>
    <w:rsid w:val="009D645C"/>
    <w:rsid w:val="009F6B74"/>
    <w:rsid w:val="00A104D9"/>
    <w:rsid w:val="00A266AA"/>
    <w:rsid w:val="00A30353"/>
    <w:rsid w:val="00A51976"/>
    <w:rsid w:val="00A97836"/>
    <w:rsid w:val="00AC3823"/>
    <w:rsid w:val="00AE323C"/>
    <w:rsid w:val="00AF0CB5"/>
    <w:rsid w:val="00B00181"/>
    <w:rsid w:val="00B00B0D"/>
    <w:rsid w:val="00B245F5"/>
    <w:rsid w:val="00B765F7"/>
    <w:rsid w:val="00BA0CA9"/>
    <w:rsid w:val="00BE3BC3"/>
    <w:rsid w:val="00C02897"/>
    <w:rsid w:val="00C22733"/>
    <w:rsid w:val="00C32BA8"/>
    <w:rsid w:val="00C97039"/>
    <w:rsid w:val="00CE48FF"/>
    <w:rsid w:val="00CF14CD"/>
    <w:rsid w:val="00D014A4"/>
    <w:rsid w:val="00D1127A"/>
    <w:rsid w:val="00D20D1D"/>
    <w:rsid w:val="00D22430"/>
    <w:rsid w:val="00D3439C"/>
    <w:rsid w:val="00DB1831"/>
    <w:rsid w:val="00DD3BFD"/>
    <w:rsid w:val="00DF6678"/>
    <w:rsid w:val="00E0299A"/>
    <w:rsid w:val="00E85C74"/>
    <w:rsid w:val="00EA6547"/>
    <w:rsid w:val="00ED1DCE"/>
    <w:rsid w:val="00EE04C0"/>
    <w:rsid w:val="00EF2E22"/>
    <w:rsid w:val="00F33A6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51976"/>
    <w:rPr>
      <w:rFonts w:ascii="Times New Roman" w:eastAsiaTheme="minorHAnsi" w:hAnsi="Times New Roman" w:cs="Times New Roman"/>
      <w:sz w:val="20"/>
      <w:szCs w:val="20"/>
      <w:lang w:eastAsia="en-US"/>
    </w:rPr>
  </w:style>
  <w:style w:type="character" w:customStyle="1" w:styleId="HChGChar">
    <w:name w:val="_ H _Ch_G Char"/>
    <w:link w:val="HChG"/>
    <w:rsid w:val="00A51976"/>
    <w:rPr>
      <w:rFonts w:ascii="Times New Roman" w:eastAsiaTheme="minorHAnsi" w:hAnsi="Times New Roman" w:cs="Times New Roman"/>
      <w:b/>
      <w:sz w:val="28"/>
      <w:szCs w:val="20"/>
      <w:lang w:eastAsia="en-US"/>
    </w:rPr>
  </w:style>
  <w:style w:type="character" w:customStyle="1" w:styleId="H1GChar">
    <w:name w:val="_ H_1_G Char"/>
    <w:link w:val="H1G"/>
    <w:rsid w:val="0079124C"/>
    <w:rPr>
      <w:rFonts w:ascii="Times New Roman" w:eastAsiaTheme="minorHAnsi"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51976"/>
    <w:rPr>
      <w:rFonts w:ascii="Times New Roman" w:eastAsiaTheme="minorHAnsi" w:hAnsi="Times New Roman" w:cs="Times New Roman"/>
      <w:sz w:val="20"/>
      <w:szCs w:val="20"/>
      <w:lang w:eastAsia="en-US"/>
    </w:rPr>
  </w:style>
  <w:style w:type="character" w:customStyle="1" w:styleId="HChGChar">
    <w:name w:val="_ H _Ch_G Char"/>
    <w:link w:val="HChG"/>
    <w:rsid w:val="00A51976"/>
    <w:rPr>
      <w:rFonts w:ascii="Times New Roman" w:eastAsiaTheme="minorHAnsi" w:hAnsi="Times New Roman" w:cs="Times New Roman"/>
      <w:b/>
      <w:sz w:val="28"/>
      <w:szCs w:val="20"/>
      <w:lang w:eastAsia="en-US"/>
    </w:rPr>
  </w:style>
  <w:style w:type="character" w:customStyle="1" w:styleId="H1GChar">
    <w:name w:val="_ H_1_G Char"/>
    <w:link w:val="H1G"/>
    <w:rsid w:val="0079124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7DA1-1322-4466-8255-18BF5F4F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10816</Characters>
  <Application>Microsoft Office Word</Application>
  <DocSecurity>4</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ECE/TRANS/WP.29/GRE/2017/8</vt:lpstr>
      <vt:lpstr>ECE/TRANS/WP.29/GRE/2017/8</vt:lpstr>
    </vt:vector>
  </TitlesOfParts>
  <Company>DCM</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ECE/TRANS/WP.29/GRE/2017/8</dc:title>
  <dc:creator>Corinne ROBERT</dc:creator>
  <cp:lastModifiedBy>Benedicte Boudol</cp:lastModifiedBy>
  <cp:revision>2</cp:revision>
  <cp:lastPrinted>2017-08-16T10:38:00Z</cp:lastPrinted>
  <dcterms:created xsi:type="dcterms:W3CDTF">2017-08-18T08:19:00Z</dcterms:created>
  <dcterms:modified xsi:type="dcterms:W3CDTF">2017-08-18T08:19:00Z</dcterms:modified>
</cp:coreProperties>
</file>