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C138C" w:rsidTr="00844BB6">
        <w:trPr>
          <w:cantSplit/>
          <w:trHeight w:hRule="exact" w:val="851"/>
        </w:trPr>
        <w:tc>
          <w:tcPr>
            <w:tcW w:w="1276" w:type="dxa"/>
            <w:tcBorders>
              <w:bottom w:val="single" w:sz="4" w:space="0" w:color="auto"/>
            </w:tcBorders>
            <w:shd w:val="clear" w:color="auto" w:fill="auto"/>
            <w:vAlign w:val="bottom"/>
          </w:tcPr>
          <w:p w:rsidR="00B56E9C" w:rsidRPr="005C138C" w:rsidRDefault="00B56E9C" w:rsidP="00844BB6">
            <w:pPr>
              <w:spacing w:after="80"/>
            </w:pPr>
          </w:p>
        </w:tc>
        <w:tc>
          <w:tcPr>
            <w:tcW w:w="2268" w:type="dxa"/>
            <w:tcBorders>
              <w:bottom w:val="single" w:sz="4" w:space="0" w:color="auto"/>
            </w:tcBorders>
            <w:shd w:val="clear" w:color="auto" w:fill="auto"/>
            <w:vAlign w:val="bottom"/>
          </w:tcPr>
          <w:p w:rsidR="00B56E9C" w:rsidRPr="005C138C" w:rsidRDefault="00B56E9C" w:rsidP="00844BB6">
            <w:pPr>
              <w:spacing w:after="80" w:line="300" w:lineRule="exact"/>
              <w:rPr>
                <w:b/>
                <w:sz w:val="24"/>
                <w:szCs w:val="24"/>
              </w:rPr>
            </w:pPr>
            <w:r w:rsidRPr="005C138C">
              <w:rPr>
                <w:sz w:val="28"/>
                <w:szCs w:val="28"/>
              </w:rPr>
              <w:t>United Nations</w:t>
            </w:r>
          </w:p>
        </w:tc>
        <w:tc>
          <w:tcPr>
            <w:tcW w:w="6095" w:type="dxa"/>
            <w:gridSpan w:val="2"/>
            <w:tcBorders>
              <w:bottom w:val="single" w:sz="4" w:space="0" w:color="auto"/>
            </w:tcBorders>
            <w:shd w:val="clear" w:color="auto" w:fill="auto"/>
            <w:vAlign w:val="bottom"/>
          </w:tcPr>
          <w:p w:rsidR="00B56E9C" w:rsidRPr="005C138C" w:rsidRDefault="00844BB6" w:rsidP="000F7AB5">
            <w:pPr>
              <w:jc w:val="right"/>
            </w:pPr>
            <w:r w:rsidRPr="005C138C">
              <w:rPr>
                <w:sz w:val="40"/>
              </w:rPr>
              <w:t>ECE</w:t>
            </w:r>
            <w:r w:rsidR="00245396" w:rsidRPr="005C138C">
              <w:t>/TRANS/WP.29/GR</w:t>
            </w:r>
            <w:r w:rsidR="006E6433" w:rsidRPr="005C138C">
              <w:t>E</w:t>
            </w:r>
            <w:r w:rsidR="00245396" w:rsidRPr="005C138C">
              <w:t>/201</w:t>
            </w:r>
            <w:r w:rsidR="000F7AB5" w:rsidRPr="005C138C">
              <w:t>7</w:t>
            </w:r>
            <w:r w:rsidR="00245396" w:rsidRPr="005C138C">
              <w:t>/</w:t>
            </w:r>
            <w:r w:rsidR="00A46CEF" w:rsidRPr="005C138C">
              <w:t>1</w:t>
            </w:r>
          </w:p>
        </w:tc>
      </w:tr>
      <w:tr w:rsidR="00B56E9C" w:rsidRPr="005C138C" w:rsidTr="00844BB6">
        <w:trPr>
          <w:cantSplit/>
          <w:trHeight w:hRule="exact" w:val="2835"/>
        </w:trPr>
        <w:tc>
          <w:tcPr>
            <w:tcW w:w="1276" w:type="dxa"/>
            <w:tcBorders>
              <w:top w:val="single" w:sz="4" w:space="0" w:color="auto"/>
              <w:bottom w:val="single" w:sz="12" w:space="0" w:color="auto"/>
            </w:tcBorders>
            <w:shd w:val="clear" w:color="auto" w:fill="auto"/>
          </w:tcPr>
          <w:p w:rsidR="00B56E9C" w:rsidRPr="005C138C" w:rsidRDefault="00C47431" w:rsidP="00844BB6">
            <w:pPr>
              <w:spacing w:before="120"/>
            </w:pPr>
            <w:r w:rsidRPr="005C138C">
              <w:rPr>
                <w:noProof/>
                <w:lang w:eastAsia="zh-CN"/>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C138C" w:rsidRDefault="00D773DF" w:rsidP="00844BB6">
            <w:pPr>
              <w:spacing w:before="120" w:line="420" w:lineRule="exact"/>
              <w:rPr>
                <w:sz w:val="40"/>
                <w:szCs w:val="40"/>
              </w:rPr>
            </w:pPr>
            <w:r w:rsidRPr="005C138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5C138C" w:rsidRDefault="00844BB6" w:rsidP="00844BB6">
            <w:pPr>
              <w:spacing w:before="240" w:line="240" w:lineRule="exact"/>
            </w:pPr>
            <w:r w:rsidRPr="005C138C">
              <w:t>Distr.: General</w:t>
            </w:r>
          </w:p>
          <w:p w:rsidR="00844BB6" w:rsidRPr="005C138C" w:rsidRDefault="00A65BC5" w:rsidP="00844BB6">
            <w:pPr>
              <w:spacing w:line="240" w:lineRule="exact"/>
            </w:pPr>
            <w:r w:rsidRPr="005C138C">
              <w:t>1</w:t>
            </w:r>
            <w:r w:rsidR="008525F2">
              <w:t>7</w:t>
            </w:r>
            <w:r w:rsidR="00C47431" w:rsidRPr="005C138C">
              <w:t xml:space="preserve"> </w:t>
            </w:r>
            <w:r w:rsidRPr="005C138C">
              <w:t xml:space="preserve">January </w:t>
            </w:r>
            <w:r w:rsidR="00844BB6" w:rsidRPr="005C138C">
              <w:t>201</w:t>
            </w:r>
            <w:r w:rsidRPr="005C138C">
              <w:t>7</w:t>
            </w:r>
          </w:p>
          <w:p w:rsidR="00844BB6" w:rsidRPr="005C138C" w:rsidRDefault="00844BB6" w:rsidP="00844BB6">
            <w:pPr>
              <w:spacing w:line="240" w:lineRule="exact"/>
            </w:pPr>
          </w:p>
          <w:p w:rsidR="00844BB6" w:rsidRPr="005C138C" w:rsidRDefault="000A2337" w:rsidP="000A2337">
            <w:pPr>
              <w:spacing w:line="240" w:lineRule="exact"/>
            </w:pPr>
            <w:r w:rsidRPr="005C138C">
              <w:t xml:space="preserve">Original: </w:t>
            </w:r>
            <w:r w:rsidR="00844BB6" w:rsidRPr="005C138C">
              <w:t>English</w:t>
            </w:r>
          </w:p>
        </w:tc>
      </w:tr>
    </w:tbl>
    <w:p w:rsidR="00442A83" w:rsidRPr="005C138C" w:rsidRDefault="00C96DF2" w:rsidP="00C96DF2">
      <w:pPr>
        <w:spacing w:before="120"/>
        <w:rPr>
          <w:b/>
          <w:sz w:val="28"/>
          <w:szCs w:val="28"/>
        </w:rPr>
      </w:pPr>
      <w:bookmarkStart w:id="0" w:name="_GoBack"/>
      <w:bookmarkEnd w:id="0"/>
      <w:r w:rsidRPr="005C138C">
        <w:rPr>
          <w:b/>
          <w:sz w:val="28"/>
          <w:szCs w:val="28"/>
        </w:rPr>
        <w:t>Economic Commission for Europe</w:t>
      </w:r>
    </w:p>
    <w:p w:rsidR="00C96DF2" w:rsidRPr="005C138C" w:rsidRDefault="008F31D2" w:rsidP="00C96DF2">
      <w:pPr>
        <w:spacing w:before="120"/>
        <w:rPr>
          <w:sz w:val="28"/>
          <w:szCs w:val="28"/>
        </w:rPr>
      </w:pPr>
      <w:r w:rsidRPr="005C138C">
        <w:rPr>
          <w:sz w:val="28"/>
          <w:szCs w:val="28"/>
        </w:rPr>
        <w:t>Inland Transport Committee</w:t>
      </w:r>
    </w:p>
    <w:p w:rsidR="00EA2A77" w:rsidRPr="005C138C" w:rsidRDefault="00EA2A77" w:rsidP="00EA2A77">
      <w:pPr>
        <w:spacing w:before="120"/>
        <w:rPr>
          <w:b/>
          <w:sz w:val="24"/>
          <w:szCs w:val="24"/>
        </w:rPr>
      </w:pPr>
      <w:r w:rsidRPr="005C138C">
        <w:rPr>
          <w:b/>
          <w:sz w:val="24"/>
          <w:szCs w:val="24"/>
        </w:rPr>
        <w:t xml:space="preserve">World Forum for Harmonization of Vehicle </w:t>
      </w:r>
      <w:r w:rsidR="00D26E07" w:rsidRPr="005C138C">
        <w:rPr>
          <w:b/>
          <w:sz w:val="24"/>
          <w:szCs w:val="24"/>
        </w:rPr>
        <w:t>Regulation</w:t>
      </w:r>
      <w:r w:rsidRPr="005C138C">
        <w:rPr>
          <w:b/>
          <w:sz w:val="24"/>
          <w:szCs w:val="24"/>
        </w:rPr>
        <w:t>s</w:t>
      </w:r>
    </w:p>
    <w:p w:rsidR="008841F1" w:rsidRPr="005C138C" w:rsidRDefault="008841F1" w:rsidP="008841F1">
      <w:pPr>
        <w:spacing w:before="120"/>
        <w:rPr>
          <w:b/>
        </w:rPr>
      </w:pPr>
      <w:r w:rsidRPr="005C138C">
        <w:rPr>
          <w:b/>
        </w:rPr>
        <w:t xml:space="preserve">Working Party on </w:t>
      </w:r>
      <w:r w:rsidR="00E11660" w:rsidRPr="005C138C">
        <w:rPr>
          <w:b/>
        </w:rPr>
        <w:t>Lighting and Light-Signalling</w:t>
      </w:r>
    </w:p>
    <w:p w:rsidR="008841F1" w:rsidRPr="005C138C" w:rsidRDefault="00674F17" w:rsidP="008841F1">
      <w:pPr>
        <w:spacing w:before="120"/>
        <w:rPr>
          <w:b/>
        </w:rPr>
      </w:pPr>
      <w:r w:rsidRPr="005C138C">
        <w:rPr>
          <w:b/>
        </w:rPr>
        <w:t>Seventy-</w:t>
      </w:r>
      <w:r w:rsidR="00A65BC5" w:rsidRPr="005C138C">
        <w:rPr>
          <w:b/>
        </w:rPr>
        <w:t xml:space="preserve">seventh </w:t>
      </w:r>
      <w:proofErr w:type="gramStart"/>
      <w:r w:rsidR="008841F1" w:rsidRPr="005C138C">
        <w:rPr>
          <w:b/>
        </w:rPr>
        <w:t>session</w:t>
      </w:r>
      <w:proofErr w:type="gramEnd"/>
    </w:p>
    <w:p w:rsidR="002A3A88" w:rsidRPr="005C138C" w:rsidRDefault="008841F1" w:rsidP="002A3A88">
      <w:r w:rsidRPr="005C138C">
        <w:t xml:space="preserve">Geneva, </w:t>
      </w:r>
      <w:r w:rsidR="00A65BC5" w:rsidRPr="005C138C">
        <w:t>4</w:t>
      </w:r>
      <w:r w:rsidR="000E106E">
        <w:t>-</w:t>
      </w:r>
      <w:r w:rsidR="00A65BC5" w:rsidRPr="005C138C">
        <w:t xml:space="preserve">7 April </w:t>
      </w:r>
      <w:r w:rsidR="002A3A88" w:rsidRPr="005C138C">
        <w:t>201</w:t>
      </w:r>
      <w:r w:rsidR="00A65BC5" w:rsidRPr="005C138C">
        <w:t>7</w:t>
      </w:r>
    </w:p>
    <w:p w:rsidR="008841F1" w:rsidRPr="005C138C" w:rsidRDefault="008841F1" w:rsidP="008841F1">
      <w:r w:rsidRPr="005C138C">
        <w:t xml:space="preserve">Item </w:t>
      </w:r>
      <w:proofErr w:type="gramStart"/>
      <w:r w:rsidRPr="005C138C">
        <w:t>1</w:t>
      </w:r>
      <w:proofErr w:type="gramEnd"/>
      <w:r w:rsidRPr="005C138C">
        <w:t xml:space="preserve"> of the provisional agenda</w:t>
      </w:r>
    </w:p>
    <w:p w:rsidR="008841F1" w:rsidRPr="005C138C" w:rsidRDefault="008841F1" w:rsidP="00135769">
      <w:pPr>
        <w:rPr>
          <w:b/>
        </w:rPr>
      </w:pPr>
      <w:r w:rsidRPr="005C138C">
        <w:rPr>
          <w:b/>
        </w:rPr>
        <w:t>Adoption of the agenda</w:t>
      </w:r>
    </w:p>
    <w:p w:rsidR="00135769" w:rsidRPr="005C138C" w:rsidRDefault="00135769" w:rsidP="00135769">
      <w:pPr>
        <w:pStyle w:val="HChG"/>
      </w:pPr>
      <w:bookmarkStart w:id="1" w:name="OLE_LINK2"/>
      <w:r w:rsidRPr="005C138C">
        <w:tab/>
      </w:r>
      <w:r w:rsidRPr="005C138C">
        <w:tab/>
      </w:r>
      <w:r w:rsidR="00671743" w:rsidRPr="005C138C">
        <w:t>Annotated p</w:t>
      </w:r>
      <w:r w:rsidRPr="005C138C">
        <w:t xml:space="preserve">rovisional agenda for the </w:t>
      </w:r>
      <w:r w:rsidR="0063513F" w:rsidRPr="005C138C">
        <w:t>s</w:t>
      </w:r>
      <w:r w:rsidR="00674F17" w:rsidRPr="005C138C">
        <w:t>eventy-</w:t>
      </w:r>
      <w:r w:rsidR="009E6274" w:rsidRPr="005C138C">
        <w:t xml:space="preserve">seventh </w:t>
      </w:r>
      <w:r w:rsidRPr="005C138C">
        <w:t>session</w:t>
      </w:r>
      <w:bookmarkEnd w:id="1"/>
      <w:r w:rsidR="00583483" w:rsidRPr="00DC4518">
        <w:rPr>
          <w:rStyle w:val="FootnoteReference"/>
          <w:b w:val="0"/>
          <w:sz w:val="20"/>
          <w:vertAlign w:val="baseline"/>
        </w:rPr>
        <w:footnoteReference w:customMarkFollows="1" w:id="2"/>
        <w:t>*</w:t>
      </w:r>
      <w:r w:rsidR="004B61F1" w:rsidRPr="00583483">
        <w:rPr>
          <w:b w:val="0"/>
          <w:bCs/>
          <w:sz w:val="20"/>
          <w:vertAlign w:val="superscript"/>
        </w:rPr>
        <w:t>,</w:t>
      </w:r>
      <w:r w:rsidR="00274347" w:rsidRPr="005C138C">
        <w:rPr>
          <w:b w:val="0"/>
          <w:szCs w:val="28"/>
        </w:rPr>
        <w:t> </w:t>
      </w:r>
      <w:r w:rsidR="00583483" w:rsidRPr="00583483">
        <w:rPr>
          <w:rStyle w:val="FootnoteReference"/>
          <w:b w:val="0"/>
          <w:sz w:val="20"/>
          <w:vertAlign w:val="baseline"/>
        </w:rPr>
        <w:footnoteReference w:customMarkFollows="1" w:id="3"/>
        <w:t>**</w:t>
      </w:r>
    </w:p>
    <w:p w:rsidR="00DD40F3" w:rsidRPr="005C138C" w:rsidRDefault="00DD40F3" w:rsidP="00DD40F3">
      <w:pPr>
        <w:pStyle w:val="SingleTxtG"/>
      </w:pPr>
      <w:proofErr w:type="gramStart"/>
      <w:r w:rsidRPr="005C138C">
        <w:t>to</w:t>
      </w:r>
      <w:proofErr w:type="gramEnd"/>
      <w:r w:rsidRPr="005C138C">
        <w:t xml:space="preserve"> be held at the Palais des Nations, Geneva, starting at </w:t>
      </w:r>
      <w:r w:rsidR="00A46CEF" w:rsidRPr="005C138C">
        <w:t>9</w:t>
      </w:r>
      <w:r w:rsidRPr="005C138C">
        <w:t xml:space="preserve">.30 </w:t>
      </w:r>
      <w:r w:rsidR="00A46CEF" w:rsidRPr="005C138C">
        <w:t>a</w:t>
      </w:r>
      <w:r w:rsidRPr="005C138C">
        <w:t xml:space="preserve">.m. on </w:t>
      </w:r>
      <w:r w:rsidR="00A65BC5" w:rsidRPr="005C138C">
        <w:t xml:space="preserve">4 April </w:t>
      </w:r>
      <w:r w:rsidRPr="005C138C">
        <w:t>201</w:t>
      </w:r>
      <w:r w:rsidR="00A65BC5" w:rsidRPr="005C138C">
        <w:t>7</w:t>
      </w:r>
      <w:r w:rsidRPr="005C138C">
        <w:t xml:space="preserve"> and concluding at </w:t>
      </w:r>
      <w:r w:rsidR="00EA1865">
        <w:t>5</w:t>
      </w:r>
      <w:r w:rsidRPr="005C138C">
        <w:t xml:space="preserve">.30 p.m. on </w:t>
      </w:r>
      <w:r w:rsidR="00A65BC5" w:rsidRPr="005C138C">
        <w:t xml:space="preserve">7 April </w:t>
      </w:r>
      <w:r w:rsidRPr="005C138C">
        <w:t>201</w:t>
      </w:r>
      <w:r w:rsidR="00A65BC5" w:rsidRPr="005C138C">
        <w:t>7</w:t>
      </w:r>
      <w:r w:rsidRPr="005C138C">
        <w:t>.</w:t>
      </w:r>
    </w:p>
    <w:p w:rsidR="00E11660" w:rsidRPr="005C138C" w:rsidRDefault="00E11660" w:rsidP="00E11660">
      <w:pPr>
        <w:pStyle w:val="HChG"/>
      </w:pPr>
      <w:r w:rsidRPr="005C138C">
        <w:tab/>
        <w:t>I.</w:t>
      </w:r>
      <w:r w:rsidRPr="005C138C">
        <w:tab/>
        <w:t>Provisional agenda</w:t>
      </w:r>
    </w:p>
    <w:p w:rsidR="00EB28DE" w:rsidRPr="005C138C" w:rsidRDefault="00EB28DE" w:rsidP="00EB28DE">
      <w:pPr>
        <w:pStyle w:val="SingleTxtG"/>
      </w:pPr>
      <w:proofErr w:type="gramStart"/>
      <w:r w:rsidRPr="005C138C">
        <w:t>1.</w:t>
      </w:r>
      <w:r w:rsidRPr="005C138C">
        <w:tab/>
        <w:t>Adoption of the agenda.</w:t>
      </w:r>
      <w:proofErr w:type="gramEnd"/>
    </w:p>
    <w:p w:rsidR="00EB28DE" w:rsidRPr="005C138C" w:rsidRDefault="00EB28DE" w:rsidP="00EB28DE">
      <w:pPr>
        <w:pStyle w:val="SingleTxtG"/>
      </w:pPr>
      <w:proofErr w:type="gramStart"/>
      <w:r w:rsidRPr="005C138C">
        <w:t>2.</w:t>
      </w:r>
      <w:r w:rsidRPr="005C138C">
        <w:tab/>
        <w:t>1998 Agreement - Global Technical Regulations: Development.</w:t>
      </w:r>
      <w:proofErr w:type="gramEnd"/>
    </w:p>
    <w:p w:rsidR="00EB28DE" w:rsidRPr="005C138C" w:rsidRDefault="00EB28DE" w:rsidP="00EB28DE">
      <w:pPr>
        <w:pStyle w:val="SingleTxtG"/>
      </w:pPr>
      <w:r w:rsidRPr="005C138C">
        <w:lastRenderedPageBreak/>
        <w:t>3.</w:t>
      </w:r>
      <w:r w:rsidRPr="005C138C">
        <w:tab/>
        <w:t xml:space="preserve">1997 Agreement </w:t>
      </w:r>
      <w:r w:rsidR="002B1DD4" w:rsidRPr="005C138C">
        <w:t>-</w:t>
      </w:r>
      <w:r w:rsidRPr="005C138C">
        <w:t xml:space="preserve"> Rules: Development.</w:t>
      </w:r>
    </w:p>
    <w:p w:rsidR="00EB28DE" w:rsidRPr="005C138C" w:rsidRDefault="00EB28DE" w:rsidP="00EB28DE">
      <w:pPr>
        <w:pStyle w:val="SingleTxtG"/>
      </w:pPr>
      <w:proofErr w:type="gramStart"/>
      <w:r w:rsidRPr="005C138C">
        <w:t>4.</w:t>
      </w:r>
      <w:r w:rsidRPr="005C138C">
        <w:tab/>
        <w:t>Simplification of lighting and light-signalling</w:t>
      </w:r>
      <w:r w:rsidR="00B314C4" w:rsidRPr="005C138C">
        <w:t xml:space="preserve"> Regulations</w:t>
      </w:r>
      <w:r w:rsidRPr="005C138C">
        <w:t>.</w:t>
      </w:r>
      <w:proofErr w:type="gramEnd"/>
    </w:p>
    <w:p w:rsidR="00EB28DE" w:rsidRPr="005C138C" w:rsidRDefault="00EB28DE" w:rsidP="002C256C">
      <w:pPr>
        <w:pStyle w:val="SingleTxtG"/>
        <w:ind w:left="1701" w:hanging="567"/>
      </w:pPr>
      <w:r w:rsidRPr="005C138C">
        <w:t>5.</w:t>
      </w:r>
      <w:r w:rsidRPr="005C138C">
        <w:tab/>
        <w:t>Regulations Nos. 37 (Filament lamps), 99 (Gas discharge light sources)</w:t>
      </w:r>
      <w:r w:rsidR="002C256C" w:rsidRPr="005C138C">
        <w:t xml:space="preserve">, </w:t>
      </w:r>
      <w:r w:rsidRPr="005C138C">
        <w:t xml:space="preserve">128 </w:t>
      </w:r>
      <w:r w:rsidRPr="005C138C">
        <w:tab/>
        <w:t>(Light emitting diodes light sources)</w:t>
      </w:r>
      <w:r w:rsidR="002C256C" w:rsidRPr="005C138C">
        <w:t xml:space="preserve"> and the Consolidated Resolution on the common specification of light source categories</w:t>
      </w:r>
      <w:r w:rsidRPr="005C138C">
        <w:t>.</w:t>
      </w:r>
    </w:p>
    <w:p w:rsidR="00EB28DE" w:rsidRPr="005C138C" w:rsidRDefault="00EB28DE" w:rsidP="00EB28DE">
      <w:pPr>
        <w:pStyle w:val="SingleTxtG"/>
      </w:pPr>
      <w:r w:rsidRPr="005C138C">
        <w:t>6.</w:t>
      </w:r>
      <w:r w:rsidRPr="005C138C">
        <w:tab/>
        <w:t>Regulation No. 48 (Installation of lighting and light-signalling devices)</w:t>
      </w:r>
      <w:r w:rsidR="008D357F" w:rsidRPr="005C138C">
        <w:t>:</w:t>
      </w:r>
    </w:p>
    <w:p w:rsidR="00EB28DE" w:rsidRPr="005C138C" w:rsidRDefault="005C138C" w:rsidP="00EB28DE">
      <w:pPr>
        <w:spacing w:after="120"/>
        <w:ind w:left="1134" w:right="1134"/>
        <w:jc w:val="both"/>
      </w:pPr>
      <w:r>
        <w:tab/>
      </w:r>
      <w:r w:rsidR="00EB28DE" w:rsidRPr="005C138C">
        <w:t>(a)</w:t>
      </w:r>
      <w:r w:rsidR="00EB28DE" w:rsidRPr="005C138C">
        <w:tab/>
        <w:t>Proposals for amendments to the 05 and 06 series of amendments</w:t>
      </w:r>
      <w:r w:rsidR="008D357F" w:rsidRPr="005C138C">
        <w:t>;</w:t>
      </w:r>
    </w:p>
    <w:p w:rsidR="00EB28DE" w:rsidRPr="005C138C" w:rsidRDefault="005C138C" w:rsidP="00EB28DE">
      <w:pPr>
        <w:spacing w:after="120"/>
        <w:ind w:left="1134" w:right="1134"/>
        <w:jc w:val="both"/>
      </w:pPr>
      <w:r>
        <w:tab/>
      </w:r>
      <w:proofErr w:type="gramStart"/>
      <w:r w:rsidR="00EB28DE" w:rsidRPr="005C138C">
        <w:t>(b)</w:t>
      </w:r>
      <w:r w:rsidR="00EB28DE" w:rsidRPr="005C138C">
        <w:tab/>
        <w:t>Other proposals for amendments to Regulation No. 48.</w:t>
      </w:r>
      <w:proofErr w:type="gramEnd"/>
    </w:p>
    <w:p w:rsidR="00EB28DE" w:rsidRPr="005C138C" w:rsidRDefault="00EB28DE" w:rsidP="00EB28DE">
      <w:pPr>
        <w:pStyle w:val="SingleTxtG"/>
      </w:pPr>
      <w:r w:rsidRPr="005C138C">
        <w:t>7.</w:t>
      </w:r>
      <w:r w:rsidRPr="005C138C">
        <w:tab/>
        <w:t>Other Regulations:</w:t>
      </w:r>
    </w:p>
    <w:p w:rsidR="00D50AE5" w:rsidRPr="005C138C" w:rsidRDefault="00D50AE5" w:rsidP="009E6274">
      <w:pPr>
        <w:pStyle w:val="SingleTxtG"/>
        <w:ind w:left="2268" w:hanging="558"/>
      </w:pPr>
      <w:r w:rsidRPr="005C138C">
        <w:t>(a)</w:t>
      </w:r>
      <w:r w:rsidRPr="005C138C">
        <w:tab/>
        <w:t>Regulation No. 6 (Direction indicators)</w:t>
      </w:r>
      <w:r w:rsidR="009E6274" w:rsidRPr="005C138C">
        <w:t xml:space="preserve"> and Regulation No. 50 (Posi</w:t>
      </w:r>
      <w:r w:rsidR="00EA1865">
        <w:t>tion, stop, direction indicator</w:t>
      </w:r>
      <w:r w:rsidR="009E6274" w:rsidRPr="005C138C">
        <w:t xml:space="preserve"> lamps for mopeds and motorcycles)</w:t>
      </w:r>
      <w:r w:rsidRPr="005C138C">
        <w:t>;</w:t>
      </w:r>
    </w:p>
    <w:p w:rsidR="00D50AE5" w:rsidRPr="005C138C" w:rsidRDefault="00D50AE5" w:rsidP="00D50AE5">
      <w:pPr>
        <w:pStyle w:val="SingleTxtG"/>
        <w:ind w:firstLine="567"/>
      </w:pPr>
      <w:r w:rsidRPr="005C138C">
        <w:t>(</w:t>
      </w:r>
      <w:r w:rsidR="009E6274" w:rsidRPr="005C138C">
        <w:t>b</w:t>
      </w:r>
      <w:r w:rsidRPr="005C138C">
        <w:t xml:space="preserve">) </w:t>
      </w:r>
      <w:r w:rsidRPr="005C138C">
        <w:tab/>
        <w:t>Regulation No. 10 (Electromagnetic compatibility);</w:t>
      </w:r>
    </w:p>
    <w:p w:rsidR="00D50AE5" w:rsidRPr="005C138C" w:rsidRDefault="00D50AE5" w:rsidP="00D50AE5">
      <w:pPr>
        <w:pStyle w:val="SingleTxtG"/>
        <w:ind w:left="2265" w:hanging="564"/>
      </w:pPr>
      <w:r w:rsidRPr="005C138C">
        <w:t>(</w:t>
      </w:r>
      <w:r w:rsidR="009E6274" w:rsidRPr="005C138C">
        <w:t>c</w:t>
      </w:r>
      <w:r w:rsidRPr="005C138C">
        <w:t>)</w:t>
      </w:r>
      <w:r w:rsidRPr="005C138C">
        <w:tab/>
        <w:t>Regulation No. 53 (Installation of lighting and light-signalling devices for L</w:t>
      </w:r>
      <w:r w:rsidRPr="005C138C">
        <w:rPr>
          <w:vertAlign w:val="subscript"/>
        </w:rPr>
        <w:t>3</w:t>
      </w:r>
      <w:r w:rsidRPr="005C138C">
        <w:t xml:space="preserve"> vehicles);</w:t>
      </w:r>
    </w:p>
    <w:p w:rsidR="00D50AE5" w:rsidRPr="005C138C" w:rsidRDefault="00D50AE5" w:rsidP="00D50AE5">
      <w:pPr>
        <w:pStyle w:val="SingleTxtG"/>
        <w:ind w:firstLine="567"/>
      </w:pPr>
      <w:r w:rsidRPr="005C138C">
        <w:t>(</w:t>
      </w:r>
      <w:r w:rsidR="009E6274" w:rsidRPr="005C138C">
        <w:t>d</w:t>
      </w:r>
      <w:r w:rsidRPr="005C138C">
        <w:t>)</w:t>
      </w:r>
      <w:r w:rsidRPr="005C138C">
        <w:tab/>
        <w:t>Regulation No. 112 (Headlamps emitting an asymmetrical passing-beam);</w:t>
      </w:r>
    </w:p>
    <w:p w:rsidR="00D50AE5" w:rsidRPr="005C138C" w:rsidRDefault="00D50AE5" w:rsidP="00D50AE5">
      <w:pPr>
        <w:pStyle w:val="SingleTxtG"/>
        <w:ind w:firstLine="567"/>
      </w:pPr>
      <w:proofErr w:type="gramStart"/>
      <w:r w:rsidRPr="005C138C">
        <w:t>(</w:t>
      </w:r>
      <w:r w:rsidR="009E6274" w:rsidRPr="005C138C">
        <w:t>e</w:t>
      </w:r>
      <w:r w:rsidRPr="005C138C">
        <w:t>)</w:t>
      </w:r>
      <w:r w:rsidRPr="005C138C">
        <w:tab/>
        <w:t>Regulation No. 123 (Adaptive front-lighting systems).</w:t>
      </w:r>
      <w:proofErr w:type="gramEnd"/>
    </w:p>
    <w:p w:rsidR="00EB28DE" w:rsidRPr="005C138C" w:rsidRDefault="0047341F" w:rsidP="00EB28DE">
      <w:pPr>
        <w:pStyle w:val="SingleTxtG"/>
      </w:pPr>
      <w:r w:rsidRPr="005C138C">
        <w:t>8</w:t>
      </w:r>
      <w:r w:rsidR="00EB28DE" w:rsidRPr="005C138C">
        <w:t>.</w:t>
      </w:r>
      <w:r w:rsidR="00EB28DE" w:rsidRPr="005C138C">
        <w:tab/>
        <w:t>Other business:</w:t>
      </w:r>
    </w:p>
    <w:p w:rsidR="00EB28DE" w:rsidRPr="005C138C" w:rsidRDefault="005C138C" w:rsidP="00EB28DE">
      <w:pPr>
        <w:pStyle w:val="SingleTxtG"/>
      </w:pPr>
      <w:r>
        <w:tab/>
      </w:r>
      <w:r w:rsidR="00EB28DE" w:rsidRPr="005C138C">
        <w:t>(a)</w:t>
      </w:r>
      <w:r w:rsidR="00EB28DE" w:rsidRPr="005C138C">
        <w:tab/>
        <w:t>Amendments to the Convention on Road Traffic (Vienna</w:t>
      </w:r>
      <w:r w:rsidR="009E6274" w:rsidRPr="005C138C">
        <w:t>,</w:t>
      </w:r>
      <w:r w:rsidR="00EB28DE" w:rsidRPr="005C138C">
        <w:t xml:space="preserve"> 1968);</w:t>
      </w:r>
    </w:p>
    <w:p w:rsidR="00EB28DE" w:rsidRPr="005C138C" w:rsidRDefault="005C138C" w:rsidP="00EB28DE">
      <w:pPr>
        <w:pStyle w:val="SingleTxtG"/>
      </w:pPr>
      <w:r>
        <w:tab/>
      </w:r>
      <w:r w:rsidR="00EB28DE" w:rsidRPr="005C138C">
        <w:t>(b)</w:t>
      </w:r>
      <w:r w:rsidR="00EB28DE" w:rsidRPr="005C138C">
        <w:tab/>
        <w:t>Decade of action for road safety 2011-2020;</w:t>
      </w:r>
    </w:p>
    <w:p w:rsidR="00EB28DE" w:rsidRPr="005C138C" w:rsidRDefault="005C138C" w:rsidP="00EB28DE">
      <w:pPr>
        <w:pStyle w:val="SingleTxtG"/>
      </w:pPr>
      <w:r>
        <w:tab/>
      </w:r>
      <w:r w:rsidR="00EB28DE" w:rsidRPr="005C138C">
        <w:t>(c)</w:t>
      </w:r>
      <w:r w:rsidR="00EB28DE" w:rsidRPr="005C138C">
        <w:tab/>
        <w:t xml:space="preserve">Development of </w:t>
      </w:r>
      <w:r w:rsidR="009E6274" w:rsidRPr="005C138C">
        <w:t>the</w:t>
      </w:r>
      <w:r w:rsidR="00EB28DE" w:rsidRPr="005C138C">
        <w:t xml:space="preserve"> International Whole Vehicle Type Approval;</w:t>
      </w:r>
    </w:p>
    <w:p w:rsidR="00EB28DE" w:rsidRPr="005C138C" w:rsidRDefault="005C138C" w:rsidP="00EB28DE">
      <w:pPr>
        <w:pStyle w:val="SingleTxtG"/>
      </w:pPr>
      <w:r>
        <w:tab/>
      </w:r>
      <w:r w:rsidR="00EB28DE" w:rsidRPr="005C138C">
        <w:t>(d)</w:t>
      </w:r>
      <w:r w:rsidR="00EB28DE" w:rsidRPr="005C138C">
        <w:tab/>
        <w:t>Phantom light and colour washout.</w:t>
      </w:r>
    </w:p>
    <w:p w:rsidR="00EB28DE" w:rsidRPr="005C138C" w:rsidRDefault="0047341F" w:rsidP="00EB28DE">
      <w:pPr>
        <w:pStyle w:val="SingleTxtG"/>
      </w:pPr>
      <w:proofErr w:type="gramStart"/>
      <w:r w:rsidRPr="005C138C">
        <w:t>9</w:t>
      </w:r>
      <w:r w:rsidR="00EB28DE" w:rsidRPr="005C138C">
        <w:t>.</w:t>
      </w:r>
      <w:r w:rsidR="00EB28DE" w:rsidRPr="005C138C">
        <w:tab/>
        <w:t>New business</w:t>
      </w:r>
      <w:r w:rsidR="008D357F" w:rsidRPr="005C138C">
        <w:t xml:space="preserve"> and</w:t>
      </w:r>
      <w:r w:rsidR="002B1DD4" w:rsidRPr="005C138C">
        <w:t xml:space="preserve"> </w:t>
      </w:r>
      <w:r w:rsidR="00EB28DE" w:rsidRPr="005C138C">
        <w:t>late</w:t>
      </w:r>
      <w:r w:rsidR="002B1DD4" w:rsidRPr="005C138C">
        <w:t xml:space="preserve"> </w:t>
      </w:r>
      <w:r w:rsidR="008D357F" w:rsidRPr="005C138C">
        <w:t>submissions</w:t>
      </w:r>
      <w:r w:rsidR="00EB28DE" w:rsidRPr="005C138C">
        <w:t>.</w:t>
      </w:r>
      <w:proofErr w:type="gramEnd"/>
    </w:p>
    <w:p w:rsidR="00EB28DE" w:rsidRPr="005C138C" w:rsidRDefault="00EB28DE" w:rsidP="00EB28DE">
      <w:pPr>
        <w:pStyle w:val="SingleTxtG"/>
      </w:pPr>
      <w:proofErr w:type="gramStart"/>
      <w:r w:rsidRPr="005C138C">
        <w:t>1</w:t>
      </w:r>
      <w:r w:rsidR="0047341F" w:rsidRPr="005C138C">
        <w:t>0</w:t>
      </w:r>
      <w:r w:rsidRPr="005C138C">
        <w:t>.</w:t>
      </w:r>
      <w:r w:rsidRPr="005C138C">
        <w:tab/>
        <w:t xml:space="preserve">Direction </w:t>
      </w:r>
      <w:r w:rsidR="008D357F" w:rsidRPr="005C138C">
        <w:t xml:space="preserve">of </w:t>
      </w:r>
      <w:r w:rsidRPr="005C138C">
        <w:t>future work of GRE</w:t>
      </w:r>
      <w:r w:rsidR="00FD0665" w:rsidRPr="005C138C">
        <w:t>.</w:t>
      </w:r>
      <w:proofErr w:type="gramEnd"/>
    </w:p>
    <w:p w:rsidR="00EB28DE" w:rsidRPr="005C138C" w:rsidRDefault="00EB28DE" w:rsidP="00EB28DE">
      <w:pPr>
        <w:pStyle w:val="SingleTxtG"/>
      </w:pPr>
      <w:proofErr w:type="gramStart"/>
      <w:r w:rsidRPr="005C138C">
        <w:t>1</w:t>
      </w:r>
      <w:r w:rsidR="0047341F" w:rsidRPr="005C138C">
        <w:t>1</w:t>
      </w:r>
      <w:r w:rsidRPr="005C138C">
        <w:t>.</w:t>
      </w:r>
      <w:r w:rsidRPr="005C138C">
        <w:tab/>
        <w:t>Provisional agenda for the next session.</w:t>
      </w:r>
      <w:proofErr w:type="gramEnd"/>
      <w:r w:rsidRPr="005C138C">
        <w:t xml:space="preserve"> </w:t>
      </w:r>
    </w:p>
    <w:p w:rsidR="00E11660" w:rsidRPr="005C138C" w:rsidRDefault="00E11660" w:rsidP="00E11660">
      <w:pPr>
        <w:pStyle w:val="HChG"/>
      </w:pPr>
      <w:r w:rsidRPr="005C138C">
        <w:tab/>
        <w:t>II.</w:t>
      </w:r>
      <w:r w:rsidRPr="005C138C">
        <w:tab/>
        <w:t>Annotations</w:t>
      </w:r>
    </w:p>
    <w:p w:rsidR="00717ADD" w:rsidRPr="005C138C" w:rsidRDefault="00717ADD" w:rsidP="00717ADD">
      <w:pPr>
        <w:pStyle w:val="H1G"/>
      </w:pPr>
      <w:r w:rsidRPr="005C138C">
        <w:tab/>
        <w:t>1.</w:t>
      </w:r>
      <w:r w:rsidRPr="005C138C">
        <w:tab/>
        <w:t>Adoption of the agenda</w:t>
      </w:r>
    </w:p>
    <w:p w:rsidR="00717ADD" w:rsidRPr="005C138C" w:rsidRDefault="00717ADD" w:rsidP="00717ADD">
      <w:pPr>
        <w:pStyle w:val="SingleTxtG"/>
        <w:ind w:firstLine="567"/>
      </w:pPr>
      <w:r w:rsidRPr="005C138C">
        <w:rPr>
          <w:color w:val="000000"/>
        </w:rPr>
        <w:t>In</w:t>
      </w:r>
      <w:r w:rsidRPr="005C138C">
        <w:t xml:space="preserve"> accordance with Chapter III, Rule 7 of the Rules of Procedure of the World Forum for Harmonization of Vehicle Regulations (WP.29) (TRANS/WP.29/690, Amend. 1 and Amend. 2), the first item on the provisional agenda is </w:t>
      </w:r>
      <w:r w:rsidR="009E6274" w:rsidRPr="005C138C">
        <w:t xml:space="preserve">its </w:t>
      </w:r>
      <w:r w:rsidRPr="005C138C">
        <w:t>adoption.</w:t>
      </w:r>
    </w:p>
    <w:p w:rsidR="00717ADD" w:rsidRPr="00C9798A" w:rsidRDefault="00717ADD" w:rsidP="00717ADD">
      <w:pPr>
        <w:pStyle w:val="SingleTxtG"/>
        <w:ind w:left="2835" w:hanging="1701"/>
        <w:rPr>
          <w:lang w:val="fr-FR"/>
        </w:rPr>
      </w:pPr>
      <w:proofErr w:type="gramStart"/>
      <w:r w:rsidRPr="00C9798A">
        <w:rPr>
          <w:b/>
          <w:lang w:val="fr-FR"/>
        </w:rPr>
        <w:t>Documentation:</w:t>
      </w:r>
      <w:proofErr w:type="gramEnd"/>
      <w:r w:rsidRPr="00C9798A">
        <w:rPr>
          <w:lang w:val="fr-FR"/>
        </w:rPr>
        <w:t xml:space="preserve"> </w:t>
      </w:r>
      <w:r w:rsidRPr="00C9798A">
        <w:rPr>
          <w:lang w:val="fr-FR"/>
        </w:rPr>
        <w:tab/>
        <w:t>ECE/TRANS/WP.29/GRE/201</w:t>
      </w:r>
      <w:r w:rsidR="00257D6E" w:rsidRPr="00C9798A">
        <w:rPr>
          <w:lang w:val="fr-FR"/>
        </w:rPr>
        <w:t>7</w:t>
      </w:r>
      <w:r w:rsidRPr="00C9798A">
        <w:rPr>
          <w:lang w:val="fr-FR"/>
        </w:rPr>
        <w:t>/</w:t>
      </w:r>
      <w:r w:rsidR="00A46CEF" w:rsidRPr="00C9798A">
        <w:rPr>
          <w:lang w:val="fr-FR"/>
        </w:rPr>
        <w:t>1</w:t>
      </w:r>
    </w:p>
    <w:p w:rsidR="00717ADD" w:rsidRPr="005C138C" w:rsidRDefault="00717ADD" w:rsidP="00717ADD">
      <w:pPr>
        <w:pStyle w:val="H1G"/>
      </w:pPr>
      <w:r w:rsidRPr="00C9798A">
        <w:rPr>
          <w:lang w:val="fr-FR"/>
        </w:rPr>
        <w:tab/>
      </w:r>
      <w:r w:rsidRPr="005C138C">
        <w:t>2.</w:t>
      </w:r>
      <w:r w:rsidRPr="005C138C">
        <w:tab/>
        <w:t>1998 Agreement - Global Technical Regulations: Development</w:t>
      </w:r>
    </w:p>
    <w:p w:rsidR="00717ADD" w:rsidRPr="005C138C" w:rsidRDefault="00717ADD" w:rsidP="00717ADD">
      <w:pPr>
        <w:pStyle w:val="SingleTxtG"/>
        <w:ind w:firstLine="567"/>
      </w:pPr>
      <w:r w:rsidRPr="005C138C">
        <w:t>The Working Party on Lighting and Light-Signalling (GRE) may wish to resume consideration of this subject, awaiting new proposals and sponsors to develop a</w:t>
      </w:r>
      <w:r w:rsidR="00F42FA1">
        <w:t xml:space="preserve"> Global Technical Regulation</w:t>
      </w:r>
      <w:r w:rsidRPr="005C138C">
        <w:t>.</w:t>
      </w:r>
    </w:p>
    <w:p w:rsidR="00717ADD" w:rsidRPr="005C138C" w:rsidRDefault="00717ADD" w:rsidP="00717ADD">
      <w:pPr>
        <w:pStyle w:val="SingleTxtG"/>
        <w:ind w:left="2268" w:hanging="1134"/>
      </w:pPr>
      <w:r w:rsidRPr="004072CE">
        <w:rPr>
          <w:b/>
        </w:rPr>
        <w:t>Documentation:</w:t>
      </w:r>
      <w:r w:rsidRPr="004072CE">
        <w:t xml:space="preserve"> </w:t>
      </w:r>
      <w:r w:rsidRPr="004072CE">
        <w:tab/>
        <w:t xml:space="preserve">ECE/TRANS/WP.29/GRE/71, para. </w:t>
      </w:r>
      <w:r w:rsidRPr="005C138C">
        <w:t>5</w:t>
      </w:r>
    </w:p>
    <w:p w:rsidR="00717ADD" w:rsidRPr="005C138C" w:rsidRDefault="00717ADD" w:rsidP="00717ADD">
      <w:pPr>
        <w:pStyle w:val="H1G"/>
      </w:pPr>
      <w:r w:rsidRPr="005C138C">
        <w:lastRenderedPageBreak/>
        <w:tab/>
        <w:t>3.</w:t>
      </w:r>
      <w:r w:rsidRPr="005C138C">
        <w:tab/>
        <w:t>1997 Agreement – Rules: Development</w:t>
      </w:r>
    </w:p>
    <w:p w:rsidR="00717ADD" w:rsidRPr="005C138C" w:rsidRDefault="00717ADD" w:rsidP="00717ADD">
      <w:pPr>
        <w:pStyle w:val="SingleTxtG"/>
        <w:ind w:firstLine="567"/>
        <w:rPr>
          <w:color w:val="000000"/>
        </w:rPr>
      </w:pPr>
      <w:r w:rsidRPr="005C138C">
        <w:rPr>
          <w:color w:val="000000"/>
        </w:rPr>
        <w:t>GRE may wish to consider new proposals for amendments to Rules Nos. 1 and 2, if any.</w:t>
      </w:r>
    </w:p>
    <w:p w:rsidR="00717ADD" w:rsidRPr="005C138C" w:rsidRDefault="00717ADD" w:rsidP="00717ADD">
      <w:pPr>
        <w:pStyle w:val="H1G"/>
      </w:pPr>
      <w:r w:rsidRPr="005C138C">
        <w:tab/>
        <w:t>4.</w:t>
      </w:r>
      <w:r w:rsidRPr="005C138C">
        <w:tab/>
        <w:t>Simplification of lighting and light-signalling Regulations</w:t>
      </w:r>
    </w:p>
    <w:p w:rsidR="00B84400" w:rsidRPr="005C138C" w:rsidRDefault="000C44A7" w:rsidP="00B84400">
      <w:pPr>
        <w:pStyle w:val="SingleTxtG"/>
        <w:ind w:firstLine="567"/>
      </w:pPr>
      <w:r w:rsidRPr="005C138C">
        <w:t xml:space="preserve">GRE </w:t>
      </w:r>
      <w:proofErr w:type="gramStart"/>
      <w:r w:rsidR="00B327F5" w:rsidRPr="005C138C">
        <w:t xml:space="preserve">will </w:t>
      </w:r>
      <w:r w:rsidR="0047341F" w:rsidRPr="005C138C">
        <w:t>be informed</w:t>
      </w:r>
      <w:proofErr w:type="gramEnd"/>
      <w:r w:rsidR="0047341F" w:rsidRPr="005C138C">
        <w:t xml:space="preserve"> about </w:t>
      </w:r>
      <w:r w:rsidR="009E6274" w:rsidRPr="005C138C">
        <w:t xml:space="preserve">the WP.29 </w:t>
      </w:r>
      <w:r w:rsidR="00B84400" w:rsidRPr="005C138C">
        <w:t>consideration</w:t>
      </w:r>
      <w:r w:rsidR="009E6274" w:rsidRPr="005C138C">
        <w:t>s</w:t>
      </w:r>
      <w:r w:rsidR="00B84400" w:rsidRPr="005C138C">
        <w:t xml:space="preserve"> of </w:t>
      </w:r>
      <w:r w:rsidR="006A0713" w:rsidRPr="005C138C">
        <w:t xml:space="preserve">the </w:t>
      </w:r>
      <w:r w:rsidR="00B84400" w:rsidRPr="005C138C">
        <w:t xml:space="preserve">pending amendment proposals submitted by GRE to the March 2017 session of WP.29 with the aim to consolidate the existing Regulations before their freezing and superseding by the three new Regulations that are being drafted.        </w:t>
      </w:r>
      <w:r w:rsidR="006A0713" w:rsidRPr="005C138C">
        <w:t xml:space="preserve"> </w:t>
      </w:r>
    </w:p>
    <w:p w:rsidR="006C5F6F" w:rsidRPr="005C138C" w:rsidRDefault="00B84400" w:rsidP="00B84400">
      <w:pPr>
        <w:pStyle w:val="SingleTxtG"/>
        <w:ind w:firstLine="567"/>
      </w:pPr>
      <w:r w:rsidRPr="005C138C">
        <w:t xml:space="preserve">GRE will also note the progress of the Informal Working Group "Simplification of the Lighting and Light-Signalling Regulations" (IWG SLR) and will consider any proposals prepared by </w:t>
      </w:r>
      <w:r w:rsidR="009E6274" w:rsidRPr="005C138C">
        <w:t>IWG SLR</w:t>
      </w:r>
      <w:r w:rsidRPr="005C138C">
        <w:t xml:space="preserve">. </w:t>
      </w:r>
      <w:r w:rsidR="00A97A13">
        <w:t xml:space="preserve">In particular, IWG SLR </w:t>
      </w:r>
      <w:proofErr w:type="gramStart"/>
      <w:r w:rsidR="00A97A13">
        <w:t>is expected</w:t>
      </w:r>
      <w:proofErr w:type="gramEnd"/>
      <w:r w:rsidR="00A97A13">
        <w:t xml:space="preserve"> to present its initial plans for stage 2 of the simplification process. GRE experts </w:t>
      </w:r>
      <w:proofErr w:type="gramStart"/>
      <w:r w:rsidR="00A97A13">
        <w:t>will be invited</w:t>
      </w:r>
      <w:proofErr w:type="gramEnd"/>
      <w:r w:rsidR="00A97A13">
        <w:t xml:space="preserve"> to provide their views on this issue.   </w:t>
      </w:r>
    </w:p>
    <w:p w:rsidR="00717ADD" w:rsidRPr="005C138C" w:rsidRDefault="00717ADD" w:rsidP="00717ADD">
      <w:pPr>
        <w:pStyle w:val="H1G"/>
      </w:pPr>
      <w:r w:rsidRPr="005C138C">
        <w:tab/>
        <w:t>5.</w:t>
      </w:r>
      <w:r w:rsidRPr="005C138C">
        <w:tab/>
      </w:r>
      <w:r w:rsidRPr="005C138C">
        <w:rPr>
          <w:color w:val="000000"/>
        </w:rPr>
        <w:t>Regulation</w:t>
      </w:r>
      <w:r w:rsidR="006E27B9" w:rsidRPr="005C138C">
        <w:rPr>
          <w:color w:val="000000"/>
        </w:rPr>
        <w:t>s</w:t>
      </w:r>
      <w:r w:rsidRPr="005C138C">
        <w:rPr>
          <w:color w:val="000000"/>
        </w:rPr>
        <w:t xml:space="preserve"> Nos. 37 (Filament lamps), 99 (Gas discharge light sources)</w:t>
      </w:r>
      <w:r w:rsidR="002C256C" w:rsidRPr="005C138C">
        <w:rPr>
          <w:color w:val="000000"/>
        </w:rPr>
        <w:t xml:space="preserve">, </w:t>
      </w:r>
      <w:r w:rsidRPr="005C138C">
        <w:rPr>
          <w:color w:val="000000"/>
        </w:rPr>
        <w:t>128 (Light emitting diodes light sources)</w:t>
      </w:r>
      <w:r w:rsidR="002C256C" w:rsidRPr="005C138C">
        <w:rPr>
          <w:color w:val="000000"/>
        </w:rPr>
        <w:t xml:space="preserve"> and the </w:t>
      </w:r>
      <w:r w:rsidR="002C256C" w:rsidRPr="005C138C">
        <w:t>Consolidated Resolution on the common specification of light source categories</w:t>
      </w:r>
    </w:p>
    <w:p w:rsidR="00440A8F" w:rsidRPr="005C138C" w:rsidRDefault="00717ADD" w:rsidP="00B84400">
      <w:pPr>
        <w:pStyle w:val="SingleTxtG"/>
        <w:ind w:firstLine="567"/>
      </w:pPr>
      <w:r w:rsidRPr="005C138C">
        <w:t>GRE</w:t>
      </w:r>
      <w:r w:rsidR="00B84400" w:rsidRPr="005C138C">
        <w:t xml:space="preserve"> </w:t>
      </w:r>
      <w:proofErr w:type="gramStart"/>
      <w:r w:rsidR="00B84400" w:rsidRPr="005C138C">
        <w:t>will be informed</w:t>
      </w:r>
      <w:proofErr w:type="gramEnd"/>
      <w:r w:rsidR="00B84400" w:rsidRPr="005C138C">
        <w:t xml:space="preserve"> that</w:t>
      </w:r>
      <w:r w:rsidR="005400CD" w:rsidRPr="005C138C">
        <w:t xml:space="preserve"> WP.29, at its November 2016 session, </w:t>
      </w:r>
      <w:r w:rsidR="00440A8F" w:rsidRPr="005C138C">
        <w:t>a</w:t>
      </w:r>
      <w:r w:rsidR="005400CD" w:rsidRPr="005C138C">
        <w:t>dopted</w:t>
      </w:r>
      <w:r w:rsidR="00440A8F" w:rsidRPr="005C138C">
        <w:t xml:space="preserve"> the </w:t>
      </w:r>
      <w:r w:rsidR="00B84400" w:rsidRPr="005C138C">
        <w:t>Consolidated Resolution on the common specification of light source categories (ECE/TRANS/WP.29/2016/111)</w:t>
      </w:r>
      <w:r w:rsidR="00440A8F" w:rsidRPr="005C138C">
        <w:t xml:space="preserve"> and </w:t>
      </w:r>
      <w:r w:rsidR="00B84400" w:rsidRPr="005C138C">
        <w:t>assigned</w:t>
      </w:r>
      <w:r w:rsidR="00440A8F" w:rsidRPr="005C138C">
        <w:t xml:space="preserve"> it</w:t>
      </w:r>
      <w:r w:rsidR="00B84400" w:rsidRPr="005C138C">
        <w:t xml:space="preserve"> number R.E.5. </w:t>
      </w:r>
      <w:r w:rsidR="00440A8F" w:rsidRPr="005C138C">
        <w:t xml:space="preserve">This </w:t>
      </w:r>
      <w:r w:rsidR="00B84400" w:rsidRPr="005C138C">
        <w:t xml:space="preserve">Resolution </w:t>
      </w:r>
      <w:r w:rsidR="00440A8F" w:rsidRPr="005C138C">
        <w:t>will enter i</w:t>
      </w:r>
      <w:r w:rsidR="00B84400" w:rsidRPr="005C138C">
        <w:t xml:space="preserve">nto force on the same date </w:t>
      </w:r>
      <w:r w:rsidR="00440A8F" w:rsidRPr="005C138C">
        <w:t xml:space="preserve">with the corresponding amendments to </w:t>
      </w:r>
      <w:r w:rsidR="00B84400" w:rsidRPr="005C138C">
        <w:t>Regulation</w:t>
      </w:r>
      <w:r w:rsidR="00440A8F" w:rsidRPr="005C138C">
        <w:t>s</w:t>
      </w:r>
      <w:r w:rsidR="00B84400" w:rsidRPr="005C138C">
        <w:t xml:space="preserve"> No</w:t>
      </w:r>
      <w:r w:rsidR="00440A8F" w:rsidRPr="005C138C">
        <w:t>s</w:t>
      </w:r>
      <w:r w:rsidR="00B84400" w:rsidRPr="005C138C">
        <w:t>. 37</w:t>
      </w:r>
      <w:r w:rsidR="00440A8F" w:rsidRPr="005C138C">
        <w:t xml:space="preserve">, 99 and 128.  </w:t>
      </w:r>
    </w:p>
    <w:p w:rsidR="005400CD" w:rsidRPr="005C138C" w:rsidRDefault="005400CD" w:rsidP="00440A8F">
      <w:pPr>
        <w:pStyle w:val="SingleTxtG"/>
      </w:pPr>
      <w:proofErr w:type="gramStart"/>
      <w:r w:rsidRPr="005C138C">
        <w:rPr>
          <w:b/>
        </w:rPr>
        <w:t>Documentation:</w:t>
      </w:r>
      <w:r w:rsidRPr="005C138C">
        <w:t xml:space="preserve"> ECE/TRANS/WP.29/2016/111</w:t>
      </w:r>
      <w:r w:rsidR="00440A8F" w:rsidRPr="005C138C">
        <w:t xml:space="preserve"> and ECE/TRANS/WP.29/1126, para.</w:t>
      </w:r>
      <w:proofErr w:type="gramEnd"/>
      <w:r w:rsidR="00440A8F" w:rsidRPr="005C138C">
        <w:t xml:space="preserve"> 99 </w:t>
      </w:r>
    </w:p>
    <w:p w:rsidR="00391F9A" w:rsidRPr="005C138C" w:rsidRDefault="00D0446E" w:rsidP="00235485">
      <w:pPr>
        <w:pStyle w:val="SingleTxtG"/>
        <w:ind w:firstLine="567"/>
        <w:rPr>
          <w:szCs w:val="24"/>
        </w:rPr>
      </w:pPr>
      <w:proofErr w:type="gramStart"/>
      <w:r w:rsidRPr="005C138C">
        <w:t xml:space="preserve">GRE </w:t>
      </w:r>
      <w:r w:rsidR="00391F9A" w:rsidRPr="005C138C">
        <w:t xml:space="preserve">will </w:t>
      </w:r>
      <w:r w:rsidR="00717ADD" w:rsidRPr="005C138C">
        <w:t>consider proposal</w:t>
      </w:r>
      <w:r w:rsidR="00391F9A" w:rsidRPr="005C138C">
        <w:t>s</w:t>
      </w:r>
      <w:r w:rsidRPr="005C138C">
        <w:t xml:space="preserve"> for amendments to Regulation No. 128</w:t>
      </w:r>
      <w:r w:rsidR="00391F9A" w:rsidRPr="005C138C">
        <w:t xml:space="preserve"> and </w:t>
      </w:r>
      <w:r w:rsidR="00391F9A" w:rsidRPr="005C138C">
        <w:rPr>
          <w:szCs w:val="24"/>
        </w:rPr>
        <w:t xml:space="preserve">to the Consolidated Resolution </w:t>
      </w:r>
      <w:r w:rsidR="009E6274" w:rsidRPr="005C138C">
        <w:rPr>
          <w:szCs w:val="24"/>
        </w:rPr>
        <w:t>(</w:t>
      </w:r>
      <w:r w:rsidR="00391F9A" w:rsidRPr="005C138C">
        <w:rPr>
          <w:szCs w:val="24"/>
        </w:rPr>
        <w:t>R.E.5</w:t>
      </w:r>
      <w:r w:rsidR="009E6274" w:rsidRPr="005C138C">
        <w:rPr>
          <w:szCs w:val="24"/>
        </w:rPr>
        <w:t>)</w:t>
      </w:r>
      <w:r w:rsidR="00391F9A" w:rsidRPr="005C138C">
        <w:rPr>
          <w:szCs w:val="24"/>
        </w:rPr>
        <w:t xml:space="preserve"> </w:t>
      </w:r>
      <w:r w:rsidR="00717ADD" w:rsidRPr="005C138C">
        <w:rPr>
          <w:color w:val="000000"/>
        </w:rPr>
        <w:t>by the expert from</w:t>
      </w:r>
      <w:r w:rsidRPr="005C138C">
        <w:t xml:space="preserve"> t</w:t>
      </w:r>
      <w:r w:rsidRPr="005C138C">
        <w:rPr>
          <w:color w:val="000000"/>
        </w:rPr>
        <w:t xml:space="preserve">he International Automotive Lighting and Light Signalling Expert Group (GTB) </w:t>
      </w:r>
      <w:r w:rsidR="00E6039E">
        <w:rPr>
          <w:szCs w:val="24"/>
        </w:rPr>
        <w:t>which</w:t>
      </w:r>
      <w:r w:rsidR="00E6039E" w:rsidRPr="005C138C">
        <w:rPr>
          <w:szCs w:val="24"/>
        </w:rPr>
        <w:t xml:space="preserve"> </w:t>
      </w:r>
      <w:r w:rsidR="002C256C" w:rsidRPr="005C138C">
        <w:rPr>
          <w:szCs w:val="24"/>
        </w:rPr>
        <w:t xml:space="preserve">introduce requirements and test specifications </w:t>
      </w:r>
      <w:r w:rsidRPr="005C138C">
        <w:rPr>
          <w:szCs w:val="24"/>
        </w:rPr>
        <w:t>for light emitting diode (</w:t>
      </w:r>
      <w:r w:rsidR="002C256C" w:rsidRPr="005C138C">
        <w:rPr>
          <w:szCs w:val="24"/>
        </w:rPr>
        <w:t>LED</w:t>
      </w:r>
      <w:r w:rsidRPr="005C138C">
        <w:rPr>
          <w:szCs w:val="24"/>
        </w:rPr>
        <w:t>)</w:t>
      </w:r>
      <w:r w:rsidR="002C256C" w:rsidRPr="005C138C">
        <w:rPr>
          <w:szCs w:val="24"/>
        </w:rPr>
        <w:t xml:space="preserve"> substitute light sources</w:t>
      </w:r>
      <w:r w:rsidR="00391F9A" w:rsidRPr="005C138C">
        <w:rPr>
          <w:szCs w:val="24"/>
        </w:rPr>
        <w:t xml:space="preserve"> as well as </w:t>
      </w:r>
      <w:r w:rsidR="009E6274" w:rsidRPr="005C138C">
        <w:rPr>
          <w:szCs w:val="24"/>
        </w:rPr>
        <w:t xml:space="preserve">several </w:t>
      </w:r>
      <w:r w:rsidRPr="005C138C">
        <w:rPr>
          <w:szCs w:val="24"/>
        </w:rPr>
        <w:t>new LED substitute light source categories</w:t>
      </w:r>
      <w:r w:rsidR="00235485" w:rsidRPr="005C138C">
        <w:rPr>
          <w:szCs w:val="24"/>
        </w:rPr>
        <w:t xml:space="preserve"> (ECE/TRANS/WP.29/GRE/2017/2 and ECE/TRANS/WP.29/GRE/2017/3)</w:t>
      </w:r>
      <w:r w:rsidRPr="005C138C">
        <w:rPr>
          <w:szCs w:val="24"/>
        </w:rPr>
        <w:t>.</w:t>
      </w:r>
      <w:proofErr w:type="gramEnd"/>
      <w:r w:rsidR="00235485" w:rsidRPr="005C138C">
        <w:rPr>
          <w:szCs w:val="24"/>
        </w:rPr>
        <w:t xml:space="preserve"> These proposals </w:t>
      </w:r>
      <w:proofErr w:type="gramStart"/>
      <w:r w:rsidR="00235485" w:rsidRPr="005C138C">
        <w:rPr>
          <w:szCs w:val="24"/>
        </w:rPr>
        <w:t>should be considered</w:t>
      </w:r>
      <w:proofErr w:type="gramEnd"/>
      <w:r w:rsidR="00235485" w:rsidRPr="005C138C">
        <w:rPr>
          <w:szCs w:val="24"/>
        </w:rPr>
        <w:t xml:space="preserve"> in conjunction with collective proposal</w:t>
      </w:r>
      <w:r w:rsidR="006131C3" w:rsidRPr="005C138C">
        <w:rPr>
          <w:szCs w:val="24"/>
        </w:rPr>
        <w:t>s</w:t>
      </w:r>
      <w:r w:rsidR="00235485" w:rsidRPr="005C138C">
        <w:rPr>
          <w:szCs w:val="24"/>
        </w:rPr>
        <w:t xml:space="preserve"> to amend Regulations Nos. 48, 53, 74, 86 with </w:t>
      </w:r>
      <w:r w:rsidR="006131C3" w:rsidRPr="005C138C">
        <w:rPr>
          <w:szCs w:val="24"/>
        </w:rPr>
        <w:t xml:space="preserve">the </w:t>
      </w:r>
      <w:r w:rsidR="00235485" w:rsidRPr="005C138C">
        <w:rPr>
          <w:szCs w:val="24"/>
        </w:rPr>
        <w:t>requirements for LED substitute light sources (ECE/TRANS/WP.29/GRE/2017/4).</w:t>
      </w:r>
    </w:p>
    <w:p w:rsidR="00B71657" w:rsidRPr="005C138C" w:rsidRDefault="00B71657" w:rsidP="00B71657">
      <w:pPr>
        <w:spacing w:after="120"/>
        <w:ind w:left="2835" w:right="1134" w:hanging="1701"/>
      </w:pPr>
      <w:r w:rsidRPr="005C138C">
        <w:rPr>
          <w:b/>
        </w:rPr>
        <w:t>Documentation:</w:t>
      </w:r>
      <w:r w:rsidRPr="005C138C">
        <w:t xml:space="preserve"> </w:t>
      </w:r>
      <w:r w:rsidRPr="005C138C">
        <w:tab/>
        <w:t xml:space="preserve">ECE/TRANS/WP.29/GRE/2017/2, </w:t>
      </w:r>
      <w:r w:rsidRPr="005C138C">
        <w:rPr>
          <w:szCs w:val="24"/>
        </w:rPr>
        <w:t xml:space="preserve">ECE/TRANS/WP.29/GRE/2017/3, </w:t>
      </w:r>
      <w:r w:rsidR="00235485" w:rsidRPr="005C138C">
        <w:rPr>
          <w:szCs w:val="24"/>
        </w:rPr>
        <w:t xml:space="preserve">ECE/TRANS/WP.29/GRE/2017/4, </w:t>
      </w:r>
      <w:r w:rsidRPr="005C138C">
        <w:rPr>
          <w:szCs w:val="24"/>
        </w:rPr>
        <w:t xml:space="preserve">Informal documents GRE-77-02 and GRE-77-03 </w:t>
      </w:r>
    </w:p>
    <w:p w:rsidR="00D0446E" w:rsidRPr="005C138C" w:rsidRDefault="00D0446E" w:rsidP="00CE652D">
      <w:pPr>
        <w:pStyle w:val="SingleTxtG"/>
        <w:ind w:firstLine="567"/>
        <w:rPr>
          <w:szCs w:val="24"/>
        </w:rPr>
      </w:pPr>
      <w:r w:rsidRPr="005C138C">
        <w:rPr>
          <w:szCs w:val="24"/>
        </w:rPr>
        <w:t xml:space="preserve">GRE </w:t>
      </w:r>
      <w:r w:rsidR="00391F9A" w:rsidRPr="005C138C">
        <w:rPr>
          <w:szCs w:val="24"/>
        </w:rPr>
        <w:t xml:space="preserve">is </w:t>
      </w:r>
      <w:r w:rsidR="009E6274" w:rsidRPr="005C138C">
        <w:rPr>
          <w:szCs w:val="24"/>
        </w:rPr>
        <w:t xml:space="preserve">also </w:t>
      </w:r>
      <w:r w:rsidR="00391F9A" w:rsidRPr="005C138C">
        <w:rPr>
          <w:szCs w:val="24"/>
        </w:rPr>
        <w:t xml:space="preserve">invited to </w:t>
      </w:r>
      <w:r w:rsidRPr="005C138C">
        <w:rPr>
          <w:szCs w:val="24"/>
        </w:rPr>
        <w:t>consider proposal</w:t>
      </w:r>
      <w:r w:rsidR="00391F9A" w:rsidRPr="005C138C">
        <w:rPr>
          <w:szCs w:val="24"/>
        </w:rPr>
        <w:t>s</w:t>
      </w:r>
      <w:r w:rsidRPr="005C138C">
        <w:rPr>
          <w:szCs w:val="24"/>
        </w:rPr>
        <w:t xml:space="preserve"> for amendment</w:t>
      </w:r>
      <w:r w:rsidR="00391F9A" w:rsidRPr="005C138C">
        <w:rPr>
          <w:szCs w:val="24"/>
        </w:rPr>
        <w:t>s</w:t>
      </w:r>
      <w:r w:rsidRPr="005C138C">
        <w:rPr>
          <w:szCs w:val="24"/>
        </w:rPr>
        <w:t xml:space="preserve"> to Regulation No. 128 </w:t>
      </w:r>
      <w:r w:rsidR="00391F9A" w:rsidRPr="005C138C">
        <w:rPr>
          <w:szCs w:val="24"/>
        </w:rPr>
        <w:t xml:space="preserve">and to the Consolidated Resolution </w:t>
      </w:r>
      <w:r w:rsidR="009E6274" w:rsidRPr="005C138C">
        <w:rPr>
          <w:szCs w:val="24"/>
        </w:rPr>
        <w:t>(</w:t>
      </w:r>
      <w:r w:rsidR="00391F9A" w:rsidRPr="005C138C">
        <w:rPr>
          <w:szCs w:val="24"/>
        </w:rPr>
        <w:t>R.E.5</w:t>
      </w:r>
      <w:r w:rsidR="009E6274" w:rsidRPr="005C138C">
        <w:rPr>
          <w:szCs w:val="24"/>
        </w:rPr>
        <w:t>)</w:t>
      </w:r>
      <w:r w:rsidR="00391F9A" w:rsidRPr="005C138C">
        <w:rPr>
          <w:szCs w:val="24"/>
        </w:rPr>
        <w:t xml:space="preserve"> </w:t>
      </w:r>
      <w:r w:rsidRPr="005C138C">
        <w:rPr>
          <w:szCs w:val="24"/>
        </w:rPr>
        <w:t xml:space="preserve">by the expert from </w:t>
      </w:r>
      <w:proofErr w:type="gramStart"/>
      <w:r w:rsidRPr="005C138C">
        <w:rPr>
          <w:szCs w:val="24"/>
        </w:rPr>
        <w:t xml:space="preserve">GTB </w:t>
      </w:r>
      <w:r w:rsidR="00E6039E">
        <w:rPr>
          <w:szCs w:val="24"/>
        </w:rPr>
        <w:t>which</w:t>
      </w:r>
      <w:proofErr w:type="gramEnd"/>
      <w:r w:rsidR="00E6039E" w:rsidRPr="005C138C">
        <w:rPr>
          <w:szCs w:val="24"/>
        </w:rPr>
        <w:t xml:space="preserve"> </w:t>
      </w:r>
      <w:r w:rsidRPr="005C138C">
        <w:rPr>
          <w:szCs w:val="24"/>
        </w:rPr>
        <w:t xml:space="preserve">introduce requirements and test specifications for LED forward lighting light sources </w:t>
      </w:r>
      <w:r w:rsidR="00391F9A" w:rsidRPr="005C138C">
        <w:rPr>
          <w:szCs w:val="24"/>
        </w:rPr>
        <w:t xml:space="preserve">and </w:t>
      </w:r>
      <w:r w:rsidR="00CE652D" w:rsidRPr="005C138C">
        <w:rPr>
          <w:szCs w:val="24"/>
        </w:rPr>
        <w:t xml:space="preserve">a new LED forward lighting light source category L1.  </w:t>
      </w:r>
    </w:p>
    <w:p w:rsidR="00B71657" w:rsidRPr="00C9798A" w:rsidRDefault="00B71657" w:rsidP="00B71657">
      <w:pPr>
        <w:spacing w:after="120"/>
        <w:ind w:left="2835" w:right="1134" w:hanging="1701"/>
        <w:rPr>
          <w:lang w:val="fr-FR"/>
        </w:rPr>
      </w:pPr>
      <w:proofErr w:type="gramStart"/>
      <w:r w:rsidRPr="00C9798A">
        <w:rPr>
          <w:b/>
          <w:lang w:val="fr-FR"/>
        </w:rPr>
        <w:t>Documentation:</w:t>
      </w:r>
      <w:proofErr w:type="gramEnd"/>
      <w:r w:rsidRPr="00C9798A">
        <w:rPr>
          <w:lang w:val="fr-FR"/>
        </w:rPr>
        <w:t xml:space="preserve"> </w:t>
      </w:r>
      <w:r w:rsidRPr="00C9798A">
        <w:rPr>
          <w:lang w:val="fr-FR"/>
        </w:rPr>
        <w:tab/>
        <w:t xml:space="preserve">ECE/TRANS/WP.29/GRE/2017/5, </w:t>
      </w:r>
      <w:r w:rsidRPr="00C9798A">
        <w:rPr>
          <w:szCs w:val="24"/>
          <w:lang w:val="fr-FR"/>
        </w:rPr>
        <w:t xml:space="preserve">ECE/TRANS/WP.29/GRE/2017/6, Informal document GRE-77-04 </w:t>
      </w:r>
    </w:p>
    <w:p w:rsidR="00717ADD" w:rsidRPr="005C138C" w:rsidRDefault="00717ADD" w:rsidP="00717ADD">
      <w:pPr>
        <w:pStyle w:val="H1G"/>
        <w:rPr>
          <w:color w:val="000000"/>
        </w:rPr>
      </w:pPr>
      <w:r w:rsidRPr="00C9798A">
        <w:rPr>
          <w:lang w:val="fr-FR"/>
        </w:rPr>
        <w:lastRenderedPageBreak/>
        <w:tab/>
      </w:r>
      <w:r w:rsidRPr="005C138C">
        <w:t>6.</w:t>
      </w:r>
      <w:r w:rsidRPr="005C138C">
        <w:tab/>
      </w:r>
      <w:r w:rsidRPr="005C138C">
        <w:rPr>
          <w:color w:val="000000"/>
        </w:rPr>
        <w:t>Regulation No. 48 (Installation of lighting and light-signalling devices)</w:t>
      </w:r>
    </w:p>
    <w:p w:rsidR="00717ADD" w:rsidRPr="005C138C" w:rsidRDefault="00717ADD" w:rsidP="00717ADD">
      <w:pPr>
        <w:pStyle w:val="H23G"/>
        <w:rPr>
          <w:color w:val="000000"/>
        </w:rPr>
      </w:pPr>
      <w:r w:rsidRPr="005C138C">
        <w:rPr>
          <w:color w:val="000000"/>
        </w:rPr>
        <w:tab/>
        <w:t>(a)</w:t>
      </w:r>
      <w:r w:rsidRPr="005C138C">
        <w:rPr>
          <w:color w:val="000000"/>
        </w:rPr>
        <w:tab/>
        <w:t xml:space="preserve">Proposals for amendments to the 05 and 06 series of amendments </w:t>
      </w:r>
    </w:p>
    <w:p w:rsidR="00827A26" w:rsidRPr="005C138C" w:rsidRDefault="005445AD" w:rsidP="00D31B0F">
      <w:pPr>
        <w:pStyle w:val="SingleTxtG"/>
        <w:ind w:firstLine="567"/>
        <w:rPr>
          <w:color w:val="000000"/>
        </w:rPr>
      </w:pPr>
      <w:r w:rsidRPr="005C138C">
        <w:rPr>
          <w:color w:val="000000"/>
        </w:rPr>
        <w:t xml:space="preserve">At its previous session, </w:t>
      </w:r>
      <w:r w:rsidR="00CD2D8F" w:rsidRPr="005C138C">
        <w:rPr>
          <w:color w:val="000000"/>
        </w:rPr>
        <w:t>G</w:t>
      </w:r>
      <w:r w:rsidR="00D31B0F" w:rsidRPr="005C138C">
        <w:rPr>
          <w:color w:val="000000"/>
        </w:rPr>
        <w:t xml:space="preserve">RE </w:t>
      </w:r>
      <w:r w:rsidR="00E6039E">
        <w:rPr>
          <w:color w:val="000000"/>
        </w:rPr>
        <w:t xml:space="preserve">had </w:t>
      </w:r>
      <w:r w:rsidRPr="005C138C">
        <w:rPr>
          <w:color w:val="000000"/>
        </w:rPr>
        <w:t xml:space="preserve">decided to postpone </w:t>
      </w:r>
      <w:r w:rsidR="00D31B0F" w:rsidRPr="005C138C">
        <w:rPr>
          <w:color w:val="000000"/>
        </w:rPr>
        <w:t>consider</w:t>
      </w:r>
      <w:r w:rsidRPr="005C138C">
        <w:rPr>
          <w:color w:val="000000"/>
        </w:rPr>
        <w:t xml:space="preserve">ation of </w:t>
      </w:r>
      <w:r w:rsidR="00D31B0F" w:rsidRPr="005C138C">
        <w:rPr>
          <w:color w:val="000000"/>
        </w:rPr>
        <w:t xml:space="preserve">a proposal </w:t>
      </w:r>
      <w:r w:rsidR="00FF564A" w:rsidRPr="005C138C">
        <w:rPr>
          <w:color w:val="000000"/>
        </w:rPr>
        <w:t xml:space="preserve">by the expert from </w:t>
      </w:r>
      <w:proofErr w:type="gramStart"/>
      <w:r w:rsidR="00FF564A" w:rsidRPr="005C138C">
        <w:rPr>
          <w:color w:val="000000"/>
        </w:rPr>
        <w:t xml:space="preserve">GTB </w:t>
      </w:r>
      <w:r w:rsidR="00E6039E">
        <w:rPr>
          <w:color w:val="000000"/>
        </w:rPr>
        <w:t>which</w:t>
      </w:r>
      <w:proofErr w:type="gramEnd"/>
      <w:r w:rsidR="00E6039E" w:rsidRPr="005C138C">
        <w:rPr>
          <w:color w:val="000000"/>
        </w:rPr>
        <w:t xml:space="preserve"> clarif</w:t>
      </w:r>
      <w:r w:rsidR="00E6039E">
        <w:rPr>
          <w:color w:val="000000"/>
        </w:rPr>
        <w:t>ies</w:t>
      </w:r>
      <w:r w:rsidR="00E6039E" w:rsidRPr="005C138C">
        <w:rPr>
          <w:color w:val="000000"/>
        </w:rPr>
        <w:t xml:space="preserve"> </w:t>
      </w:r>
      <w:r w:rsidR="00FF564A" w:rsidRPr="005C138C">
        <w:rPr>
          <w:color w:val="000000"/>
        </w:rPr>
        <w:t>inconsistencies</w:t>
      </w:r>
      <w:r w:rsidRPr="005C138C">
        <w:rPr>
          <w:color w:val="000000"/>
        </w:rPr>
        <w:t xml:space="preserve"> and </w:t>
      </w:r>
      <w:r w:rsidR="00FF564A" w:rsidRPr="005C138C">
        <w:rPr>
          <w:color w:val="000000"/>
        </w:rPr>
        <w:t>correct</w:t>
      </w:r>
      <w:r w:rsidR="00E6039E">
        <w:rPr>
          <w:color w:val="000000"/>
        </w:rPr>
        <w:t>s</w:t>
      </w:r>
      <w:r w:rsidR="00FF564A" w:rsidRPr="005C138C">
        <w:rPr>
          <w:color w:val="000000"/>
        </w:rPr>
        <w:t xml:space="preserve"> the terminology in Regulation No. 48</w:t>
      </w:r>
      <w:r w:rsidRPr="005C138C">
        <w:rPr>
          <w:color w:val="000000"/>
        </w:rPr>
        <w:t xml:space="preserve">. </w:t>
      </w:r>
      <w:r w:rsidR="00FF564A" w:rsidRPr="005C138C">
        <w:rPr>
          <w:color w:val="000000"/>
        </w:rPr>
        <w:t xml:space="preserve"> </w:t>
      </w:r>
    </w:p>
    <w:p w:rsidR="00827A26" w:rsidRPr="00C9798A" w:rsidRDefault="00D31B0F" w:rsidP="00717ADD">
      <w:pPr>
        <w:pStyle w:val="SingleTxtG"/>
        <w:rPr>
          <w:color w:val="000000"/>
          <w:lang w:val="fr-FR"/>
        </w:rPr>
      </w:pPr>
      <w:proofErr w:type="gramStart"/>
      <w:r w:rsidRPr="00C9798A">
        <w:rPr>
          <w:b/>
          <w:color w:val="000000"/>
          <w:lang w:val="fr-FR"/>
        </w:rPr>
        <w:t>Documentation:</w:t>
      </w:r>
      <w:proofErr w:type="gramEnd"/>
      <w:r w:rsidRPr="00C9798A">
        <w:rPr>
          <w:color w:val="000000"/>
          <w:lang w:val="fr-FR"/>
        </w:rPr>
        <w:tab/>
        <w:t>ECE/TRANS/WP.29/GRE/</w:t>
      </w:r>
      <w:r w:rsidR="00A46CEF" w:rsidRPr="00C9798A">
        <w:rPr>
          <w:color w:val="000000"/>
          <w:lang w:val="fr-FR"/>
        </w:rPr>
        <w:t>2016</w:t>
      </w:r>
      <w:r w:rsidRPr="00C9798A">
        <w:rPr>
          <w:color w:val="000000"/>
          <w:lang w:val="fr-FR"/>
        </w:rPr>
        <w:t>/</w:t>
      </w:r>
      <w:r w:rsidR="00FF564A" w:rsidRPr="00C9798A">
        <w:rPr>
          <w:color w:val="000000"/>
          <w:lang w:val="fr-FR"/>
        </w:rPr>
        <w:t>24</w:t>
      </w:r>
      <w:r w:rsidRPr="00C9798A">
        <w:rPr>
          <w:color w:val="000000"/>
          <w:lang w:val="fr-FR"/>
        </w:rPr>
        <w:t xml:space="preserve">   </w:t>
      </w:r>
    </w:p>
    <w:p w:rsidR="005445AD" w:rsidRPr="005C138C" w:rsidRDefault="00CD2D8F" w:rsidP="00CD2D8F">
      <w:pPr>
        <w:pStyle w:val="SingleTxtG"/>
        <w:ind w:firstLine="567"/>
        <w:rPr>
          <w:color w:val="000000"/>
        </w:rPr>
      </w:pPr>
      <w:r w:rsidRPr="005C138C">
        <w:rPr>
          <w:color w:val="000000"/>
        </w:rPr>
        <w:t>GRE will</w:t>
      </w:r>
      <w:r w:rsidR="005445AD" w:rsidRPr="005C138C">
        <w:rPr>
          <w:color w:val="000000"/>
        </w:rPr>
        <w:t xml:space="preserve"> revert to the </w:t>
      </w:r>
      <w:r w:rsidR="00FF564A" w:rsidRPr="005C138C">
        <w:rPr>
          <w:color w:val="000000"/>
        </w:rPr>
        <w:t xml:space="preserve">amendment </w:t>
      </w:r>
      <w:r w:rsidRPr="005C138C">
        <w:rPr>
          <w:color w:val="000000"/>
        </w:rPr>
        <w:t>proposal</w:t>
      </w:r>
      <w:r w:rsidR="00FF564A" w:rsidRPr="005C138C">
        <w:rPr>
          <w:color w:val="000000"/>
        </w:rPr>
        <w:t>s</w:t>
      </w:r>
      <w:r w:rsidRPr="005C138C">
        <w:rPr>
          <w:color w:val="000000"/>
        </w:rPr>
        <w:t xml:space="preserve"> </w:t>
      </w:r>
      <w:r w:rsidR="005445AD" w:rsidRPr="005C138C">
        <w:rPr>
          <w:color w:val="000000"/>
        </w:rPr>
        <w:t>on external status indicators</w:t>
      </w:r>
      <w:r w:rsidR="009E6274" w:rsidRPr="005C138C">
        <w:rPr>
          <w:color w:val="000000"/>
        </w:rPr>
        <w:t xml:space="preserve">, as contained in </w:t>
      </w:r>
      <w:r w:rsidR="005445AD" w:rsidRPr="005C138C">
        <w:rPr>
          <w:color w:val="000000"/>
        </w:rPr>
        <w:t>Regulations Nos. 97 and 116</w:t>
      </w:r>
      <w:r w:rsidR="009E6274" w:rsidRPr="005C138C">
        <w:rPr>
          <w:color w:val="000000"/>
        </w:rPr>
        <w:t xml:space="preserve">, </w:t>
      </w:r>
      <w:r w:rsidR="00FF564A" w:rsidRPr="005C138C">
        <w:rPr>
          <w:color w:val="000000"/>
        </w:rPr>
        <w:t>prepared by the experts from Germany and the International Organization of Motor Vehicle Manufacturers (OICA)</w:t>
      </w:r>
      <w:r w:rsidR="005445AD" w:rsidRPr="005C138C">
        <w:rPr>
          <w:color w:val="000000"/>
        </w:rPr>
        <w:t xml:space="preserve">. </w:t>
      </w:r>
      <w:r w:rsidR="00FF564A" w:rsidRPr="005C138C">
        <w:rPr>
          <w:color w:val="000000"/>
        </w:rPr>
        <w:t xml:space="preserve"> </w:t>
      </w:r>
    </w:p>
    <w:p w:rsidR="00CD2D8F" w:rsidRPr="00C9798A" w:rsidRDefault="00CD2D8F" w:rsidP="00717ADD">
      <w:pPr>
        <w:pStyle w:val="SingleTxtG"/>
        <w:rPr>
          <w:color w:val="000000"/>
          <w:lang w:val="fr-FR"/>
        </w:rPr>
      </w:pPr>
      <w:proofErr w:type="gramStart"/>
      <w:r w:rsidRPr="00C9798A">
        <w:rPr>
          <w:b/>
          <w:color w:val="000000"/>
          <w:lang w:val="fr-FR"/>
        </w:rPr>
        <w:t>Documentation:</w:t>
      </w:r>
      <w:proofErr w:type="gramEnd"/>
      <w:r w:rsidRPr="00C9798A">
        <w:rPr>
          <w:color w:val="000000"/>
          <w:lang w:val="fr-FR"/>
        </w:rPr>
        <w:tab/>
        <w:t>ECE/TRANS/WP.29/GRE/2016/</w:t>
      </w:r>
      <w:r w:rsidR="00FF564A" w:rsidRPr="00C9798A">
        <w:rPr>
          <w:color w:val="000000"/>
          <w:lang w:val="fr-FR"/>
        </w:rPr>
        <w:t>33</w:t>
      </w:r>
      <w:r w:rsidR="005445AD" w:rsidRPr="00C9798A">
        <w:rPr>
          <w:color w:val="000000"/>
          <w:lang w:val="fr-FR"/>
        </w:rPr>
        <w:t>, Informal document GRE-76-17</w:t>
      </w:r>
      <w:r w:rsidRPr="00C9798A">
        <w:rPr>
          <w:color w:val="000000"/>
          <w:lang w:val="fr-FR"/>
        </w:rPr>
        <w:t xml:space="preserve">   </w:t>
      </w:r>
    </w:p>
    <w:p w:rsidR="00717ADD" w:rsidRPr="005C138C" w:rsidRDefault="00717ADD" w:rsidP="00717ADD">
      <w:pPr>
        <w:pStyle w:val="H23G"/>
        <w:rPr>
          <w:color w:val="000000"/>
        </w:rPr>
      </w:pPr>
      <w:r w:rsidRPr="00C9798A">
        <w:rPr>
          <w:color w:val="000000"/>
          <w:lang w:val="fr-FR"/>
        </w:rPr>
        <w:tab/>
      </w:r>
      <w:r w:rsidRPr="005C138C">
        <w:rPr>
          <w:color w:val="000000"/>
        </w:rPr>
        <w:t>(b)</w:t>
      </w:r>
      <w:r w:rsidRPr="005C138C">
        <w:rPr>
          <w:color w:val="000000"/>
        </w:rPr>
        <w:tab/>
        <w:t>Other proposals for amendments to Regulation No. 48</w:t>
      </w:r>
    </w:p>
    <w:p w:rsidR="00FC5EBA" w:rsidRPr="005C138C" w:rsidRDefault="00717ADD" w:rsidP="00FC5EBA">
      <w:pPr>
        <w:pStyle w:val="SingleTxtG"/>
        <w:ind w:firstLine="567"/>
        <w:rPr>
          <w:color w:val="000000"/>
        </w:rPr>
      </w:pPr>
      <w:r w:rsidRPr="005C138C">
        <w:t xml:space="preserve">GRE </w:t>
      </w:r>
      <w:proofErr w:type="gramStart"/>
      <w:r w:rsidR="00A36736" w:rsidRPr="005C138C">
        <w:t>will be informed</w:t>
      </w:r>
      <w:proofErr w:type="gramEnd"/>
      <w:r w:rsidR="00A36736" w:rsidRPr="005C138C">
        <w:t xml:space="preserve"> about the activities of </w:t>
      </w:r>
      <w:r w:rsidR="006E27B9" w:rsidRPr="005C138C">
        <w:rPr>
          <w:color w:val="000000"/>
        </w:rPr>
        <w:t>the</w:t>
      </w:r>
      <w:r w:rsidR="00FC5EBA" w:rsidRPr="005C138C">
        <w:rPr>
          <w:color w:val="000000"/>
        </w:rPr>
        <w:t xml:space="preserve"> Informal Working Group on Visibility, Glare and Levelling (IWG VGL)</w:t>
      </w:r>
      <w:r w:rsidR="00A36736" w:rsidRPr="005C138C">
        <w:rPr>
          <w:color w:val="000000"/>
        </w:rPr>
        <w:t xml:space="preserve"> and draft proposals prepared by IWG VGL</w:t>
      </w:r>
      <w:r w:rsidR="00FC5EBA" w:rsidRPr="005C138C">
        <w:rPr>
          <w:color w:val="000000"/>
        </w:rPr>
        <w:t>.</w:t>
      </w:r>
    </w:p>
    <w:p w:rsidR="00717ADD" w:rsidRPr="005C138C" w:rsidRDefault="00717ADD" w:rsidP="00717ADD">
      <w:pPr>
        <w:pStyle w:val="SingleTxtG"/>
      </w:pPr>
      <w:r w:rsidRPr="00267C2E">
        <w:rPr>
          <w:b/>
        </w:rPr>
        <w:t>Documentation:</w:t>
      </w:r>
      <w:r w:rsidRPr="00267C2E">
        <w:t xml:space="preserve"> </w:t>
      </w:r>
      <w:r w:rsidRPr="00267C2E">
        <w:tab/>
        <w:t>ECE/TRANS/WP.29/GRE/</w:t>
      </w:r>
      <w:r w:rsidR="00FC5EBA" w:rsidRPr="00267C2E">
        <w:t>7</w:t>
      </w:r>
      <w:r w:rsidR="005445AD" w:rsidRPr="00267C2E">
        <w:t>6</w:t>
      </w:r>
      <w:r w:rsidR="00797C09" w:rsidRPr="00267C2E">
        <w:t xml:space="preserve">, </w:t>
      </w:r>
      <w:r w:rsidR="00135A0F" w:rsidRPr="00267C2E">
        <w:t xml:space="preserve">para. </w:t>
      </w:r>
      <w:proofErr w:type="gramStart"/>
      <w:r w:rsidR="00135A0F" w:rsidRPr="005C138C">
        <w:t>21</w:t>
      </w:r>
      <w:proofErr w:type="gramEnd"/>
      <w:r w:rsidR="005445AD" w:rsidRPr="005C138C">
        <w:t xml:space="preserve"> and Annex III </w:t>
      </w:r>
      <w:r w:rsidRPr="005C138C">
        <w:t xml:space="preserve"> </w:t>
      </w:r>
    </w:p>
    <w:p w:rsidR="00717ADD" w:rsidRPr="005C138C" w:rsidRDefault="00717ADD" w:rsidP="00717ADD">
      <w:pPr>
        <w:pStyle w:val="H1G"/>
        <w:rPr>
          <w:color w:val="000000"/>
        </w:rPr>
      </w:pPr>
      <w:r w:rsidRPr="005C138C">
        <w:tab/>
        <w:t>7.</w:t>
      </w:r>
      <w:r w:rsidRPr="005C138C">
        <w:tab/>
        <w:t>Other Regulations</w:t>
      </w:r>
    </w:p>
    <w:p w:rsidR="00797C09" w:rsidRPr="005C138C" w:rsidRDefault="00717ADD" w:rsidP="00797C09">
      <w:pPr>
        <w:pStyle w:val="H23G"/>
      </w:pPr>
      <w:r w:rsidRPr="005C138C">
        <w:t xml:space="preserve"> </w:t>
      </w:r>
      <w:r w:rsidRPr="005C138C">
        <w:tab/>
      </w:r>
      <w:r w:rsidR="00797C09" w:rsidRPr="005C138C">
        <w:t>(a)</w:t>
      </w:r>
      <w:r w:rsidR="00797C09" w:rsidRPr="005C138C">
        <w:tab/>
        <w:t>Regulation No. 6 (Direction indicators)</w:t>
      </w:r>
      <w:r w:rsidR="00D81CE3" w:rsidRPr="005C138C">
        <w:t xml:space="preserve"> and Regulation No. 50 (Posi</w:t>
      </w:r>
      <w:r w:rsidR="00EA1865">
        <w:t>tion, stop, direction indicator</w:t>
      </w:r>
      <w:r w:rsidR="00D81CE3" w:rsidRPr="005C138C">
        <w:t xml:space="preserve"> lamps for mopeds and motorcycles)</w:t>
      </w:r>
    </w:p>
    <w:p w:rsidR="00474BFB" w:rsidRPr="005C138C" w:rsidRDefault="00474BFB" w:rsidP="00C52A12">
      <w:pPr>
        <w:pStyle w:val="SingleTxtG"/>
        <w:ind w:firstLine="567"/>
      </w:pPr>
      <w:r w:rsidRPr="005C138C">
        <w:t xml:space="preserve">At its previous session, </w:t>
      </w:r>
      <w:r w:rsidR="00C52A12" w:rsidRPr="005C138C">
        <w:t xml:space="preserve">GRE </w:t>
      </w:r>
      <w:r w:rsidRPr="005C138C">
        <w:t xml:space="preserve">adopted the amendment proposals to Regulations Nos. 6 and 50 </w:t>
      </w:r>
      <w:r w:rsidR="00E6039E">
        <w:t>that</w:t>
      </w:r>
      <w:r w:rsidR="00E6039E" w:rsidRPr="005C138C">
        <w:t xml:space="preserve"> </w:t>
      </w:r>
      <w:r w:rsidR="00C52A12" w:rsidRPr="005C138C">
        <w:t xml:space="preserve">clarify the requirements for direction indicators with sequential activation. </w:t>
      </w:r>
      <w:r w:rsidRPr="005C138C">
        <w:t xml:space="preserve">At the same time, GRE was not in a position to reach consensus on whether or not the proposals would require a new series of amendments and/or transitional provisions and decided to come back to this issue. </w:t>
      </w:r>
    </w:p>
    <w:p w:rsidR="00A36736" w:rsidRPr="005C138C" w:rsidRDefault="00C52A12" w:rsidP="00F300DA">
      <w:pPr>
        <w:pStyle w:val="SingleTxtG"/>
      </w:pPr>
      <w:r w:rsidRPr="00267C2E">
        <w:rPr>
          <w:b/>
        </w:rPr>
        <w:t>Documentation:</w:t>
      </w:r>
      <w:r w:rsidRPr="00267C2E">
        <w:t xml:space="preserve"> </w:t>
      </w:r>
      <w:r w:rsidRPr="00267C2E">
        <w:tab/>
      </w:r>
      <w:r w:rsidR="009F28E9" w:rsidRPr="00267C2E">
        <w:t xml:space="preserve">ECE/TRANS/WP.29/GRE/76, para. </w:t>
      </w:r>
      <w:proofErr w:type="gramStart"/>
      <w:r w:rsidR="009F28E9" w:rsidRPr="005C138C">
        <w:t>22</w:t>
      </w:r>
      <w:proofErr w:type="gramEnd"/>
      <w:r w:rsidR="009F28E9" w:rsidRPr="005C138C">
        <w:t xml:space="preserve"> and Annex IV  </w:t>
      </w:r>
      <w:r w:rsidR="00797C09" w:rsidRPr="005C138C">
        <w:tab/>
      </w:r>
      <w:r w:rsidR="00A36736" w:rsidRPr="005C138C">
        <w:t xml:space="preserve"> </w:t>
      </w:r>
    </w:p>
    <w:p w:rsidR="00717ADD" w:rsidRPr="005C138C" w:rsidRDefault="00717ADD" w:rsidP="00717ADD">
      <w:pPr>
        <w:pStyle w:val="H23G"/>
      </w:pPr>
      <w:r w:rsidRPr="005C138C">
        <w:tab/>
        <w:t>(</w:t>
      </w:r>
      <w:r w:rsidR="006131C3" w:rsidRPr="005C138C">
        <w:t>b</w:t>
      </w:r>
      <w:r w:rsidRPr="005C138C">
        <w:t xml:space="preserve">) </w:t>
      </w:r>
      <w:r w:rsidRPr="005C138C">
        <w:tab/>
        <w:t>Regulation No. 10 (Electromagnetic compatibility)</w:t>
      </w:r>
    </w:p>
    <w:p w:rsidR="0045523B" w:rsidRPr="005C138C" w:rsidRDefault="00E16EFB" w:rsidP="00D81CE3">
      <w:pPr>
        <w:pStyle w:val="SingleTxtG"/>
        <w:ind w:firstLine="567"/>
      </w:pPr>
      <w:r w:rsidRPr="005C138C">
        <w:t>GRE</w:t>
      </w:r>
      <w:r w:rsidR="007166E8" w:rsidRPr="005C138C">
        <w:t xml:space="preserve"> </w:t>
      </w:r>
      <w:proofErr w:type="gramStart"/>
      <w:r w:rsidR="002E2E5F" w:rsidRPr="005C138C">
        <w:t xml:space="preserve">will </w:t>
      </w:r>
      <w:r w:rsidR="007166E8" w:rsidRPr="005C138C">
        <w:t>be informed</w:t>
      </w:r>
      <w:proofErr w:type="gramEnd"/>
      <w:r w:rsidR="007166E8" w:rsidRPr="005C138C">
        <w:t xml:space="preserve"> about the activities of the Task Force on Electromagnetic Compatibility (TF</w:t>
      </w:r>
      <w:r w:rsidR="00345C96" w:rsidRPr="005C138C">
        <w:t xml:space="preserve"> </w:t>
      </w:r>
      <w:r w:rsidR="007166E8" w:rsidRPr="005C138C">
        <w:t>EMC)</w:t>
      </w:r>
      <w:r w:rsidR="00F300DA" w:rsidRPr="005C138C">
        <w:t xml:space="preserve"> and will consider any proposals prepared by TF EMC</w:t>
      </w:r>
      <w:r w:rsidR="007166E8" w:rsidRPr="005C138C">
        <w:t xml:space="preserve">.   </w:t>
      </w:r>
    </w:p>
    <w:p w:rsidR="00D73511" w:rsidRPr="005C138C" w:rsidRDefault="00D73511" w:rsidP="00D73511">
      <w:pPr>
        <w:pStyle w:val="H23G"/>
      </w:pPr>
      <w:r w:rsidRPr="005C138C">
        <w:tab/>
        <w:t>(</w:t>
      </w:r>
      <w:r w:rsidR="006131C3" w:rsidRPr="005C138C">
        <w:t>c</w:t>
      </w:r>
      <w:r w:rsidRPr="005C138C">
        <w:t>)</w:t>
      </w:r>
      <w:r w:rsidRPr="005C138C">
        <w:tab/>
        <w:t>Regulation No. 53 (Installation of lighting and light-signalling devices for L</w:t>
      </w:r>
      <w:r w:rsidRPr="005C138C">
        <w:rPr>
          <w:vertAlign w:val="subscript"/>
        </w:rPr>
        <w:t>3</w:t>
      </w:r>
      <w:r w:rsidRPr="005C138C">
        <w:t xml:space="preserve"> vehicles)</w:t>
      </w:r>
    </w:p>
    <w:p w:rsidR="009D142C" w:rsidRPr="00C9798A" w:rsidRDefault="009A487B" w:rsidP="001717F5">
      <w:pPr>
        <w:spacing w:after="120"/>
        <w:ind w:left="1134" w:right="1134" w:firstLine="567"/>
        <w:jc w:val="both"/>
        <w:rPr>
          <w:lang w:val="fr-FR"/>
        </w:rPr>
      </w:pPr>
      <w:r w:rsidRPr="005C138C">
        <w:t xml:space="preserve">At its previous session, </w:t>
      </w:r>
      <w:r w:rsidR="009D142C" w:rsidRPr="005C138C">
        <w:t>GRE</w:t>
      </w:r>
      <w:r w:rsidR="00E6039E">
        <w:t xml:space="preserve"> had</w:t>
      </w:r>
      <w:r w:rsidRPr="005C138C">
        <w:t xml:space="preserve"> agreed to revert to the</w:t>
      </w:r>
      <w:r w:rsidR="009D142C" w:rsidRPr="005C138C">
        <w:t xml:space="preserve"> proposal for the 03 series of amendments to Regulation No. 53 by the expert from Japan regarding a new requirement for automatic switching from the daytime running lamp to the headlamp</w:t>
      </w:r>
      <w:r w:rsidRPr="005C138C">
        <w:t xml:space="preserve"> (ECE/TRANS/WP.29/GRE/76, para. </w:t>
      </w:r>
      <w:r w:rsidRPr="00C9798A">
        <w:rPr>
          <w:lang w:val="fr-FR"/>
        </w:rPr>
        <w:t>28)</w:t>
      </w:r>
      <w:r w:rsidR="009D142C" w:rsidRPr="00C9798A">
        <w:rPr>
          <w:lang w:val="fr-FR"/>
        </w:rPr>
        <w:t xml:space="preserve">. </w:t>
      </w:r>
    </w:p>
    <w:p w:rsidR="001717F5" w:rsidRPr="00C9798A" w:rsidRDefault="001717F5" w:rsidP="009A487B">
      <w:pPr>
        <w:spacing w:after="120"/>
        <w:ind w:left="2835" w:right="1134" w:hanging="1701"/>
        <w:jc w:val="both"/>
        <w:rPr>
          <w:lang w:val="fr-FR"/>
        </w:rPr>
      </w:pPr>
      <w:proofErr w:type="gramStart"/>
      <w:r w:rsidRPr="00C9798A">
        <w:rPr>
          <w:b/>
          <w:lang w:val="fr-FR"/>
        </w:rPr>
        <w:t>Documentation:</w:t>
      </w:r>
      <w:proofErr w:type="gramEnd"/>
      <w:r w:rsidRPr="00C9798A">
        <w:rPr>
          <w:lang w:val="fr-FR"/>
        </w:rPr>
        <w:t xml:space="preserve"> </w:t>
      </w:r>
      <w:r w:rsidRPr="00C9798A">
        <w:rPr>
          <w:lang w:val="fr-FR"/>
        </w:rPr>
        <w:tab/>
        <w:t>ECE/TRANS/WP.29/GRE/2016/</w:t>
      </w:r>
      <w:r w:rsidR="009D142C" w:rsidRPr="00C9798A">
        <w:rPr>
          <w:lang w:val="fr-FR"/>
        </w:rPr>
        <w:t>3</w:t>
      </w:r>
      <w:r w:rsidRPr="00C9798A">
        <w:rPr>
          <w:lang w:val="fr-FR"/>
        </w:rPr>
        <w:t>5</w:t>
      </w:r>
      <w:r w:rsidR="009A487B" w:rsidRPr="00C9798A">
        <w:rPr>
          <w:lang w:val="fr-FR"/>
        </w:rPr>
        <w:t>, Informal documents GRE-76-03 and GRE-76-06</w:t>
      </w:r>
      <w:r w:rsidRPr="00C9798A">
        <w:rPr>
          <w:lang w:val="fr-FR"/>
        </w:rPr>
        <w:t xml:space="preserve"> </w:t>
      </w:r>
    </w:p>
    <w:p w:rsidR="00F64E40" w:rsidRPr="005C138C" w:rsidRDefault="00F64E40" w:rsidP="00F64E40">
      <w:pPr>
        <w:keepNext/>
        <w:keepLines/>
        <w:tabs>
          <w:tab w:val="right" w:pos="851"/>
        </w:tabs>
        <w:spacing w:before="240" w:after="120" w:line="240" w:lineRule="exact"/>
        <w:ind w:left="1134" w:right="1134" w:hanging="1134"/>
        <w:rPr>
          <w:b/>
        </w:rPr>
      </w:pPr>
      <w:r w:rsidRPr="00C9798A">
        <w:rPr>
          <w:b/>
          <w:lang w:val="fr-FR"/>
        </w:rPr>
        <w:tab/>
      </w:r>
      <w:r w:rsidRPr="005C138C">
        <w:rPr>
          <w:b/>
        </w:rPr>
        <w:t>(</w:t>
      </w:r>
      <w:r w:rsidR="006131C3" w:rsidRPr="005C138C">
        <w:rPr>
          <w:b/>
        </w:rPr>
        <w:t>d</w:t>
      </w:r>
      <w:r w:rsidRPr="005C138C">
        <w:rPr>
          <w:b/>
        </w:rPr>
        <w:t>)</w:t>
      </w:r>
      <w:r w:rsidRPr="005C138C">
        <w:rPr>
          <w:b/>
        </w:rPr>
        <w:tab/>
        <w:t>Regulation No. 112 (Headlamps emitting an asymmetrical passing-beam)</w:t>
      </w:r>
    </w:p>
    <w:p w:rsidR="0037718D" w:rsidRPr="005C138C" w:rsidRDefault="009A487B" w:rsidP="009A487B">
      <w:pPr>
        <w:spacing w:after="120"/>
        <w:ind w:left="1134" w:right="1134" w:firstLine="567"/>
        <w:jc w:val="both"/>
      </w:pPr>
      <w:r w:rsidRPr="005C138C">
        <w:t xml:space="preserve">At the previous session, the expert of GTB </w:t>
      </w:r>
      <w:r w:rsidR="00E6039E">
        <w:t xml:space="preserve">had </w:t>
      </w:r>
      <w:r w:rsidRPr="005C138C">
        <w:t xml:space="preserve">proposed to remove the design-specific requirement of a minimum objective flux (1,000 lm) for LED and halogen light sources and to replace it with a technology-neutral and performance-based requirement (GRE-76-04-Rev.1). GRE decided to keep this issue on the agenda and to pass it to IWG SLR at a later stage (ECE/TRANS/WP.29/GRE/76, para. 30). </w:t>
      </w:r>
    </w:p>
    <w:p w:rsidR="007166E8" w:rsidRPr="00267C2E" w:rsidRDefault="0037718D" w:rsidP="009A487B">
      <w:pPr>
        <w:spacing w:after="120"/>
        <w:ind w:left="1134" w:right="1134"/>
        <w:jc w:val="both"/>
      </w:pPr>
      <w:r w:rsidRPr="00267C2E">
        <w:rPr>
          <w:b/>
        </w:rPr>
        <w:lastRenderedPageBreak/>
        <w:t>Documentation:</w:t>
      </w:r>
      <w:r w:rsidRPr="00267C2E">
        <w:t xml:space="preserve"> </w:t>
      </w:r>
      <w:r w:rsidRPr="00267C2E">
        <w:tab/>
      </w:r>
      <w:r w:rsidR="009A487B" w:rsidRPr="00267C2E">
        <w:t>Informal documents GRE-76-25 and GRE-76-04-Rev.1</w:t>
      </w:r>
      <w:r w:rsidRPr="00267C2E">
        <w:t xml:space="preserve"> </w:t>
      </w:r>
      <w:r w:rsidR="007166E8" w:rsidRPr="00267C2E">
        <w:tab/>
        <w:t xml:space="preserve"> </w:t>
      </w:r>
    </w:p>
    <w:p w:rsidR="00F64E40" w:rsidRPr="005C138C" w:rsidRDefault="00F64E40" w:rsidP="00F64E40">
      <w:pPr>
        <w:pStyle w:val="H23G"/>
      </w:pPr>
      <w:r w:rsidRPr="00267C2E">
        <w:tab/>
      </w:r>
      <w:r w:rsidRPr="005C138C">
        <w:t>(</w:t>
      </w:r>
      <w:r w:rsidR="006131C3" w:rsidRPr="005C138C">
        <w:t>e</w:t>
      </w:r>
      <w:r w:rsidRPr="005C138C">
        <w:t>)</w:t>
      </w:r>
      <w:r w:rsidRPr="005C138C">
        <w:tab/>
        <w:t xml:space="preserve">Regulation No. 123 (Adaptive front-lighting systems) </w:t>
      </w:r>
    </w:p>
    <w:p w:rsidR="00F64E40" w:rsidRPr="005C138C" w:rsidRDefault="00F64E40" w:rsidP="00F64E40">
      <w:pPr>
        <w:spacing w:after="120"/>
        <w:ind w:left="1134" w:right="1134" w:firstLine="567"/>
        <w:jc w:val="both"/>
      </w:pPr>
      <w:r w:rsidRPr="005C138C">
        <w:t xml:space="preserve">GRE </w:t>
      </w:r>
      <w:r w:rsidR="00ED2662" w:rsidRPr="005C138C">
        <w:t xml:space="preserve">will revert to the </w:t>
      </w:r>
      <w:r w:rsidRPr="005C138C">
        <w:t xml:space="preserve">proposal by the expert from GTB </w:t>
      </w:r>
      <w:r w:rsidR="005366A3">
        <w:t>which</w:t>
      </w:r>
      <w:r w:rsidR="005366A3" w:rsidRPr="005C138C">
        <w:t xml:space="preserve"> </w:t>
      </w:r>
      <w:r w:rsidR="002E2E5F" w:rsidRPr="005C138C">
        <w:t>align</w:t>
      </w:r>
      <w:r w:rsidR="005366A3">
        <w:t>s</w:t>
      </w:r>
      <w:r w:rsidR="002E2E5F" w:rsidRPr="005C138C">
        <w:t xml:space="preserve"> the conformity of production procedures with the other headlamp Regulations and </w:t>
      </w:r>
      <w:r w:rsidR="005366A3">
        <w:t xml:space="preserve">which </w:t>
      </w:r>
      <w:r w:rsidR="002E2E5F" w:rsidRPr="005C138C">
        <w:t>simplif</w:t>
      </w:r>
      <w:r w:rsidR="005366A3">
        <w:t>ies</w:t>
      </w:r>
      <w:r w:rsidR="002E2E5F" w:rsidRPr="005C138C">
        <w:t xml:space="preserve"> the test methods and requirements relating to conformity of production. </w:t>
      </w:r>
    </w:p>
    <w:p w:rsidR="007166E8" w:rsidRPr="00C9798A" w:rsidRDefault="00F64E40" w:rsidP="00F64E40">
      <w:pPr>
        <w:spacing w:after="120"/>
        <w:ind w:left="1134" w:right="1134"/>
        <w:jc w:val="both"/>
        <w:rPr>
          <w:lang w:val="fr-FR"/>
        </w:rPr>
      </w:pPr>
      <w:proofErr w:type="gramStart"/>
      <w:r w:rsidRPr="00C9798A">
        <w:rPr>
          <w:b/>
          <w:lang w:val="fr-FR"/>
        </w:rPr>
        <w:t>Documentation:</w:t>
      </w:r>
      <w:proofErr w:type="gramEnd"/>
      <w:r w:rsidRPr="00C9798A">
        <w:rPr>
          <w:lang w:val="fr-FR"/>
        </w:rPr>
        <w:t xml:space="preserve"> </w:t>
      </w:r>
      <w:r w:rsidRPr="00C9798A">
        <w:rPr>
          <w:lang w:val="fr-FR"/>
        </w:rPr>
        <w:tab/>
        <w:t>ECE/TRANS/WP.29/GRE/2016/</w:t>
      </w:r>
      <w:r w:rsidR="002E2E5F" w:rsidRPr="00C9798A">
        <w:rPr>
          <w:lang w:val="fr-FR"/>
        </w:rPr>
        <w:t>28</w:t>
      </w:r>
      <w:r w:rsidRPr="00C9798A">
        <w:rPr>
          <w:lang w:val="fr-FR"/>
        </w:rPr>
        <w:t xml:space="preserve"> </w:t>
      </w:r>
    </w:p>
    <w:p w:rsidR="00717ADD" w:rsidRPr="005C138C" w:rsidRDefault="00717ADD" w:rsidP="00717ADD">
      <w:pPr>
        <w:pStyle w:val="H1G"/>
      </w:pPr>
      <w:r w:rsidRPr="00C9798A">
        <w:rPr>
          <w:lang w:val="fr-FR"/>
        </w:rPr>
        <w:tab/>
      </w:r>
      <w:r w:rsidR="0047341F" w:rsidRPr="005C138C">
        <w:t>8</w:t>
      </w:r>
      <w:r w:rsidRPr="005C138C">
        <w:t>.</w:t>
      </w:r>
      <w:r w:rsidRPr="005C138C">
        <w:tab/>
        <w:t>Other business</w:t>
      </w:r>
    </w:p>
    <w:p w:rsidR="00717ADD" w:rsidRPr="005C138C" w:rsidRDefault="00717ADD" w:rsidP="00717ADD">
      <w:pPr>
        <w:pStyle w:val="H23G"/>
        <w:rPr>
          <w:color w:val="000000"/>
        </w:rPr>
      </w:pPr>
      <w:r w:rsidRPr="005C138C">
        <w:rPr>
          <w:color w:val="000000"/>
        </w:rPr>
        <w:tab/>
        <w:t>(a)</w:t>
      </w:r>
      <w:r w:rsidRPr="005C138C">
        <w:rPr>
          <w:color w:val="000000"/>
        </w:rPr>
        <w:tab/>
        <w:t>Amendments to the Convention on Road Traffic (Vienna</w:t>
      </w:r>
      <w:r w:rsidR="008476B1" w:rsidRPr="005C138C">
        <w:rPr>
          <w:color w:val="000000"/>
        </w:rPr>
        <w:t>,</w:t>
      </w:r>
      <w:r w:rsidRPr="005C138C">
        <w:rPr>
          <w:color w:val="000000"/>
        </w:rPr>
        <w:t xml:space="preserve"> 1968)</w:t>
      </w:r>
    </w:p>
    <w:p w:rsidR="00717ADD" w:rsidRPr="005C138C" w:rsidRDefault="005366A3" w:rsidP="00717ADD">
      <w:pPr>
        <w:pStyle w:val="SingleTxtG"/>
        <w:rPr>
          <w:color w:val="000000"/>
        </w:rPr>
      </w:pPr>
      <w:r>
        <w:rPr>
          <w:color w:val="000000"/>
        </w:rPr>
        <w:tab/>
      </w:r>
      <w:r w:rsidR="00717ADD" w:rsidRPr="005C138C">
        <w:rPr>
          <w:color w:val="000000"/>
        </w:rPr>
        <w:t xml:space="preserve">GRE </w:t>
      </w:r>
      <w:proofErr w:type="gramStart"/>
      <w:r w:rsidR="00717ADD" w:rsidRPr="005C138C">
        <w:rPr>
          <w:color w:val="000000"/>
        </w:rPr>
        <w:t>will be informed</w:t>
      </w:r>
      <w:proofErr w:type="gramEnd"/>
      <w:r w:rsidR="00717ADD" w:rsidRPr="005C138C">
        <w:rPr>
          <w:color w:val="000000"/>
        </w:rPr>
        <w:t xml:space="preserve"> about considerations of the Working Party on Road Traffic Safety at its </w:t>
      </w:r>
      <w:r w:rsidR="00E648F2" w:rsidRPr="005C138C">
        <w:rPr>
          <w:color w:val="000000"/>
        </w:rPr>
        <w:t xml:space="preserve">March </w:t>
      </w:r>
      <w:r w:rsidR="00A46CEF" w:rsidRPr="005C138C">
        <w:rPr>
          <w:color w:val="000000"/>
        </w:rPr>
        <w:t>201</w:t>
      </w:r>
      <w:r w:rsidR="00E648F2" w:rsidRPr="005C138C">
        <w:rPr>
          <w:color w:val="000000"/>
        </w:rPr>
        <w:t>7</w:t>
      </w:r>
      <w:r w:rsidR="00717ADD" w:rsidRPr="005C138C">
        <w:rPr>
          <w:color w:val="000000"/>
        </w:rPr>
        <w:t xml:space="preserve"> session.</w:t>
      </w:r>
    </w:p>
    <w:p w:rsidR="00717ADD" w:rsidRPr="005C138C" w:rsidRDefault="00717ADD" w:rsidP="00717ADD">
      <w:pPr>
        <w:pStyle w:val="H23G"/>
        <w:rPr>
          <w:color w:val="000000"/>
        </w:rPr>
      </w:pPr>
      <w:r w:rsidRPr="005C138C">
        <w:rPr>
          <w:color w:val="000000"/>
        </w:rPr>
        <w:tab/>
        <w:t>(b)</w:t>
      </w:r>
      <w:r w:rsidRPr="005C138C">
        <w:rPr>
          <w:color w:val="000000"/>
        </w:rPr>
        <w:tab/>
        <w:t>Decade of action for road safety 2011-2020</w:t>
      </w:r>
    </w:p>
    <w:p w:rsidR="00717ADD" w:rsidRPr="005C138C" w:rsidRDefault="005366A3" w:rsidP="00717ADD">
      <w:pPr>
        <w:pStyle w:val="SingleTxtG"/>
        <w:rPr>
          <w:rFonts w:eastAsia="MS Mincho"/>
        </w:rPr>
      </w:pPr>
      <w:r>
        <w:rPr>
          <w:color w:val="000000"/>
        </w:rPr>
        <w:tab/>
      </w:r>
      <w:r w:rsidR="00717ADD" w:rsidRPr="005C138C">
        <w:rPr>
          <w:color w:val="000000"/>
        </w:rPr>
        <w:t>GRE</w:t>
      </w:r>
      <w:r w:rsidR="00717ADD" w:rsidRPr="005C138C">
        <w:rPr>
          <w:rFonts w:eastAsia="MS Mincho"/>
        </w:rPr>
        <w:t xml:space="preserve"> will be invited to share and discuss national and international developments in the field of road safety and lighting and </w:t>
      </w:r>
      <w:proofErr w:type="gramStart"/>
      <w:r w:rsidR="00717ADD" w:rsidRPr="005C138C">
        <w:rPr>
          <w:rFonts w:eastAsia="MS Mincho"/>
        </w:rPr>
        <w:t>light-signalling</w:t>
      </w:r>
      <w:proofErr w:type="gramEnd"/>
      <w:r w:rsidR="00717ADD" w:rsidRPr="005C138C">
        <w:rPr>
          <w:rFonts w:eastAsia="MS Mincho"/>
        </w:rPr>
        <w:t>.</w:t>
      </w:r>
    </w:p>
    <w:p w:rsidR="00717ADD" w:rsidRPr="005C138C" w:rsidRDefault="00717ADD" w:rsidP="00717ADD">
      <w:pPr>
        <w:pStyle w:val="H23G"/>
        <w:rPr>
          <w:color w:val="000000"/>
        </w:rPr>
      </w:pPr>
      <w:r w:rsidRPr="005C138C">
        <w:rPr>
          <w:color w:val="000000"/>
        </w:rPr>
        <w:tab/>
        <w:t>(c)</w:t>
      </w:r>
      <w:r w:rsidRPr="005C138C">
        <w:rPr>
          <w:color w:val="000000"/>
        </w:rPr>
        <w:tab/>
        <w:t xml:space="preserve">Development of </w:t>
      </w:r>
      <w:r w:rsidR="008476B1" w:rsidRPr="005C138C">
        <w:rPr>
          <w:color w:val="000000"/>
        </w:rPr>
        <w:t xml:space="preserve">the </w:t>
      </w:r>
      <w:r w:rsidRPr="005C138C">
        <w:rPr>
          <w:color w:val="000000"/>
        </w:rPr>
        <w:t>International Whole Vehicle Type Approval</w:t>
      </w:r>
    </w:p>
    <w:p w:rsidR="00717ADD" w:rsidRPr="005C138C" w:rsidRDefault="00717ADD" w:rsidP="00717ADD">
      <w:pPr>
        <w:pStyle w:val="SingleTxtG"/>
        <w:rPr>
          <w:rFonts w:eastAsia="MS Mincho"/>
        </w:rPr>
      </w:pPr>
      <w:r w:rsidRPr="005C138C">
        <w:tab/>
        <w:t xml:space="preserve">GRE may expect an oral report from the GRE Ambassador on the </w:t>
      </w:r>
      <w:r w:rsidRPr="005C138C">
        <w:rPr>
          <w:rFonts w:eastAsia="MS Mincho"/>
        </w:rPr>
        <w:t xml:space="preserve">activities </w:t>
      </w:r>
      <w:r w:rsidR="008476B1" w:rsidRPr="005C138C">
        <w:rPr>
          <w:rFonts w:eastAsia="MS Mincho"/>
        </w:rPr>
        <w:t>concerning the International Whole Vehicle Type Approval (</w:t>
      </w:r>
      <w:r w:rsidRPr="005C138C">
        <w:t>IWVTA</w:t>
      </w:r>
      <w:r w:rsidR="008476B1" w:rsidRPr="005C138C">
        <w:t>)</w:t>
      </w:r>
      <w:r w:rsidRPr="005C138C">
        <w:t xml:space="preserve"> and any required follow-up actions. GRE </w:t>
      </w:r>
      <w:proofErr w:type="gramStart"/>
      <w:r w:rsidRPr="005C138C">
        <w:t xml:space="preserve">will also </w:t>
      </w:r>
      <w:r w:rsidRPr="005C138C">
        <w:rPr>
          <w:rFonts w:eastAsia="MS Mincho"/>
        </w:rPr>
        <w:t>be</w:t>
      </w:r>
      <w:r w:rsidR="003F4162" w:rsidRPr="005C138C">
        <w:rPr>
          <w:rFonts w:eastAsia="MS Mincho"/>
        </w:rPr>
        <w:t xml:space="preserve"> briefed</w:t>
      </w:r>
      <w:proofErr w:type="gramEnd"/>
      <w:r w:rsidR="003F4162" w:rsidRPr="005C138C">
        <w:rPr>
          <w:rFonts w:eastAsia="MS Mincho"/>
        </w:rPr>
        <w:t xml:space="preserve"> on </w:t>
      </w:r>
      <w:r w:rsidRPr="005C138C">
        <w:rPr>
          <w:rFonts w:eastAsia="MS Mincho"/>
        </w:rPr>
        <w:t>the</w:t>
      </w:r>
      <w:r w:rsidR="008476B1" w:rsidRPr="005C138C">
        <w:rPr>
          <w:rFonts w:eastAsia="MS Mincho"/>
        </w:rPr>
        <w:t xml:space="preserve"> ongoing</w:t>
      </w:r>
      <w:r w:rsidRPr="005C138C">
        <w:rPr>
          <w:rFonts w:eastAsia="MS Mincho"/>
        </w:rPr>
        <w:t xml:space="preserve"> </w:t>
      </w:r>
      <w:r w:rsidR="008476B1" w:rsidRPr="005C138C">
        <w:rPr>
          <w:rFonts w:eastAsia="MS Mincho"/>
        </w:rPr>
        <w:t xml:space="preserve">depository procedures for the entry into force </w:t>
      </w:r>
      <w:r w:rsidR="00CC5EFF" w:rsidRPr="005C138C">
        <w:rPr>
          <w:rFonts w:eastAsia="MS Mincho"/>
        </w:rPr>
        <w:t xml:space="preserve">of </w:t>
      </w:r>
      <w:r w:rsidRPr="005C138C">
        <w:rPr>
          <w:rFonts w:eastAsia="MS Mincho"/>
        </w:rPr>
        <w:t xml:space="preserve">Revision 3 of the 1958 Agreement. </w:t>
      </w:r>
    </w:p>
    <w:p w:rsidR="003F4162" w:rsidRPr="005C138C" w:rsidRDefault="003F4162">
      <w:pPr>
        <w:pStyle w:val="SingleTxtG"/>
        <w:ind w:firstLine="567"/>
        <w:rPr>
          <w:rFonts w:eastAsia="MS Mincho"/>
        </w:rPr>
      </w:pPr>
      <w:r w:rsidRPr="005C138C">
        <w:rPr>
          <w:rFonts w:eastAsia="MS Mincho"/>
        </w:rPr>
        <w:t xml:space="preserve">GRE </w:t>
      </w:r>
      <w:proofErr w:type="gramStart"/>
      <w:r w:rsidRPr="005C138C">
        <w:rPr>
          <w:rFonts w:eastAsia="MS Mincho"/>
        </w:rPr>
        <w:t>will be informed</w:t>
      </w:r>
      <w:proofErr w:type="gramEnd"/>
      <w:r w:rsidRPr="005C138C">
        <w:rPr>
          <w:rFonts w:eastAsia="MS Mincho"/>
        </w:rPr>
        <w:t xml:space="preserve"> that WP.29, at its November 2016 session, noted a request by IWG on IWVTA to clarify the individual Regulations on lighting and light-signalling devices with a requirement that light sources in these devices should be type approved pursuant to Regulations Nos. 37, 99 or 128. WP.29 invited GRE, in cooperation with IWG, to consider how to better address this issue, taking into account the IWVTA objectives, the ongoing process of the simplification of lighting and light-signalling Regulations and the fact that not all light sources were covered by Regulations Nos. 37, 99 and 128 (ECE/TRANS/WP.29/1126, </w:t>
      </w:r>
      <w:proofErr w:type="gramStart"/>
      <w:r w:rsidRPr="005C138C">
        <w:rPr>
          <w:rFonts w:eastAsia="MS Mincho"/>
        </w:rPr>
        <w:t>para</w:t>
      </w:r>
      <w:proofErr w:type="gramEnd"/>
      <w:r w:rsidRPr="005C138C">
        <w:rPr>
          <w:rFonts w:eastAsia="MS Mincho"/>
        </w:rPr>
        <w:t>. 62).</w:t>
      </w:r>
    </w:p>
    <w:p w:rsidR="008476B1" w:rsidRPr="005C138C" w:rsidRDefault="005366A3" w:rsidP="00717ADD">
      <w:pPr>
        <w:pStyle w:val="SingleTxtG"/>
      </w:pPr>
      <w:r>
        <w:rPr>
          <w:rFonts w:eastAsia="MS Mincho"/>
        </w:rPr>
        <w:tab/>
      </w:r>
      <w:r w:rsidR="008476B1" w:rsidRPr="005C138C">
        <w:rPr>
          <w:rFonts w:eastAsia="MS Mincho"/>
        </w:rPr>
        <w:t xml:space="preserve">At its previous session, GRE decided to consider under this agenda item the use of the Unique Identifier and the issue of supplements, new series of amendments and transitional provisions (ECE/TRANS/WP.29/GRE/76, paras. 11 and 33). </w:t>
      </w:r>
    </w:p>
    <w:p w:rsidR="00717ADD" w:rsidRPr="005C138C" w:rsidRDefault="00717ADD" w:rsidP="00717ADD">
      <w:pPr>
        <w:pStyle w:val="H23G"/>
        <w:rPr>
          <w:color w:val="000000"/>
        </w:rPr>
      </w:pPr>
      <w:r w:rsidRPr="005C138C">
        <w:rPr>
          <w:color w:val="000000"/>
        </w:rPr>
        <w:tab/>
        <w:t>(d)</w:t>
      </w:r>
      <w:r w:rsidRPr="005C138C">
        <w:rPr>
          <w:color w:val="000000"/>
        </w:rPr>
        <w:tab/>
        <w:t>Phantom light and colour washout</w:t>
      </w:r>
    </w:p>
    <w:p w:rsidR="00717ADD" w:rsidRPr="005C138C" w:rsidRDefault="00717ADD" w:rsidP="00717ADD">
      <w:pPr>
        <w:pStyle w:val="SingleTxtG"/>
      </w:pPr>
      <w:r w:rsidRPr="005C138C">
        <w:tab/>
        <w:t xml:space="preserve">GRE </w:t>
      </w:r>
      <w:proofErr w:type="gramStart"/>
      <w:r w:rsidR="00E648F2" w:rsidRPr="005C138C">
        <w:t xml:space="preserve">will </w:t>
      </w:r>
      <w:r w:rsidR="00F323E2" w:rsidRPr="005C138C">
        <w:t>be informed</w:t>
      </w:r>
      <w:proofErr w:type="gramEnd"/>
      <w:r w:rsidR="00F323E2" w:rsidRPr="005C138C">
        <w:t xml:space="preserve"> about </w:t>
      </w:r>
      <w:r w:rsidR="00C45DDC" w:rsidRPr="005C138C">
        <w:t xml:space="preserve">the progress of </w:t>
      </w:r>
      <w:r w:rsidR="00F323E2" w:rsidRPr="005C138C">
        <w:t>the study conducted in Germany</w:t>
      </w:r>
      <w:r w:rsidRPr="005C138C">
        <w:t>.</w:t>
      </w:r>
    </w:p>
    <w:p w:rsidR="00717ADD" w:rsidRPr="005C138C" w:rsidRDefault="00717ADD" w:rsidP="00717ADD">
      <w:pPr>
        <w:pStyle w:val="SingleTxtG"/>
      </w:pPr>
      <w:r w:rsidRPr="005C138C">
        <w:rPr>
          <w:b/>
        </w:rPr>
        <w:t>Documentation:</w:t>
      </w:r>
      <w:r w:rsidRPr="005C138C">
        <w:t xml:space="preserve"> </w:t>
      </w:r>
      <w:r w:rsidRPr="005C138C">
        <w:tab/>
      </w:r>
      <w:r w:rsidR="00C45DDC" w:rsidRPr="005C138C">
        <w:t>Informal document GRE-75-16</w:t>
      </w:r>
    </w:p>
    <w:p w:rsidR="00717ADD" w:rsidRPr="005C138C" w:rsidRDefault="00717ADD" w:rsidP="00717ADD">
      <w:pPr>
        <w:pStyle w:val="H1G"/>
      </w:pPr>
      <w:r w:rsidRPr="005C138C">
        <w:tab/>
      </w:r>
      <w:r w:rsidR="0047341F" w:rsidRPr="005C138C">
        <w:t>9</w:t>
      </w:r>
      <w:r w:rsidRPr="005C138C">
        <w:t>.</w:t>
      </w:r>
      <w:r w:rsidRPr="005C138C">
        <w:tab/>
        <w:t>New business and late submissions</w:t>
      </w:r>
    </w:p>
    <w:p w:rsidR="00717ADD" w:rsidRPr="005C138C" w:rsidRDefault="00717ADD" w:rsidP="00C45DDC">
      <w:pPr>
        <w:pStyle w:val="SingleTxtG"/>
        <w:ind w:firstLine="567"/>
      </w:pPr>
      <w:r w:rsidRPr="005C138C">
        <w:t xml:space="preserve">GRE may wish to consider new issues and/or </w:t>
      </w:r>
      <w:proofErr w:type="gramStart"/>
      <w:r w:rsidRPr="005C138C">
        <w:t>documents which</w:t>
      </w:r>
      <w:proofErr w:type="gramEnd"/>
      <w:r w:rsidRPr="005C138C">
        <w:t xml:space="preserve"> might be submitted after the issuance of the </w:t>
      </w:r>
      <w:r w:rsidR="00AE396A" w:rsidRPr="005C138C">
        <w:t xml:space="preserve">annotated </w:t>
      </w:r>
      <w:r w:rsidRPr="005C138C">
        <w:t>provisional agenda.</w:t>
      </w:r>
    </w:p>
    <w:p w:rsidR="006131C3" w:rsidRPr="005C138C" w:rsidRDefault="006131C3" w:rsidP="00C45DDC">
      <w:pPr>
        <w:pStyle w:val="SingleTxtG"/>
        <w:ind w:firstLine="567"/>
      </w:pPr>
      <w:r w:rsidRPr="005C138C">
        <w:t xml:space="preserve">At its previous session, GRE agreed to resume a discussion on the performance of automotive </w:t>
      </w:r>
      <w:proofErr w:type="gramStart"/>
      <w:r w:rsidRPr="005C138C">
        <w:t>systems,</w:t>
      </w:r>
      <w:proofErr w:type="gramEnd"/>
      <w:r w:rsidRPr="005C138C">
        <w:t xml:space="preserve"> in particular the ones relying on software, in conditions other than those tested during the type approval test procedures (ECE/TRANS/WP.29/GRE/76, para. 42). </w:t>
      </w:r>
    </w:p>
    <w:p w:rsidR="00C45DDC" w:rsidRPr="00267C2E" w:rsidRDefault="00C45DDC" w:rsidP="00C45DDC">
      <w:pPr>
        <w:pStyle w:val="SingleTxtG"/>
      </w:pPr>
      <w:r w:rsidRPr="00267C2E">
        <w:rPr>
          <w:b/>
        </w:rPr>
        <w:lastRenderedPageBreak/>
        <w:t>Documentation</w:t>
      </w:r>
      <w:r w:rsidR="00CB7C3E" w:rsidRPr="00267C2E">
        <w:rPr>
          <w:b/>
        </w:rPr>
        <w:t>:</w:t>
      </w:r>
      <w:r w:rsidR="00CB7C3E" w:rsidRPr="00267C2E">
        <w:rPr>
          <w:b/>
        </w:rPr>
        <w:tab/>
      </w:r>
      <w:r w:rsidRPr="00267C2E">
        <w:t>Informal document</w:t>
      </w:r>
      <w:r w:rsidR="006131C3" w:rsidRPr="00267C2E">
        <w:t>s WP.29-168-15 and</w:t>
      </w:r>
      <w:r w:rsidRPr="00267C2E">
        <w:t xml:space="preserve"> WP.29-16</w:t>
      </w:r>
      <w:r w:rsidR="00CB7C3E" w:rsidRPr="00267C2E">
        <w:t>9</w:t>
      </w:r>
      <w:r w:rsidRPr="00267C2E">
        <w:t>-</w:t>
      </w:r>
      <w:r w:rsidR="00CB7C3E" w:rsidRPr="00267C2E">
        <w:t>13</w:t>
      </w:r>
    </w:p>
    <w:p w:rsidR="00717ADD" w:rsidRPr="005C138C" w:rsidRDefault="00717ADD" w:rsidP="00C6283E">
      <w:pPr>
        <w:pStyle w:val="H1G"/>
      </w:pPr>
      <w:r w:rsidRPr="00267C2E">
        <w:tab/>
      </w:r>
      <w:r w:rsidRPr="005C138C">
        <w:t>1</w:t>
      </w:r>
      <w:r w:rsidR="0047341F" w:rsidRPr="005C138C">
        <w:t>0</w:t>
      </w:r>
      <w:r w:rsidRPr="005C138C">
        <w:t>.</w:t>
      </w:r>
      <w:r w:rsidRPr="005C138C">
        <w:tab/>
        <w:t>Direction of future work of GRE</w:t>
      </w:r>
      <w:r w:rsidRPr="005C138C">
        <w:rPr>
          <w:color w:val="000000"/>
        </w:rPr>
        <w:tab/>
      </w:r>
    </w:p>
    <w:p w:rsidR="00717ADD" w:rsidRPr="005C138C" w:rsidRDefault="00717ADD" w:rsidP="00C45DDC">
      <w:pPr>
        <w:pStyle w:val="H23G"/>
        <w:rPr>
          <w:b w:val="0"/>
          <w:color w:val="000000"/>
        </w:rPr>
      </w:pPr>
      <w:r w:rsidRPr="005C138C">
        <w:rPr>
          <w:b w:val="0"/>
          <w:color w:val="000000"/>
        </w:rPr>
        <w:tab/>
      </w:r>
      <w:r w:rsidRPr="005C138C">
        <w:rPr>
          <w:b w:val="0"/>
          <w:color w:val="000000"/>
        </w:rPr>
        <w:tab/>
      </w:r>
      <w:r w:rsidR="005366A3">
        <w:rPr>
          <w:b w:val="0"/>
          <w:color w:val="000000"/>
        </w:rPr>
        <w:tab/>
      </w:r>
      <w:r w:rsidRPr="005C138C">
        <w:rPr>
          <w:b w:val="0"/>
        </w:rPr>
        <w:t>GRE</w:t>
      </w:r>
      <w:r w:rsidRPr="005C138C">
        <w:rPr>
          <w:b w:val="0"/>
          <w:color w:val="000000"/>
        </w:rPr>
        <w:t xml:space="preserve"> may wish to </w:t>
      </w:r>
      <w:proofErr w:type="gramStart"/>
      <w:r w:rsidRPr="005C138C">
        <w:rPr>
          <w:b w:val="0"/>
          <w:color w:val="000000"/>
        </w:rPr>
        <w:t>be informed</w:t>
      </w:r>
      <w:proofErr w:type="gramEnd"/>
      <w:r w:rsidRPr="005C138C">
        <w:rPr>
          <w:b w:val="0"/>
          <w:color w:val="000000"/>
        </w:rPr>
        <w:t xml:space="preserve"> about the activities of </w:t>
      </w:r>
      <w:r w:rsidR="00FD0665" w:rsidRPr="005C138C">
        <w:rPr>
          <w:b w:val="0"/>
          <w:color w:val="000000"/>
        </w:rPr>
        <w:t xml:space="preserve">GTB task forces </w:t>
      </w:r>
      <w:r w:rsidRPr="005C138C">
        <w:rPr>
          <w:b w:val="0"/>
          <w:color w:val="000000"/>
        </w:rPr>
        <w:t xml:space="preserve">and to provide guidance, if required. </w:t>
      </w:r>
    </w:p>
    <w:p w:rsidR="00717ADD" w:rsidRPr="005C138C" w:rsidRDefault="00717ADD" w:rsidP="00717ADD">
      <w:pPr>
        <w:pStyle w:val="H1G"/>
      </w:pPr>
      <w:r w:rsidRPr="005C138C">
        <w:tab/>
        <w:t>1</w:t>
      </w:r>
      <w:r w:rsidR="0047341F" w:rsidRPr="005C138C">
        <w:t>1</w:t>
      </w:r>
      <w:r w:rsidRPr="005C138C">
        <w:t>.</w:t>
      </w:r>
      <w:r w:rsidRPr="005C138C">
        <w:tab/>
        <w:t>Provisional agenda for the next session</w:t>
      </w:r>
    </w:p>
    <w:p w:rsidR="00717ADD" w:rsidRPr="005C138C" w:rsidRDefault="005366A3" w:rsidP="0047341F">
      <w:pPr>
        <w:ind w:left="1134" w:right="1134"/>
        <w:jc w:val="both"/>
      </w:pPr>
      <w:r>
        <w:tab/>
      </w:r>
      <w:r w:rsidR="00717ADD" w:rsidRPr="005C138C">
        <w:t>GRE may wish to provide guidance on the provisional agenda for the next session.</w:t>
      </w:r>
      <w:r w:rsidR="002174E3" w:rsidRPr="005C138C">
        <w:tab/>
      </w:r>
    </w:p>
    <w:p w:rsidR="00915EF6" w:rsidRPr="005C138C" w:rsidRDefault="00562286" w:rsidP="003F09D3">
      <w:pPr>
        <w:pStyle w:val="SingleTxtG"/>
        <w:spacing w:before="240" w:after="0"/>
        <w:jc w:val="center"/>
        <w:rPr>
          <w:color w:val="000000"/>
          <w:u w:val="single"/>
        </w:rPr>
      </w:pPr>
      <w:r w:rsidRPr="005C138C">
        <w:rPr>
          <w:color w:val="000000"/>
          <w:u w:val="single"/>
        </w:rPr>
        <w:tab/>
      </w:r>
      <w:r w:rsidRPr="005C138C">
        <w:rPr>
          <w:color w:val="000000"/>
          <w:u w:val="single"/>
        </w:rPr>
        <w:tab/>
      </w:r>
      <w:r w:rsidRPr="005C138C">
        <w:rPr>
          <w:color w:val="000000"/>
          <w:u w:val="single"/>
        </w:rPr>
        <w:tab/>
      </w:r>
    </w:p>
    <w:sectPr w:rsidR="00915EF6" w:rsidRPr="005C138C" w:rsidSect="00850EA3">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7F" w:rsidRDefault="00AA3B7F"/>
  </w:endnote>
  <w:endnote w:type="continuationSeparator" w:id="0">
    <w:p w:rsidR="00AA3B7F" w:rsidRDefault="00AA3B7F"/>
  </w:endnote>
  <w:endnote w:type="continuationNotice" w:id="1">
    <w:p w:rsidR="00AA3B7F" w:rsidRDefault="00AA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267C2E">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267C2E">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2E" w:rsidRDefault="00267C2E" w:rsidP="00267C2E">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67C2E" w:rsidRDefault="00267C2E" w:rsidP="00267C2E">
    <w:pPr>
      <w:pStyle w:val="Footer"/>
      <w:ind w:right="1134"/>
      <w:rPr>
        <w:sz w:val="20"/>
      </w:rPr>
    </w:pPr>
    <w:r>
      <w:rPr>
        <w:sz w:val="20"/>
      </w:rPr>
      <w:t>GE.17-00702(E)</w:t>
    </w:r>
  </w:p>
  <w:p w:rsidR="00267C2E" w:rsidRPr="00267C2E" w:rsidRDefault="00267C2E" w:rsidP="00267C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E/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7F" w:rsidRPr="000B175B" w:rsidRDefault="00AA3B7F" w:rsidP="000B175B">
      <w:pPr>
        <w:tabs>
          <w:tab w:val="right" w:pos="2155"/>
        </w:tabs>
        <w:spacing w:after="80"/>
        <w:ind w:left="680"/>
        <w:rPr>
          <w:u w:val="single"/>
        </w:rPr>
      </w:pPr>
      <w:r>
        <w:rPr>
          <w:u w:val="single"/>
        </w:rPr>
        <w:tab/>
      </w:r>
    </w:p>
  </w:footnote>
  <w:footnote w:type="continuationSeparator" w:id="0">
    <w:p w:rsidR="00AA3B7F" w:rsidRPr="00FC68B7" w:rsidRDefault="00AA3B7F" w:rsidP="00FC68B7">
      <w:pPr>
        <w:tabs>
          <w:tab w:val="left" w:pos="2155"/>
        </w:tabs>
        <w:spacing w:after="80"/>
        <w:ind w:left="680"/>
        <w:rPr>
          <w:u w:val="single"/>
        </w:rPr>
      </w:pPr>
      <w:r>
        <w:rPr>
          <w:u w:val="single"/>
        </w:rPr>
        <w:tab/>
      </w:r>
    </w:p>
  </w:footnote>
  <w:footnote w:type="continuationNotice" w:id="1">
    <w:p w:rsidR="00AA3B7F" w:rsidRDefault="00AA3B7F"/>
  </w:footnote>
  <w:footnote w:id="2">
    <w:p w:rsidR="00583483" w:rsidRPr="00583483" w:rsidRDefault="00583483">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 xml:space="preserve">For reasons of economy, delegates </w:t>
      </w:r>
      <w:proofErr w:type="gramStart"/>
      <w:r w:rsidRPr="00583483">
        <w:t>are requested</w:t>
      </w:r>
      <w:proofErr w:type="gramEnd"/>
      <w:r w:rsidRPr="00583483">
        <w:t xml:space="preserve"> to bring copies of all relevant documents to the session. There will be no documentation available in the conference room. Before the session, documents </w:t>
      </w:r>
      <w:proofErr w:type="gramStart"/>
      <w:r w:rsidRPr="00583483">
        <w:t>may be downloaded</w:t>
      </w:r>
      <w:proofErr w:type="gramEnd"/>
      <w:r w:rsidRPr="00583483">
        <w:t xml:space="preserve"> from the UNECE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w:t>
      </w:r>
      <w:proofErr w:type="gramStart"/>
      <w:r w:rsidRPr="00583483">
        <w:t>may be obtained</w:t>
      </w:r>
      <w:proofErr w:type="gramEnd"/>
      <w:r w:rsidRPr="00583483">
        <w:t xml:space="preserve">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rsidR="00583483" w:rsidRPr="00583483" w:rsidRDefault="00583483" w:rsidP="00583483">
      <w:pPr>
        <w:pStyle w:val="FootnoteText"/>
      </w:pPr>
      <w:r>
        <w:tab/>
      </w:r>
      <w:r w:rsidRPr="00583483">
        <w:rPr>
          <w:rStyle w:val="FootnoteReference"/>
          <w:sz w:val="20"/>
          <w:vertAlign w:val="baseline"/>
        </w:rPr>
        <w:t>**</w:t>
      </w:r>
      <w:r>
        <w:tab/>
      </w:r>
      <w:r w:rsidRPr="00583483">
        <w:t xml:space="preserve">Delegates </w:t>
      </w:r>
      <w:proofErr w:type="gramStart"/>
      <w:r w:rsidRPr="00583483">
        <w:t>are requested</w:t>
      </w:r>
      <w:proofErr w:type="gramEnd"/>
      <w:r w:rsidRPr="00583483">
        <w:t xml:space="preserve"> to register online with the new registration system on the UNECE website (https://www2.unece.org/uncdb/app/ext/meeting-registration?id=mRq0ti). Upon arrival at the Palais des Nations, delegates should obtain an identification badge at the UNOG Security and Safety Section, located at the Pregny Gate (14, Avenue de la Paix). In case of difficulty, please contact the secretariat by telephone (ext. 7</w:t>
      </w:r>
      <w:r w:rsidR="000E106E">
        <w:t>4</w:t>
      </w:r>
      <w:r w:rsidRPr="00583483">
        <w:t>323). For a map of the Palais des Nations and other useful information, please see: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pPr>
      <w:pStyle w:val="Header"/>
    </w:pPr>
    <w:r>
      <w:t>ECE/TRANS/WP.29/GRE/201</w:t>
    </w:r>
    <w:r w:rsidR="000F7AB5">
      <w:t>7</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Header"/>
      <w:jc w:val="right"/>
    </w:pPr>
    <w:r>
      <w:t>ECE/TRANS/WP.29/GRE/201</w:t>
    </w:r>
    <w:r w:rsidR="000F7AB5">
      <w:t>7</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3F4E"/>
    <w:rsid w:val="000125F6"/>
    <w:rsid w:val="0002072A"/>
    <w:rsid w:val="00035B92"/>
    <w:rsid w:val="00046B1F"/>
    <w:rsid w:val="00050F6B"/>
    <w:rsid w:val="00052635"/>
    <w:rsid w:val="00057E97"/>
    <w:rsid w:val="000646F4"/>
    <w:rsid w:val="00072950"/>
    <w:rsid w:val="00072C8C"/>
    <w:rsid w:val="00072EEC"/>
    <w:rsid w:val="000733B5"/>
    <w:rsid w:val="00076E2E"/>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44A7"/>
    <w:rsid w:val="000C797D"/>
    <w:rsid w:val="000C7CF3"/>
    <w:rsid w:val="000D30B4"/>
    <w:rsid w:val="000E0415"/>
    <w:rsid w:val="000E106E"/>
    <w:rsid w:val="000F0939"/>
    <w:rsid w:val="000F7AB5"/>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5208"/>
    <w:rsid w:val="00165F3A"/>
    <w:rsid w:val="001717F5"/>
    <w:rsid w:val="00174891"/>
    <w:rsid w:val="001809C5"/>
    <w:rsid w:val="001816FA"/>
    <w:rsid w:val="00182290"/>
    <w:rsid w:val="0018699B"/>
    <w:rsid w:val="001974B2"/>
    <w:rsid w:val="001A05E3"/>
    <w:rsid w:val="001A36DE"/>
    <w:rsid w:val="001A3955"/>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6B4D"/>
    <w:rsid w:val="00292999"/>
    <w:rsid w:val="002A22DF"/>
    <w:rsid w:val="002A3A88"/>
    <w:rsid w:val="002A4A55"/>
    <w:rsid w:val="002B13FB"/>
    <w:rsid w:val="002B1DD4"/>
    <w:rsid w:val="002B2288"/>
    <w:rsid w:val="002C2260"/>
    <w:rsid w:val="002C256C"/>
    <w:rsid w:val="002C37B7"/>
    <w:rsid w:val="002C446B"/>
    <w:rsid w:val="002C7C8F"/>
    <w:rsid w:val="002D4643"/>
    <w:rsid w:val="002D5ECF"/>
    <w:rsid w:val="002D74BB"/>
    <w:rsid w:val="002E207F"/>
    <w:rsid w:val="002E2E5F"/>
    <w:rsid w:val="002F0243"/>
    <w:rsid w:val="002F175C"/>
    <w:rsid w:val="002F7DE0"/>
    <w:rsid w:val="00302E18"/>
    <w:rsid w:val="00303F02"/>
    <w:rsid w:val="00307546"/>
    <w:rsid w:val="00311966"/>
    <w:rsid w:val="00322841"/>
    <w:rsid w:val="003229D8"/>
    <w:rsid w:val="00334C48"/>
    <w:rsid w:val="00341AEE"/>
    <w:rsid w:val="00345C96"/>
    <w:rsid w:val="00352709"/>
    <w:rsid w:val="003603BC"/>
    <w:rsid w:val="00361653"/>
    <w:rsid w:val="003619B5"/>
    <w:rsid w:val="00361AC3"/>
    <w:rsid w:val="00365763"/>
    <w:rsid w:val="00371178"/>
    <w:rsid w:val="003732C0"/>
    <w:rsid w:val="0037718D"/>
    <w:rsid w:val="003778E3"/>
    <w:rsid w:val="0038332E"/>
    <w:rsid w:val="00391F9A"/>
    <w:rsid w:val="00392E47"/>
    <w:rsid w:val="003A6810"/>
    <w:rsid w:val="003C132F"/>
    <w:rsid w:val="003C2CC4"/>
    <w:rsid w:val="003C5060"/>
    <w:rsid w:val="003C534D"/>
    <w:rsid w:val="003D4B23"/>
    <w:rsid w:val="003E130E"/>
    <w:rsid w:val="003E308B"/>
    <w:rsid w:val="003E350C"/>
    <w:rsid w:val="003E53FE"/>
    <w:rsid w:val="003F09D3"/>
    <w:rsid w:val="003F0C22"/>
    <w:rsid w:val="003F1D39"/>
    <w:rsid w:val="003F4162"/>
    <w:rsid w:val="0040381A"/>
    <w:rsid w:val="004045C5"/>
    <w:rsid w:val="004052AE"/>
    <w:rsid w:val="004072CE"/>
    <w:rsid w:val="00410C89"/>
    <w:rsid w:val="00422E03"/>
    <w:rsid w:val="00423D1A"/>
    <w:rsid w:val="004256DD"/>
    <w:rsid w:val="00426B9B"/>
    <w:rsid w:val="0043029A"/>
    <w:rsid w:val="004325CB"/>
    <w:rsid w:val="00432D28"/>
    <w:rsid w:val="004350F8"/>
    <w:rsid w:val="00437B66"/>
    <w:rsid w:val="00440A8F"/>
    <w:rsid w:val="00442A83"/>
    <w:rsid w:val="0045495B"/>
    <w:rsid w:val="0045523B"/>
    <w:rsid w:val="004561E5"/>
    <w:rsid w:val="00464FF9"/>
    <w:rsid w:val="00471FA7"/>
    <w:rsid w:val="0047341F"/>
    <w:rsid w:val="00474BFB"/>
    <w:rsid w:val="0048397A"/>
    <w:rsid w:val="00485CBB"/>
    <w:rsid w:val="004866B7"/>
    <w:rsid w:val="00486B5D"/>
    <w:rsid w:val="00494BFE"/>
    <w:rsid w:val="004A5A1C"/>
    <w:rsid w:val="004B61F1"/>
    <w:rsid w:val="004C2461"/>
    <w:rsid w:val="004C7462"/>
    <w:rsid w:val="004E77B2"/>
    <w:rsid w:val="0050325F"/>
    <w:rsid w:val="00504B2D"/>
    <w:rsid w:val="00507E53"/>
    <w:rsid w:val="00515C2C"/>
    <w:rsid w:val="0052136D"/>
    <w:rsid w:val="005259C1"/>
    <w:rsid w:val="0052775E"/>
    <w:rsid w:val="005366A3"/>
    <w:rsid w:val="005400CD"/>
    <w:rsid w:val="005420F2"/>
    <w:rsid w:val="005445AD"/>
    <w:rsid w:val="005502BA"/>
    <w:rsid w:val="00560C54"/>
    <w:rsid w:val="0056209A"/>
    <w:rsid w:val="00562286"/>
    <w:rsid w:val="005628B6"/>
    <w:rsid w:val="00583483"/>
    <w:rsid w:val="00585007"/>
    <w:rsid w:val="005941EC"/>
    <w:rsid w:val="00595F0C"/>
    <w:rsid w:val="0059724D"/>
    <w:rsid w:val="00597421"/>
    <w:rsid w:val="005A6C50"/>
    <w:rsid w:val="005B17DC"/>
    <w:rsid w:val="005B320C"/>
    <w:rsid w:val="005B3DB3"/>
    <w:rsid w:val="005B4E13"/>
    <w:rsid w:val="005C138C"/>
    <w:rsid w:val="005C342F"/>
    <w:rsid w:val="005C7D1E"/>
    <w:rsid w:val="005E4898"/>
    <w:rsid w:val="005E757D"/>
    <w:rsid w:val="005F7B75"/>
    <w:rsid w:val="006001EE"/>
    <w:rsid w:val="00605042"/>
    <w:rsid w:val="00611FC4"/>
    <w:rsid w:val="00612239"/>
    <w:rsid w:val="006131C3"/>
    <w:rsid w:val="006176FB"/>
    <w:rsid w:val="00620397"/>
    <w:rsid w:val="00622BDF"/>
    <w:rsid w:val="00632FE1"/>
    <w:rsid w:val="0063513F"/>
    <w:rsid w:val="00636BBB"/>
    <w:rsid w:val="00640B26"/>
    <w:rsid w:val="00652D0A"/>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B41D0"/>
    <w:rsid w:val="006B54FC"/>
    <w:rsid w:val="006C3589"/>
    <w:rsid w:val="006C5959"/>
    <w:rsid w:val="006C5F6F"/>
    <w:rsid w:val="006D21FB"/>
    <w:rsid w:val="006D37AF"/>
    <w:rsid w:val="006D51D0"/>
    <w:rsid w:val="006D5FB9"/>
    <w:rsid w:val="006D658E"/>
    <w:rsid w:val="006E03D6"/>
    <w:rsid w:val="006E194B"/>
    <w:rsid w:val="006E27B9"/>
    <w:rsid w:val="006E564B"/>
    <w:rsid w:val="006E6433"/>
    <w:rsid w:val="006E7099"/>
    <w:rsid w:val="006E7191"/>
    <w:rsid w:val="006E7644"/>
    <w:rsid w:val="006F1EA5"/>
    <w:rsid w:val="006F6CEE"/>
    <w:rsid w:val="00702037"/>
    <w:rsid w:val="00703577"/>
    <w:rsid w:val="00704147"/>
    <w:rsid w:val="00705894"/>
    <w:rsid w:val="00710E52"/>
    <w:rsid w:val="00711A08"/>
    <w:rsid w:val="007166E8"/>
    <w:rsid w:val="00717ADD"/>
    <w:rsid w:val="0072632A"/>
    <w:rsid w:val="00727E57"/>
    <w:rsid w:val="00731613"/>
    <w:rsid w:val="007327D5"/>
    <w:rsid w:val="00742487"/>
    <w:rsid w:val="007436BD"/>
    <w:rsid w:val="00744EAA"/>
    <w:rsid w:val="00761E89"/>
    <w:rsid w:val="007625AE"/>
    <w:rsid w:val="007629C8"/>
    <w:rsid w:val="0077047D"/>
    <w:rsid w:val="00773E3E"/>
    <w:rsid w:val="00797C09"/>
    <w:rsid w:val="007A2737"/>
    <w:rsid w:val="007A6DA0"/>
    <w:rsid w:val="007B3BDE"/>
    <w:rsid w:val="007B4BD8"/>
    <w:rsid w:val="007B6BA5"/>
    <w:rsid w:val="007C3390"/>
    <w:rsid w:val="007C4F4B"/>
    <w:rsid w:val="007C6AB6"/>
    <w:rsid w:val="007E01E9"/>
    <w:rsid w:val="007E1088"/>
    <w:rsid w:val="007E34F9"/>
    <w:rsid w:val="007E509F"/>
    <w:rsid w:val="007E63F3"/>
    <w:rsid w:val="007E6481"/>
    <w:rsid w:val="007F2313"/>
    <w:rsid w:val="007F6611"/>
    <w:rsid w:val="00805831"/>
    <w:rsid w:val="00807F09"/>
    <w:rsid w:val="008113D4"/>
    <w:rsid w:val="00811920"/>
    <w:rsid w:val="008145E5"/>
    <w:rsid w:val="00815AD0"/>
    <w:rsid w:val="00815EDB"/>
    <w:rsid w:val="008176C2"/>
    <w:rsid w:val="008242D7"/>
    <w:rsid w:val="008257B1"/>
    <w:rsid w:val="00827A26"/>
    <w:rsid w:val="00832334"/>
    <w:rsid w:val="00836213"/>
    <w:rsid w:val="00841FC7"/>
    <w:rsid w:val="00843191"/>
    <w:rsid w:val="008435F9"/>
    <w:rsid w:val="00843767"/>
    <w:rsid w:val="00844BB6"/>
    <w:rsid w:val="008476B1"/>
    <w:rsid w:val="00850EA3"/>
    <w:rsid w:val="008525F2"/>
    <w:rsid w:val="00852E7B"/>
    <w:rsid w:val="00863894"/>
    <w:rsid w:val="00866153"/>
    <w:rsid w:val="008679D9"/>
    <w:rsid w:val="00873723"/>
    <w:rsid w:val="008823EA"/>
    <w:rsid w:val="00882EF3"/>
    <w:rsid w:val="008841F1"/>
    <w:rsid w:val="008878DE"/>
    <w:rsid w:val="008916DB"/>
    <w:rsid w:val="008926F2"/>
    <w:rsid w:val="008979B1"/>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33AB"/>
    <w:rsid w:val="00904043"/>
    <w:rsid w:val="00906436"/>
    <w:rsid w:val="00913D72"/>
    <w:rsid w:val="00915EF6"/>
    <w:rsid w:val="00917D0B"/>
    <w:rsid w:val="009223CA"/>
    <w:rsid w:val="00930146"/>
    <w:rsid w:val="00940F93"/>
    <w:rsid w:val="009448C3"/>
    <w:rsid w:val="00947559"/>
    <w:rsid w:val="00947AC2"/>
    <w:rsid w:val="00950224"/>
    <w:rsid w:val="009543B4"/>
    <w:rsid w:val="00955265"/>
    <w:rsid w:val="00961E9C"/>
    <w:rsid w:val="00967E1C"/>
    <w:rsid w:val="00970493"/>
    <w:rsid w:val="00971231"/>
    <w:rsid w:val="009760F3"/>
    <w:rsid w:val="00976CFB"/>
    <w:rsid w:val="00981748"/>
    <w:rsid w:val="009829E3"/>
    <w:rsid w:val="00997D1B"/>
    <w:rsid w:val="009A0830"/>
    <w:rsid w:val="009A0E8D"/>
    <w:rsid w:val="009A487B"/>
    <w:rsid w:val="009A76E4"/>
    <w:rsid w:val="009B24E3"/>
    <w:rsid w:val="009B26E7"/>
    <w:rsid w:val="009B441F"/>
    <w:rsid w:val="009B647B"/>
    <w:rsid w:val="009B64BB"/>
    <w:rsid w:val="009C053D"/>
    <w:rsid w:val="009D142C"/>
    <w:rsid w:val="009D6657"/>
    <w:rsid w:val="009E6274"/>
    <w:rsid w:val="009E6465"/>
    <w:rsid w:val="009F064D"/>
    <w:rsid w:val="009F28E9"/>
    <w:rsid w:val="009F55F3"/>
    <w:rsid w:val="009F6668"/>
    <w:rsid w:val="00A00697"/>
    <w:rsid w:val="00A00A3F"/>
    <w:rsid w:val="00A011CB"/>
    <w:rsid w:val="00A01489"/>
    <w:rsid w:val="00A060BE"/>
    <w:rsid w:val="00A11FF0"/>
    <w:rsid w:val="00A147C8"/>
    <w:rsid w:val="00A20694"/>
    <w:rsid w:val="00A3026E"/>
    <w:rsid w:val="00A338F1"/>
    <w:rsid w:val="00A35BE0"/>
    <w:rsid w:val="00A36736"/>
    <w:rsid w:val="00A45AAD"/>
    <w:rsid w:val="00A46CEF"/>
    <w:rsid w:val="00A6129C"/>
    <w:rsid w:val="00A65BC5"/>
    <w:rsid w:val="00A66819"/>
    <w:rsid w:val="00A72F22"/>
    <w:rsid w:val="00A7360F"/>
    <w:rsid w:val="00A748A6"/>
    <w:rsid w:val="00A755DE"/>
    <w:rsid w:val="00A769F4"/>
    <w:rsid w:val="00A776B4"/>
    <w:rsid w:val="00A90001"/>
    <w:rsid w:val="00A91698"/>
    <w:rsid w:val="00A92CEA"/>
    <w:rsid w:val="00A9307D"/>
    <w:rsid w:val="00A94361"/>
    <w:rsid w:val="00A95A8F"/>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B00CA4"/>
    <w:rsid w:val="00B06031"/>
    <w:rsid w:val="00B07DA9"/>
    <w:rsid w:val="00B30179"/>
    <w:rsid w:val="00B3069B"/>
    <w:rsid w:val="00B314C4"/>
    <w:rsid w:val="00B327F5"/>
    <w:rsid w:val="00B33981"/>
    <w:rsid w:val="00B421C1"/>
    <w:rsid w:val="00B53C21"/>
    <w:rsid w:val="00B55C71"/>
    <w:rsid w:val="00B56B11"/>
    <w:rsid w:val="00B56E4A"/>
    <w:rsid w:val="00B56E9C"/>
    <w:rsid w:val="00B64B1F"/>
    <w:rsid w:val="00B6553F"/>
    <w:rsid w:val="00B67275"/>
    <w:rsid w:val="00B71657"/>
    <w:rsid w:val="00B77D05"/>
    <w:rsid w:val="00B81206"/>
    <w:rsid w:val="00B81E12"/>
    <w:rsid w:val="00B82BA7"/>
    <w:rsid w:val="00B84400"/>
    <w:rsid w:val="00B900BC"/>
    <w:rsid w:val="00BA630D"/>
    <w:rsid w:val="00BB1756"/>
    <w:rsid w:val="00BB4732"/>
    <w:rsid w:val="00BC3035"/>
    <w:rsid w:val="00BC3FA0"/>
    <w:rsid w:val="00BC74E9"/>
    <w:rsid w:val="00BF30B3"/>
    <w:rsid w:val="00BF68A8"/>
    <w:rsid w:val="00C01D9D"/>
    <w:rsid w:val="00C11A03"/>
    <w:rsid w:val="00C139C5"/>
    <w:rsid w:val="00C22C0C"/>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8683B"/>
    <w:rsid w:val="00C9142E"/>
    <w:rsid w:val="00C93731"/>
    <w:rsid w:val="00C96DF2"/>
    <w:rsid w:val="00C96FAF"/>
    <w:rsid w:val="00C97948"/>
    <w:rsid w:val="00C9798A"/>
    <w:rsid w:val="00CA7F5A"/>
    <w:rsid w:val="00CB1783"/>
    <w:rsid w:val="00CB3E03"/>
    <w:rsid w:val="00CB7C3E"/>
    <w:rsid w:val="00CC5EFF"/>
    <w:rsid w:val="00CD2D8F"/>
    <w:rsid w:val="00CD4AA6"/>
    <w:rsid w:val="00CE4A8F"/>
    <w:rsid w:val="00CE652D"/>
    <w:rsid w:val="00D01A39"/>
    <w:rsid w:val="00D0446E"/>
    <w:rsid w:val="00D2031B"/>
    <w:rsid w:val="00D213A9"/>
    <w:rsid w:val="00D248B6"/>
    <w:rsid w:val="00D25FE2"/>
    <w:rsid w:val="00D26E07"/>
    <w:rsid w:val="00D315B7"/>
    <w:rsid w:val="00D31B0F"/>
    <w:rsid w:val="00D35A3B"/>
    <w:rsid w:val="00D43252"/>
    <w:rsid w:val="00D47EEA"/>
    <w:rsid w:val="00D50AE5"/>
    <w:rsid w:val="00D602CC"/>
    <w:rsid w:val="00D70976"/>
    <w:rsid w:val="00D73511"/>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D40F3"/>
    <w:rsid w:val="00DD6A72"/>
    <w:rsid w:val="00DD7AD9"/>
    <w:rsid w:val="00DE5234"/>
    <w:rsid w:val="00DF309D"/>
    <w:rsid w:val="00DF4807"/>
    <w:rsid w:val="00E046DF"/>
    <w:rsid w:val="00E11660"/>
    <w:rsid w:val="00E11A68"/>
    <w:rsid w:val="00E1337F"/>
    <w:rsid w:val="00E16EFB"/>
    <w:rsid w:val="00E17AB7"/>
    <w:rsid w:val="00E211AD"/>
    <w:rsid w:val="00E22B0C"/>
    <w:rsid w:val="00E23189"/>
    <w:rsid w:val="00E24189"/>
    <w:rsid w:val="00E26D2E"/>
    <w:rsid w:val="00E27346"/>
    <w:rsid w:val="00E40A45"/>
    <w:rsid w:val="00E446EA"/>
    <w:rsid w:val="00E5122C"/>
    <w:rsid w:val="00E560CA"/>
    <w:rsid w:val="00E6039E"/>
    <w:rsid w:val="00E606A0"/>
    <w:rsid w:val="00E648F2"/>
    <w:rsid w:val="00E67EF8"/>
    <w:rsid w:val="00E71BC8"/>
    <w:rsid w:val="00E7260F"/>
    <w:rsid w:val="00E73F5D"/>
    <w:rsid w:val="00E77E4E"/>
    <w:rsid w:val="00E84954"/>
    <w:rsid w:val="00E91F91"/>
    <w:rsid w:val="00E94196"/>
    <w:rsid w:val="00E96630"/>
    <w:rsid w:val="00EA1865"/>
    <w:rsid w:val="00EA2A77"/>
    <w:rsid w:val="00EB28DE"/>
    <w:rsid w:val="00EC347C"/>
    <w:rsid w:val="00EC7D64"/>
    <w:rsid w:val="00ED2662"/>
    <w:rsid w:val="00ED7A2A"/>
    <w:rsid w:val="00ED7DD3"/>
    <w:rsid w:val="00EE7C3E"/>
    <w:rsid w:val="00EF1D7F"/>
    <w:rsid w:val="00F04CA1"/>
    <w:rsid w:val="00F159A8"/>
    <w:rsid w:val="00F25177"/>
    <w:rsid w:val="00F300DA"/>
    <w:rsid w:val="00F30509"/>
    <w:rsid w:val="00F31E5F"/>
    <w:rsid w:val="00F323E2"/>
    <w:rsid w:val="00F3671F"/>
    <w:rsid w:val="00F368A7"/>
    <w:rsid w:val="00F42FA1"/>
    <w:rsid w:val="00F44AA5"/>
    <w:rsid w:val="00F6100A"/>
    <w:rsid w:val="00F64E40"/>
    <w:rsid w:val="00F74A28"/>
    <w:rsid w:val="00F80BC8"/>
    <w:rsid w:val="00F84DA7"/>
    <w:rsid w:val="00F93781"/>
    <w:rsid w:val="00F94E82"/>
    <w:rsid w:val="00F95C25"/>
    <w:rsid w:val="00F9635E"/>
    <w:rsid w:val="00FB265D"/>
    <w:rsid w:val="00FB5C24"/>
    <w:rsid w:val="00FB613B"/>
    <w:rsid w:val="00FC5EBA"/>
    <w:rsid w:val="00FC68B7"/>
    <w:rsid w:val="00FD0044"/>
    <w:rsid w:val="00FD0665"/>
    <w:rsid w:val="00FD3F98"/>
    <w:rsid w:val="00FE106A"/>
    <w:rsid w:val="00FE1284"/>
    <w:rsid w:val="00FE7450"/>
    <w:rsid w:val="00FF145D"/>
    <w:rsid w:val="00FF564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B079-2F09-4EBD-9265-891F4B4F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6</Pages>
  <Words>1574</Words>
  <Characters>9278</Characters>
  <Application>Microsoft Office Word</Application>
  <DocSecurity>0</DocSecurity>
  <Lines>185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10865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1700702</dc:title>
  <dc:subject>ECE/TRANS/WP.29/GRE/2017/1</dc:subject>
  <dc:creator>Francois Guichard</dc:creator>
  <cp:keywords/>
  <dc:description/>
  <cp:lastModifiedBy>Anni Vi TIROL</cp:lastModifiedBy>
  <cp:revision>2</cp:revision>
  <cp:lastPrinted>2017-01-12T08:53:00Z</cp:lastPrinted>
  <dcterms:created xsi:type="dcterms:W3CDTF">2017-01-18T13:54:00Z</dcterms:created>
  <dcterms:modified xsi:type="dcterms:W3CDTF">2017-01-18T13:54:00Z</dcterms:modified>
</cp:coreProperties>
</file>