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EB5478" w:rsidTr="00EB5478">
        <w:trPr>
          <w:trHeight w:val="855"/>
        </w:trPr>
        <w:tc>
          <w:tcPr>
            <w:tcW w:w="5812" w:type="dxa"/>
            <w:vAlign w:val="center"/>
          </w:tcPr>
          <w:p w:rsidR="00EB5478" w:rsidRDefault="00EB5478">
            <w:pPr>
              <w:rPr>
                <w:caps/>
                <w:lang w:val="en-US"/>
              </w:rPr>
            </w:pPr>
            <w:r>
              <w:rPr>
                <w:lang w:val="en-US"/>
              </w:rPr>
              <w:t xml:space="preserve">Transmitted by </w:t>
            </w:r>
            <w:r>
              <w:rPr>
                <w:lang w:val="en-US" w:eastAsia="ja-JP"/>
              </w:rPr>
              <w:t xml:space="preserve">the expert from </w:t>
            </w:r>
            <w:r>
              <w:rPr>
                <w:lang w:val="en-US"/>
              </w:rPr>
              <w:t>FRANCE</w:t>
            </w:r>
          </w:p>
          <w:p w:rsidR="00EB5478" w:rsidRDefault="00EB5478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3827" w:type="dxa"/>
            <w:hideMark/>
          </w:tcPr>
          <w:p w:rsidR="00EB5478" w:rsidRDefault="00EB5478">
            <w:pPr>
              <w:rPr>
                <w:sz w:val="24"/>
                <w:lang w:val="en-US"/>
              </w:rPr>
            </w:pPr>
            <w:r>
              <w:rPr>
                <w:u w:val="single"/>
                <w:lang w:val="en-US"/>
              </w:rPr>
              <w:t>Informal document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GRB-65-</w:t>
            </w:r>
            <w:r w:rsidR="00A7212A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0</w:t>
            </w:r>
          </w:p>
          <w:p w:rsidR="00EB5478" w:rsidRDefault="00EB5478">
            <w:pPr>
              <w:rPr>
                <w:lang w:val="en-US"/>
              </w:rPr>
            </w:pPr>
            <w:r>
              <w:rPr>
                <w:lang w:val="en-US"/>
              </w:rPr>
              <w:t>(65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GRB, 15-17 February 2017, </w:t>
            </w:r>
          </w:p>
          <w:p w:rsidR="00EB5478" w:rsidRDefault="00EB5478">
            <w:pPr>
              <w:rPr>
                <w:bCs/>
                <w:lang w:val="en-US"/>
              </w:rPr>
            </w:pPr>
            <w:r>
              <w:rPr>
                <w:lang w:val="en-US"/>
              </w:rPr>
              <w:t>agenda item 4 (a))</w:t>
            </w:r>
          </w:p>
        </w:tc>
      </w:tr>
    </w:tbl>
    <w:p w:rsidR="00EB5478" w:rsidRDefault="00592086" w:rsidP="00EB4F6E">
      <w:pPr>
        <w:pStyle w:val="H1G"/>
      </w:pPr>
      <w:r w:rsidRPr="00B74FCB">
        <w:tab/>
      </w:r>
    </w:p>
    <w:p w:rsidR="00592086" w:rsidRPr="0055193B" w:rsidRDefault="00EB5478" w:rsidP="00EB4F6E">
      <w:pPr>
        <w:pStyle w:val="H1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F6E" w:rsidRPr="00EB4F6E">
        <w:rPr>
          <w:sz w:val="28"/>
          <w:szCs w:val="28"/>
        </w:rPr>
        <w:t xml:space="preserve">Proposal for </w:t>
      </w:r>
      <w:r>
        <w:rPr>
          <w:sz w:val="28"/>
          <w:szCs w:val="28"/>
        </w:rPr>
        <w:t xml:space="preserve">correction to </w:t>
      </w:r>
      <w:bookmarkStart w:id="0" w:name="_GoBack"/>
      <w:bookmarkEnd w:id="0"/>
      <w:r w:rsidR="00EB4F6E" w:rsidRPr="00EB4F6E">
        <w:rPr>
          <w:sz w:val="28"/>
          <w:szCs w:val="28"/>
        </w:rPr>
        <w:t>03 ser</w:t>
      </w:r>
      <w:r w:rsidR="00EB4F6E">
        <w:rPr>
          <w:sz w:val="28"/>
          <w:szCs w:val="28"/>
        </w:rPr>
        <w:t xml:space="preserve">ies of amendments to Regulation </w:t>
      </w:r>
      <w:r w:rsidR="00EB4F6E" w:rsidRPr="00EB4F6E">
        <w:rPr>
          <w:sz w:val="28"/>
          <w:szCs w:val="28"/>
        </w:rPr>
        <w:t>No. 51</w:t>
      </w:r>
    </w:p>
    <w:p w:rsidR="00EB5478" w:rsidRDefault="00EB5478" w:rsidP="00EB4F6E">
      <w:pPr>
        <w:pStyle w:val="SingleTxtG"/>
        <w:ind w:firstLine="567"/>
      </w:pPr>
    </w:p>
    <w:p w:rsidR="00EB4F6E" w:rsidRDefault="00EB4F6E" w:rsidP="00EB4F6E">
      <w:pPr>
        <w:pStyle w:val="SingleTxtG"/>
        <w:ind w:firstLine="567"/>
      </w:pPr>
      <w:r>
        <w:t xml:space="preserve">The text reproduced below </w:t>
      </w:r>
      <w:proofErr w:type="gramStart"/>
      <w:r>
        <w:t>was pr</w:t>
      </w:r>
      <w:r w:rsidR="004D7653">
        <w:t>epared</w:t>
      </w:r>
      <w:proofErr w:type="gramEnd"/>
      <w:r w:rsidR="004D7653">
        <w:t xml:space="preserve"> by the expert from FRANCE</w:t>
      </w:r>
      <w:r>
        <w:t xml:space="preserve"> to update and revise the 03 series of amendments to UN Regulation No. 51</w:t>
      </w:r>
      <w:r w:rsidR="004D7653">
        <w:t xml:space="preserve">.03. </w:t>
      </w:r>
      <w:r>
        <w:t xml:space="preserve">The modifications to the current text are marked in bold for new or strikethrough for deleted characters. </w:t>
      </w:r>
    </w:p>
    <w:p w:rsidR="007D2597" w:rsidRPr="004468F3" w:rsidRDefault="007D2597" w:rsidP="007D2597">
      <w:pPr>
        <w:spacing w:before="120"/>
        <w:jc w:val="center"/>
        <w:rPr>
          <w:b/>
          <w:bCs/>
        </w:rPr>
      </w:pPr>
    </w:p>
    <w:p w:rsidR="007D2597" w:rsidRPr="004468F3" w:rsidRDefault="007D2597" w:rsidP="007D2597">
      <w:pPr>
        <w:rPr>
          <w:b/>
        </w:rPr>
        <w:sectPr w:rsidR="007D2597" w:rsidRPr="004468F3" w:rsidSect="00F74FF7">
          <w:footnotePr>
            <w:numRestart w:val="eachSect"/>
          </w:footnotePr>
          <w:endnotePr>
            <w:numFmt w:val="decimal"/>
          </w:endnotePr>
          <w:pgSz w:w="11906" w:h="16838" w:code="9"/>
          <w:pgMar w:top="1701" w:right="1134" w:bottom="2268" w:left="1134" w:header="964" w:footer="1701" w:gutter="0"/>
          <w:cols w:space="720"/>
          <w:noEndnote/>
          <w:titlePg/>
          <w:docGrid w:linePitch="272"/>
        </w:sectPr>
      </w:pPr>
    </w:p>
    <w:p w:rsidR="00592086" w:rsidRDefault="00592086" w:rsidP="00E5556D">
      <w:pPr>
        <w:pStyle w:val="HChG"/>
        <w:ind w:hanging="425"/>
      </w:pPr>
      <w:r>
        <w:lastRenderedPageBreak/>
        <w:t>I</w:t>
      </w:r>
      <w:r w:rsidR="003E45C0">
        <w:t>.</w:t>
      </w:r>
      <w:r>
        <w:t xml:space="preserve"> </w:t>
      </w:r>
      <w:r w:rsidR="00CB11D4">
        <w:tab/>
      </w:r>
      <w:r>
        <w:t>Proposal</w:t>
      </w:r>
    </w:p>
    <w:p w:rsidR="00F552F8" w:rsidRPr="005457D9" w:rsidRDefault="00F552F8" w:rsidP="00F552F8">
      <w:pPr>
        <w:pStyle w:val="SingleTxtG"/>
      </w:pPr>
      <w:r w:rsidRPr="005457D9">
        <w:rPr>
          <w:i/>
        </w:rPr>
        <w:t xml:space="preserve">Annex </w:t>
      </w:r>
      <w:proofErr w:type="gramStart"/>
      <w:r w:rsidRPr="005457D9">
        <w:rPr>
          <w:i/>
        </w:rPr>
        <w:t>3</w:t>
      </w:r>
      <w:proofErr w:type="gramEnd"/>
      <w:r w:rsidRPr="005457D9">
        <w:rPr>
          <w:i/>
        </w:rPr>
        <w:t>, paragraph 3.1.2.1.2</w:t>
      </w:r>
      <w:r>
        <w:rPr>
          <w:i/>
        </w:rPr>
        <w:t>.</w:t>
      </w:r>
      <w:r w:rsidRPr="005457D9">
        <w:t>, amend to read:</w:t>
      </w:r>
    </w:p>
    <w:p w:rsidR="00F552F8" w:rsidRPr="005457D9" w:rsidRDefault="00F552F8" w:rsidP="00F552F8">
      <w:pPr>
        <w:pStyle w:val="SingleTxtG"/>
        <w:ind w:left="2268" w:hanging="1134"/>
      </w:pPr>
      <w:r w:rsidRPr="005457D9">
        <w:t>“3.1.2.1.2.</w:t>
      </w:r>
      <w:r w:rsidRPr="005457D9">
        <w:tab/>
        <w:t>…</w:t>
      </w:r>
    </w:p>
    <w:p w:rsidR="00F552F8" w:rsidRDefault="00F552F8" w:rsidP="00585AD9">
      <w:pPr>
        <w:pStyle w:val="SingleTxtG"/>
      </w:pPr>
      <w:r w:rsidRPr="001A7EF8">
        <w:t>At the choice of the vehicle manufacturer, front engine ve</w:t>
      </w:r>
      <w:r w:rsidR="00585AD9">
        <w:t>hicles may use l = 5 m, and mid-</w:t>
      </w:r>
      <w:r w:rsidRPr="001A7EF8">
        <w:t>engine vehicles may use l = 2.5 m.</w:t>
      </w:r>
      <w:r w:rsidR="004A4C06">
        <w:t xml:space="preserve"> </w:t>
      </w:r>
      <w:r w:rsidR="001A7EF8" w:rsidRPr="004A4C06">
        <w:rPr>
          <w:b/>
        </w:rPr>
        <w:t>In that case, the accelerator shall be kept in the depressed condition until the reference point reaches BB’ + 5 m</w:t>
      </w:r>
      <w:r w:rsidR="00E4475F">
        <w:rPr>
          <w:b/>
        </w:rPr>
        <w:t xml:space="preserve"> for </w:t>
      </w:r>
      <w:r w:rsidR="00E4475F" w:rsidRPr="00E4475F">
        <w:rPr>
          <w:b/>
        </w:rPr>
        <w:t>front engine</w:t>
      </w:r>
      <w:r w:rsidR="00E4475F">
        <w:rPr>
          <w:b/>
        </w:rPr>
        <w:t xml:space="preserve">, and </w:t>
      </w:r>
      <w:r w:rsidR="00E4475F" w:rsidRPr="004A4C06">
        <w:rPr>
          <w:b/>
        </w:rPr>
        <w:t xml:space="preserve">BB’ + </w:t>
      </w:r>
      <w:r w:rsidR="00E4475F">
        <w:rPr>
          <w:b/>
        </w:rPr>
        <w:t>2.</w:t>
      </w:r>
      <w:r w:rsidR="00E4475F" w:rsidRPr="004A4C06">
        <w:rPr>
          <w:b/>
        </w:rPr>
        <w:t>5 m</w:t>
      </w:r>
      <w:r w:rsidR="00E4475F">
        <w:rPr>
          <w:b/>
        </w:rPr>
        <w:t xml:space="preserve"> for mid-</w:t>
      </w:r>
      <w:r w:rsidR="00E4475F" w:rsidRPr="00E4475F">
        <w:rPr>
          <w:b/>
        </w:rPr>
        <w:t>engine</w:t>
      </w:r>
      <w:r w:rsidRPr="001A7EF8">
        <w:t>”</w:t>
      </w:r>
    </w:p>
    <w:p w:rsidR="00585AD9" w:rsidRPr="001A7EF8" w:rsidRDefault="00585AD9" w:rsidP="00585AD9">
      <w:pPr>
        <w:pStyle w:val="SingleTxtG"/>
      </w:pPr>
    </w:p>
    <w:p w:rsidR="00585AD9" w:rsidRDefault="00585AD9" w:rsidP="00585AD9">
      <w:pPr>
        <w:pStyle w:val="SingleTxtG"/>
      </w:pPr>
      <w:r>
        <w:rPr>
          <w:i/>
        </w:rPr>
        <w:t xml:space="preserve">Annex </w:t>
      </w:r>
      <w:proofErr w:type="gramStart"/>
      <w:r>
        <w:rPr>
          <w:i/>
        </w:rPr>
        <w:t>3</w:t>
      </w:r>
      <w:proofErr w:type="gramEnd"/>
      <w:r>
        <w:rPr>
          <w:i/>
        </w:rPr>
        <w:t>, paragraph 3.1.2.1.4.1.</w:t>
      </w:r>
      <w:r w:rsidRPr="005457D9">
        <w:t>, amend to read:</w:t>
      </w:r>
    </w:p>
    <w:p w:rsidR="00585AD9" w:rsidRPr="00585AD9" w:rsidRDefault="00585AD9" w:rsidP="00585AD9">
      <w:pPr>
        <w:pStyle w:val="SingleTxtG"/>
        <w:ind w:left="2268" w:hanging="1134"/>
      </w:pPr>
      <w:r>
        <w:t>“3.1.2.1.4</w:t>
      </w:r>
      <w:r w:rsidRPr="005457D9">
        <w:t>.</w:t>
      </w:r>
      <w:r>
        <w:t>1</w:t>
      </w:r>
      <w:r w:rsidRPr="005457D9">
        <w:tab/>
        <w:t>…</w:t>
      </w:r>
    </w:p>
    <w:p w:rsidR="00F552F8" w:rsidRPr="00585AD9" w:rsidRDefault="00585AD9" w:rsidP="00585AD9">
      <w:pPr>
        <w:pStyle w:val="SingleTxtG"/>
        <w:spacing w:after="0" w:line="240" w:lineRule="auto"/>
      </w:pPr>
      <w:r w:rsidRPr="00585AD9">
        <w:t xml:space="preserve">(c) If the acceleration value of gear ratio </w:t>
      </w:r>
      <w:proofErr w:type="spellStart"/>
      <w:r w:rsidRPr="00585AD9">
        <w:t>i</w:t>
      </w:r>
      <w:proofErr w:type="spellEnd"/>
      <w:r w:rsidRPr="00585AD9">
        <w:t xml:space="preserve"> exceeds 2.0 m/s2, the first gear ratio shall be used that gives an acceleration below 2.0 m/s2 unless gear ratio i+1</w:t>
      </w:r>
      <w:r>
        <w:t xml:space="preserve"> </w:t>
      </w:r>
      <w:r w:rsidRPr="00585AD9">
        <w:rPr>
          <w:b/>
        </w:rPr>
        <w:t xml:space="preserve">(or i+2 or i+3 or …) </w:t>
      </w:r>
      <w:r w:rsidRPr="00585AD9">
        <w:t xml:space="preserve">provides acceleration less than </w:t>
      </w:r>
      <w:proofErr w:type="spellStart"/>
      <w:r w:rsidRPr="00585AD9">
        <w:t>a</w:t>
      </w:r>
      <w:r w:rsidRPr="00585AD9">
        <w:rPr>
          <w:vertAlign w:val="subscript"/>
        </w:rPr>
        <w:t>urban</w:t>
      </w:r>
      <w:proofErr w:type="spellEnd"/>
      <w:r w:rsidRPr="00585AD9">
        <w:t xml:space="preserve">. In this case, two gears, </w:t>
      </w:r>
      <w:proofErr w:type="spellStart"/>
      <w:r w:rsidRPr="00585AD9">
        <w:t>i</w:t>
      </w:r>
      <w:proofErr w:type="spellEnd"/>
      <w:r w:rsidRPr="00585AD9">
        <w:t xml:space="preserve"> and i+</w:t>
      </w:r>
      <w:proofErr w:type="gramStart"/>
      <w:r w:rsidRPr="00585AD9">
        <w:t>1</w:t>
      </w:r>
      <w:proofErr w:type="gramEnd"/>
      <w:r w:rsidRPr="00585AD9">
        <w:t xml:space="preserve"> </w:t>
      </w:r>
      <w:r w:rsidRPr="00585AD9">
        <w:rPr>
          <w:b/>
        </w:rPr>
        <w:t xml:space="preserve">(or i+2 or i+3 or …) </w:t>
      </w:r>
      <w:r w:rsidRPr="00585AD9">
        <w:t xml:space="preserve">shall be used, including the gear </w:t>
      </w:r>
      <w:proofErr w:type="spellStart"/>
      <w:r w:rsidRPr="00585AD9">
        <w:t>i</w:t>
      </w:r>
      <w:proofErr w:type="spellEnd"/>
      <w:r w:rsidRPr="00585AD9">
        <w:t xml:space="preserve"> with acceleration exceeding 2.0 m/s2. In other cases, no other gear </w:t>
      </w:r>
      <w:proofErr w:type="gramStart"/>
      <w:r w:rsidRPr="00585AD9">
        <w:t>shall be used</w:t>
      </w:r>
      <w:proofErr w:type="gramEnd"/>
      <w:r w:rsidRPr="00585AD9">
        <w:t xml:space="preserve">. The achieved acceleration </w:t>
      </w:r>
      <w:proofErr w:type="spellStart"/>
      <w:r w:rsidRPr="00585AD9">
        <w:t>a</w:t>
      </w:r>
      <w:r w:rsidRPr="00585AD9">
        <w:rPr>
          <w:vertAlign w:val="subscript"/>
        </w:rPr>
        <w:t>wot</w:t>
      </w:r>
      <w:proofErr w:type="spellEnd"/>
      <w:r w:rsidRPr="00585AD9">
        <w:rPr>
          <w:vertAlign w:val="subscript"/>
        </w:rPr>
        <w:t xml:space="preserve"> </w:t>
      </w:r>
      <w:r w:rsidRPr="00585AD9">
        <w:t xml:space="preserve">test during the test shall be used for the calculation of the part power factor </w:t>
      </w:r>
      <w:proofErr w:type="spellStart"/>
      <w:proofErr w:type="gramStart"/>
      <w:r w:rsidRPr="00585AD9">
        <w:t>k</w:t>
      </w:r>
      <w:r w:rsidRPr="00585AD9">
        <w:rPr>
          <w:vertAlign w:val="subscript"/>
        </w:rPr>
        <w:t>P</w:t>
      </w:r>
      <w:proofErr w:type="spellEnd"/>
      <w:proofErr w:type="gramEnd"/>
      <w:r w:rsidRPr="00585AD9">
        <w:t xml:space="preserve"> instead of </w:t>
      </w:r>
      <w:proofErr w:type="spellStart"/>
      <w:r w:rsidRPr="00585AD9">
        <w:t>a</w:t>
      </w:r>
      <w:r w:rsidRPr="00585AD9">
        <w:rPr>
          <w:vertAlign w:val="subscript"/>
        </w:rPr>
        <w:t>wot</w:t>
      </w:r>
      <w:proofErr w:type="spellEnd"/>
      <w:r w:rsidRPr="00585AD9">
        <w:rPr>
          <w:vertAlign w:val="subscript"/>
        </w:rPr>
        <w:t xml:space="preserve"> ref</w:t>
      </w:r>
      <w:r w:rsidRPr="00585AD9">
        <w:t>.</w:t>
      </w:r>
    </w:p>
    <w:p w:rsidR="00585AD9" w:rsidRDefault="00585AD9" w:rsidP="00585AD9">
      <w:pPr>
        <w:pStyle w:val="SingleTxtG"/>
        <w:rPr>
          <w:i/>
        </w:rPr>
      </w:pPr>
    </w:p>
    <w:p w:rsidR="00585AD9" w:rsidRDefault="00585AD9" w:rsidP="00585AD9">
      <w:pPr>
        <w:pStyle w:val="SingleTxtG"/>
      </w:pPr>
      <w:r>
        <w:rPr>
          <w:i/>
        </w:rPr>
        <w:t xml:space="preserve">Annex </w:t>
      </w:r>
      <w:proofErr w:type="gramStart"/>
      <w:r>
        <w:rPr>
          <w:i/>
        </w:rPr>
        <w:t>3</w:t>
      </w:r>
      <w:proofErr w:type="gramEnd"/>
      <w:r>
        <w:rPr>
          <w:i/>
        </w:rPr>
        <w:t>, paragraph 3.1.2.2.1.3.</w:t>
      </w:r>
      <w:r w:rsidRPr="005457D9">
        <w:t>, amend to read:</w:t>
      </w:r>
    </w:p>
    <w:p w:rsidR="007353B1" w:rsidRDefault="007353B1" w:rsidP="007353B1">
      <w:pPr>
        <w:pStyle w:val="SingleTxtG"/>
        <w:ind w:left="2268" w:hanging="1134"/>
      </w:pPr>
      <w:r>
        <w:t>“</w:t>
      </w:r>
      <w:r w:rsidRPr="007353B1">
        <w:t>3.1.2.2.1.3.</w:t>
      </w:r>
      <w:r w:rsidRPr="005457D9">
        <w:tab/>
      </w:r>
      <w:r>
        <w:t>…</w:t>
      </w:r>
    </w:p>
    <w:p w:rsidR="007353B1" w:rsidRPr="001A7EF8" w:rsidRDefault="007353B1" w:rsidP="007353B1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</w:rPr>
      </w:pPr>
      <w:r w:rsidRPr="001A7EF8">
        <w:rPr>
          <w:b/>
        </w:rPr>
        <w:t xml:space="preserve">(d) If no rotational engine speed is available and the target vehicle speed </w:t>
      </w:r>
      <w:proofErr w:type="spellStart"/>
      <w:r w:rsidRPr="001A7EF8">
        <w:rPr>
          <w:b/>
        </w:rPr>
        <w:t>vtarget</w:t>
      </w:r>
      <w:proofErr w:type="spellEnd"/>
      <w:r w:rsidRPr="001A7EF8">
        <w:rPr>
          <w:b/>
        </w:rPr>
        <w:t xml:space="preserve"> BB’</w:t>
      </w:r>
      <w:proofErr w:type="gramStart"/>
      <w:r w:rsidRPr="001A7EF8">
        <w:rPr>
          <w:b/>
        </w:rPr>
        <w:t>,  vBB’1</w:t>
      </w:r>
      <w:proofErr w:type="gramEnd"/>
      <w:r w:rsidRPr="001A7EF8">
        <w:rPr>
          <w:b/>
        </w:rPr>
        <w:t xml:space="preserve"> and vBB’2 defined as</w:t>
      </w:r>
    </w:p>
    <w:p w:rsidR="007353B1" w:rsidRPr="001A7EF8" w:rsidRDefault="007353B1" w:rsidP="007353B1">
      <w:pPr>
        <w:pStyle w:val="para"/>
        <w:spacing w:after="0"/>
        <w:ind w:hanging="567"/>
        <w:rPr>
          <w:b/>
        </w:rPr>
      </w:pPr>
      <w:r w:rsidRPr="001A7EF8">
        <w:rPr>
          <w:b/>
        </w:rPr>
        <w:t>25 km/h ≤ vBB’1 ≤ 35 km/h</w:t>
      </w:r>
    </w:p>
    <w:p w:rsidR="007353B1" w:rsidRPr="001A7EF8" w:rsidRDefault="007353B1" w:rsidP="007353B1">
      <w:pPr>
        <w:pStyle w:val="para"/>
        <w:spacing w:after="0"/>
        <w:ind w:hanging="567"/>
        <w:rPr>
          <w:b/>
        </w:rPr>
      </w:pPr>
      <w:r w:rsidRPr="001A7EF8">
        <w:rPr>
          <w:b/>
        </w:rPr>
        <w:t>35 km/h ≤ vBB’2 ≤ 45 km/h</w:t>
      </w:r>
    </w:p>
    <w:p w:rsidR="007353B1" w:rsidRDefault="007353B1" w:rsidP="001A7EF8">
      <w:pPr>
        <w:pStyle w:val="para"/>
        <w:spacing w:after="0"/>
        <w:ind w:left="1134" w:firstLine="0"/>
        <w:rPr>
          <w:b/>
        </w:rPr>
      </w:pPr>
      <w:proofErr w:type="gramStart"/>
      <w:r w:rsidRPr="001A7EF8">
        <w:rPr>
          <w:b/>
        </w:rPr>
        <w:t>cannot</w:t>
      </w:r>
      <w:proofErr w:type="gramEnd"/>
      <w:r w:rsidRPr="001A7EF8">
        <w:rPr>
          <w:b/>
        </w:rPr>
        <w:t xml:space="preserve"> be fulfilled, it is necessary to conduct, only one test </w:t>
      </w:r>
      <w:r w:rsidR="003B3582" w:rsidRPr="001A7EF8">
        <w:rPr>
          <w:b/>
        </w:rPr>
        <w:t>with vBB’3</w:t>
      </w:r>
      <w:r w:rsidR="001A7EF8">
        <w:rPr>
          <w:b/>
        </w:rPr>
        <w:t xml:space="preserve"> </w:t>
      </w:r>
      <w:r w:rsidR="003B3582" w:rsidRPr="001A7EF8">
        <w:rPr>
          <w:b/>
        </w:rPr>
        <w:t>where vBB’3</w:t>
      </w:r>
      <w:r w:rsidRPr="001A7EF8">
        <w:rPr>
          <w:b/>
        </w:rPr>
        <w:t xml:space="preserve"> is defined as</w:t>
      </w:r>
      <w:r w:rsidR="003B3582" w:rsidRPr="001A7EF8">
        <w:rPr>
          <w:b/>
        </w:rPr>
        <w:t xml:space="preserve"> the maximum speed of the vehicle. </w:t>
      </w:r>
      <w:r w:rsidR="001A7EF8">
        <w:rPr>
          <w:b/>
        </w:rPr>
        <w:t xml:space="preserve"> </w:t>
      </w:r>
      <w:r w:rsidR="003B3582" w:rsidRPr="001A7EF8">
        <w:rPr>
          <w:b/>
        </w:rPr>
        <w:t xml:space="preserve">The test condition for vBB’3 </w:t>
      </w:r>
      <w:proofErr w:type="gramStart"/>
      <w:r w:rsidR="003B3582" w:rsidRPr="001A7EF8">
        <w:rPr>
          <w:b/>
        </w:rPr>
        <w:t>is taken</w:t>
      </w:r>
      <w:proofErr w:type="gramEnd"/>
      <w:r w:rsidR="003B3582" w:rsidRPr="001A7EF8">
        <w:rPr>
          <w:b/>
        </w:rPr>
        <w:t xml:space="preserve"> for further calculation of </w:t>
      </w:r>
      <w:proofErr w:type="spellStart"/>
      <w:r w:rsidR="003B3582" w:rsidRPr="001A7EF8">
        <w:rPr>
          <w:b/>
        </w:rPr>
        <w:t>L</w:t>
      </w:r>
      <w:r w:rsidR="003B3582" w:rsidRPr="001A7EF8">
        <w:rPr>
          <w:b/>
          <w:vertAlign w:val="subscript"/>
        </w:rPr>
        <w:t>urban</w:t>
      </w:r>
      <w:proofErr w:type="spellEnd"/>
      <w:r w:rsidR="003B3582" w:rsidRPr="001A7EF8">
        <w:rPr>
          <w:b/>
        </w:rPr>
        <w:t>.</w:t>
      </w:r>
    </w:p>
    <w:p w:rsidR="009D1D06" w:rsidRDefault="009D1D06" w:rsidP="009D1D06">
      <w:pPr>
        <w:pStyle w:val="para"/>
        <w:spacing w:after="0"/>
        <w:ind w:left="0" w:firstLine="0"/>
        <w:rPr>
          <w:b/>
        </w:rPr>
      </w:pPr>
    </w:p>
    <w:p w:rsidR="009D1D06" w:rsidRPr="005457D9" w:rsidRDefault="009D1D06" w:rsidP="009D1D06">
      <w:pPr>
        <w:pStyle w:val="SingleTxtG"/>
      </w:pPr>
      <w:r>
        <w:rPr>
          <w:i/>
        </w:rPr>
        <w:t xml:space="preserve">Annex </w:t>
      </w:r>
      <w:proofErr w:type="gramStart"/>
      <w:r>
        <w:rPr>
          <w:i/>
        </w:rPr>
        <w:t>3</w:t>
      </w:r>
      <w:proofErr w:type="gramEnd"/>
      <w:r>
        <w:rPr>
          <w:i/>
        </w:rPr>
        <w:t>, paragraph 3.1.3</w:t>
      </w:r>
      <w:r w:rsidRPr="005457D9">
        <w:t>, amend to read:</w:t>
      </w:r>
    </w:p>
    <w:p w:rsidR="009D1D06" w:rsidRDefault="009D1D06" w:rsidP="009D1D06">
      <w:pPr>
        <w:pStyle w:val="SingleTxtG"/>
        <w:ind w:left="2268" w:hanging="1134"/>
      </w:pPr>
      <w:r>
        <w:t>“</w:t>
      </w:r>
      <w:r>
        <w:rPr>
          <w:i/>
        </w:rPr>
        <w:t>3.1.3</w:t>
      </w:r>
      <w:r w:rsidRPr="007353B1">
        <w:t>.</w:t>
      </w:r>
      <w:r w:rsidRPr="005457D9">
        <w:tab/>
      </w:r>
      <w:r>
        <w:t>…</w:t>
      </w:r>
    </w:p>
    <w:p w:rsidR="009D1D06" w:rsidRPr="009B10A9" w:rsidRDefault="009D1D06" w:rsidP="009B10A9">
      <w:pPr>
        <w:suppressAutoHyphens w:val="0"/>
        <w:autoSpaceDE w:val="0"/>
        <w:autoSpaceDN w:val="0"/>
        <w:adjustRightInd w:val="0"/>
        <w:spacing w:line="240" w:lineRule="auto"/>
        <w:ind w:left="1134" w:firstLine="6"/>
        <w:rPr>
          <w:b/>
        </w:rPr>
      </w:pPr>
      <w:r>
        <w:t xml:space="preserve">The results of each side </w:t>
      </w:r>
      <w:proofErr w:type="gramStart"/>
      <w:r>
        <w:t xml:space="preserve">shall be </w:t>
      </w:r>
      <w:r w:rsidRPr="009D1D06">
        <w:rPr>
          <w:strike/>
        </w:rPr>
        <w:t>averaged</w:t>
      </w:r>
      <w:proofErr w:type="gramEnd"/>
      <w:r w:rsidRPr="009D1D06">
        <w:rPr>
          <w:b/>
          <w:strike/>
        </w:rPr>
        <w:t xml:space="preserve"> </w:t>
      </w:r>
      <w:r w:rsidRPr="009D1D06">
        <w:rPr>
          <w:b/>
        </w:rPr>
        <w:t>calculated</w:t>
      </w:r>
      <w:r>
        <w:t xml:space="preserve"> separately</w:t>
      </w:r>
      <w:r w:rsidR="009B10A9">
        <w:t xml:space="preserve"> </w:t>
      </w:r>
      <w:r w:rsidR="009B10A9" w:rsidRPr="009B10A9">
        <w:rPr>
          <w:b/>
        </w:rPr>
        <w:t xml:space="preserve">as specify in paragraph 3.1.3.1. </w:t>
      </w:r>
      <w:proofErr w:type="gramStart"/>
      <w:r w:rsidR="009B10A9" w:rsidRPr="009B10A9">
        <w:rPr>
          <w:b/>
        </w:rPr>
        <w:t>and</w:t>
      </w:r>
      <w:proofErr w:type="gramEnd"/>
      <w:r w:rsidR="009B10A9" w:rsidRPr="009B10A9">
        <w:rPr>
          <w:b/>
        </w:rPr>
        <w:t xml:space="preserve"> 3.1.3.2.</w:t>
      </w:r>
    </w:p>
    <w:p w:rsidR="009D1D06" w:rsidRDefault="009D1D06" w:rsidP="009D1D06">
      <w:pPr>
        <w:pStyle w:val="SingleTxtG"/>
        <w:rPr>
          <w:i/>
        </w:rPr>
      </w:pPr>
    </w:p>
    <w:p w:rsidR="009D1D06" w:rsidRPr="005457D9" w:rsidRDefault="009D1D06" w:rsidP="009D1D06">
      <w:pPr>
        <w:pStyle w:val="SingleTxtG"/>
      </w:pPr>
      <w:r>
        <w:rPr>
          <w:i/>
        </w:rPr>
        <w:t xml:space="preserve">Annex </w:t>
      </w:r>
      <w:proofErr w:type="gramStart"/>
      <w:r>
        <w:rPr>
          <w:i/>
        </w:rPr>
        <w:t>3</w:t>
      </w:r>
      <w:proofErr w:type="gramEnd"/>
      <w:r>
        <w:rPr>
          <w:i/>
        </w:rPr>
        <w:t>, paragraph 3.1.3.1.</w:t>
      </w:r>
      <w:r w:rsidRPr="005457D9">
        <w:t>, amend to read:</w:t>
      </w:r>
    </w:p>
    <w:p w:rsidR="009D1D06" w:rsidRPr="005457D9" w:rsidRDefault="009D1D06" w:rsidP="009D1D06">
      <w:pPr>
        <w:pStyle w:val="SingleTxtG"/>
        <w:ind w:left="2268" w:hanging="1134"/>
      </w:pPr>
      <w:r>
        <w:t>“3.1.3.1</w:t>
      </w:r>
      <w:r w:rsidRPr="005457D9">
        <w:t>.</w:t>
      </w:r>
      <w:r w:rsidRPr="005457D9">
        <w:tab/>
        <w:t>…</w:t>
      </w:r>
    </w:p>
    <w:p w:rsidR="009D1D06" w:rsidRPr="001A7EF8" w:rsidRDefault="009D1D06" w:rsidP="009D1D06">
      <w:pPr>
        <w:suppressAutoHyphens w:val="0"/>
        <w:autoSpaceDE w:val="0"/>
        <w:autoSpaceDN w:val="0"/>
        <w:adjustRightInd w:val="0"/>
        <w:spacing w:line="240" w:lineRule="auto"/>
        <w:ind w:left="2268"/>
        <w:rPr>
          <w:b/>
        </w:rPr>
      </w:pPr>
      <w:r w:rsidRPr="001A7EF8">
        <w:rPr>
          <w:b/>
        </w:rPr>
        <w:t xml:space="preserve">In the case of vehicles with a PMR not exceeding 25, the final result is calculated only with </w:t>
      </w:r>
      <w:proofErr w:type="spellStart"/>
      <w:r w:rsidRPr="001A7EF8">
        <w:rPr>
          <w:b/>
        </w:rPr>
        <w:t>Lwot</w:t>
      </w:r>
      <w:proofErr w:type="spellEnd"/>
      <w:r w:rsidRPr="001A7EF8">
        <w:rPr>
          <w:b/>
        </w:rPr>
        <w:t xml:space="preserve"> </w:t>
      </w:r>
      <w:proofErr w:type="gramStart"/>
      <w:r w:rsidRPr="001A7EF8">
        <w:rPr>
          <w:b/>
        </w:rPr>
        <w:t>rep :</w:t>
      </w:r>
      <w:proofErr w:type="gramEnd"/>
    </w:p>
    <w:p w:rsidR="009D1D06" w:rsidRPr="001A7EF8" w:rsidRDefault="009D1D06" w:rsidP="009D1D06">
      <w:pPr>
        <w:suppressAutoHyphens w:val="0"/>
        <w:autoSpaceDE w:val="0"/>
        <w:autoSpaceDN w:val="0"/>
        <w:adjustRightInd w:val="0"/>
        <w:spacing w:line="240" w:lineRule="auto"/>
        <w:ind w:left="2268"/>
        <w:rPr>
          <w:b/>
        </w:rPr>
      </w:pPr>
      <w:proofErr w:type="spellStart"/>
      <w:r w:rsidRPr="001A7EF8">
        <w:rPr>
          <w:b/>
        </w:rPr>
        <w:t>Lurban</w:t>
      </w:r>
      <w:proofErr w:type="spellEnd"/>
      <w:r w:rsidRPr="001A7EF8">
        <w:rPr>
          <w:b/>
        </w:rPr>
        <w:t xml:space="preserve"> = </w:t>
      </w:r>
      <w:proofErr w:type="spellStart"/>
      <w:r w:rsidRPr="001A7EF8">
        <w:rPr>
          <w:b/>
        </w:rPr>
        <w:t>Lwot</w:t>
      </w:r>
      <w:proofErr w:type="spellEnd"/>
      <w:r w:rsidRPr="001A7EF8">
        <w:rPr>
          <w:b/>
        </w:rPr>
        <w:t xml:space="preserve"> rep </w:t>
      </w:r>
    </w:p>
    <w:p w:rsidR="009D1D06" w:rsidRDefault="009D1D06" w:rsidP="009D1D06">
      <w:pPr>
        <w:suppressAutoHyphens w:val="0"/>
        <w:autoSpaceDE w:val="0"/>
        <w:autoSpaceDN w:val="0"/>
        <w:adjustRightInd w:val="0"/>
        <w:spacing w:line="240" w:lineRule="auto"/>
      </w:pPr>
    </w:p>
    <w:p w:rsidR="009D1D06" w:rsidRDefault="009D1D06" w:rsidP="000F3B41">
      <w:pPr>
        <w:pStyle w:val="para"/>
        <w:spacing w:before="240" w:after="0"/>
        <w:ind w:left="1134" w:firstLine="0"/>
        <w:jc w:val="center"/>
        <w:rPr>
          <w:u w:val="single"/>
        </w:rPr>
      </w:pPr>
    </w:p>
    <w:p w:rsidR="00D5006C" w:rsidRPr="00B87A80" w:rsidRDefault="000F3B41" w:rsidP="000F3B41">
      <w:pPr>
        <w:pStyle w:val="para"/>
        <w:spacing w:before="240" w:after="0"/>
        <w:ind w:left="1134" w:firstLine="0"/>
        <w:jc w:val="center"/>
        <w:sectPr w:rsidR="00D5006C" w:rsidRPr="00B87A80" w:rsidSect="00316511">
          <w:headerReference w:type="even" r:id="rId9"/>
          <w:headerReference w:type="default" r:id="rId10"/>
          <w:footnotePr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964" w:footer="1701" w:gutter="0"/>
          <w:cols w:space="720"/>
          <w:docGrid w:linePitch="272"/>
        </w:sectPr>
      </w:pPr>
      <w:r w:rsidRPr="008963AE">
        <w:rPr>
          <w:u w:val="single"/>
        </w:rPr>
        <w:tab/>
      </w:r>
      <w:r w:rsidRPr="008963AE">
        <w:rPr>
          <w:u w:val="single"/>
        </w:rPr>
        <w:tab/>
      </w:r>
      <w:r w:rsidRPr="008963AE">
        <w:rPr>
          <w:u w:val="single"/>
        </w:rPr>
        <w:tab/>
      </w:r>
      <w:r w:rsidR="00B87A80">
        <w:t xml:space="preserve"> </w:t>
      </w:r>
      <w:r w:rsidR="00B87A80" w:rsidRPr="00B87A80">
        <w:t>"</w:t>
      </w:r>
    </w:p>
    <w:p w:rsidR="00D5006C" w:rsidRPr="00B74FCB" w:rsidRDefault="00D5006C" w:rsidP="00815B2B">
      <w:pPr>
        <w:pStyle w:val="HChG"/>
        <w:ind w:hanging="425"/>
      </w:pPr>
      <w:r w:rsidRPr="00B74FCB">
        <w:lastRenderedPageBreak/>
        <w:t>II.</w:t>
      </w:r>
      <w:r w:rsidRPr="00B74FCB">
        <w:tab/>
        <w:t>Justification</w:t>
      </w:r>
    </w:p>
    <w:p w:rsidR="004A4C06" w:rsidRPr="005457D9" w:rsidRDefault="004A4C06" w:rsidP="004A4C06">
      <w:pPr>
        <w:pStyle w:val="SingleTxtG"/>
        <w:ind w:left="142" w:firstLine="567"/>
      </w:pPr>
      <w:r w:rsidRPr="005457D9">
        <w:rPr>
          <w:i/>
        </w:rPr>
        <w:t xml:space="preserve">Annex </w:t>
      </w:r>
      <w:proofErr w:type="gramStart"/>
      <w:r w:rsidRPr="005457D9">
        <w:rPr>
          <w:i/>
        </w:rPr>
        <w:t>3</w:t>
      </w:r>
      <w:proofErr w:type="gramEnd"/>
      <w:r w:rsidRPr="005457D9">
        <w:rPr>
          <w:i/>
        </w:rPr>
        <w:t>, paragraph 3.1.2.1.2</w:t>
      </w:r>
      <w:r>
        <w:rPr>
          <w:i/>
        </w:rPr>
        <w:t>.</w:t>
      </w:r>
      <w:r w:rsidRPr="005457D9">
        <w:t>, amend to read:</w:t>
      </w:r>
    </w:p>
    <w:p w:rsidR="003B3582" w:rsidRPr="004A4C06" w:rsidRDefault="004A4C06" w:rsidP="004A4C06">
      <w:pPr>
        <w:pStyle w:val="SingleTxtG"/>
        <w:ind w:left="567" w:firstLine="567"/>
      </w:pPr>
      <w:r w:rsidRPr="004A4C06">
        <w:t xml:space="preserve">Clarification for depressed condition when </w:t>
      </w:r>
      <w:r>
        <w:t xml:space="preserve">l is fix at 5 m for calculation of a </w:t>
      </w:r>
      <w:r w:rsidRPr="004A4C06">
        <w:rPr>
          <w:vertAlign w:val="subscript"/>
        </w:rPr>
        <w:t>wot</w:t>
      </w:r>
    </w:p>
    <w:p w:rsidR="00585AD9" w:rsidRDefault="00585AD9" w:rsidP="00585AD9">
      <w:pPr>
        <w:pStyle w:val="SingleTxtG"/>
        <w:ind w:left="0"/>
        <w:rPr>
          <w:i/>
        </w:rPr>
      </w:pPr>
    </w:p>
    <w:p w:rsidR="00585AD9" w:rsidRDefault="00585AD9" w:rsidP="00585AD9">
      <w:pPr>
        <w:pStyle w:val="SingleTxtG"/>
        <w:ind w:left="0" w:firstLine="567"/>
      </w:pPr>
      <w:r>
        <w:rPr>
          <w:i/>
        </w:rPr>
        <w:t xml:space="preserve">Annex </w:t>
      </w:r>
      <w:proofErr w:type="gramStart"/>
      <w:r>
        <w:rPr>
          <w:i/>
        </w:rPr>
        <w:t>3</w:t>
      </w:r>
      <w:proofErr w:type="gramEnd"/>
      <w:r>
        <w:rPr>
          <w:i/>
        </w:rPr>
        <w:t>, paragraph 3.1.2.1.4.1.</w:t>
      </w:r>
      <w:r w:rsidRPr="005457D9">
        <w:t>, amend to read:</w:t>
      </w:r>
    </w:p>
    <w:p w:rsidR="00585AD9" w:rsidRDefault="00585AD9" w:rsidP="00585AD9">
      <w:pPr>
        <w:pStyle w:val="SingleTxtG"/>
        <w:ind w:left="567"/>
      </w:pPr>
      <w:r w:rsidRPr="00585AD9">
        <w:t xml:space="preserve">If the acceleration value of gear ratio </w:t>
      </w:r>
      <w:proofErr w:type="spellStart"/>
      <w:r w:rsidRPr="00585AD9">
        <w:t>i</w:t>
      </w:r>
      <w:proofErr w:type="spellEnd"/>
      <w:r w:rsidRPr="00585AD9">
        <w:t xml:space="preserve"> exceeds 2.0 m/s2</w:t>
      </w:r>
      <w:r>
        <w:t xml:space="preserve">, </w:t>
      </w:r>
      <w:r w:rsidRPr="00585AD9">
        <w:t>the first gear ratio shall be used that gives an acceleration below 2.0 m/s2</w:t>
      </w:r>
      <w:r>
        <w:t xml:space="preserve"> could be i</w:t>
      </w:r>
      <w:r w:rsidRPr="00585AD9">
        <w:t>+1 or i+2 or i+</w:t>
      </w:r>
      <w:proofErr w:type="gramStart"/>
      <w:r w:rsidRPr="00585AD9">
        <w:t>3, …</w:t>
      </w:r>
      <w:proofErr w:type="gramEnd"/>
    </w:p>
    <w:p w:rsidR="009B10A9" w:rsidRDefault="00585AD9" w:rsidP="00585AD9">
      <w:pPr>
        <w:pStyle w:val="SingleTxtG"/>
        <w:ind w:left="567"/>
      </w:pPr>
      <w:r>
        <w:t xml:space="preserve">In case of gear ratio i+1 </w:t>
      </w:r>
      <w:r w:rsidRPr="00585AD9">
        <w:t>or i+2 or i+</w:t>
      </w:r>
      <w:proofErr w:type="gramStart"/>
      <w:r w:rsidRPr="00585AD9">
        <w:t>3, …</w:t>
      </w:r>
      <w:proofErr w:type="gramEnd"/>
      <w:r>
        <w:t xml:space="preserve"> provides acceleration less than </w:t>
      </w:r>
      <w:proofErr w:type="spellStart"/>
      <w:r>
        <w:t>a</w:t>
      </w:r>
      <w:r w:rsidRPr="00585AD9">
        <w:rPr>
          <w:vertAlign w:val="subscript"/>
        </w:rPr>
        <w:t>urban</w:t>
      </w:r>
      <w:proofErr w:type="spellEnd"/>
      <w:r>
        <w:t xml:space="preserve">. In this case, two gears, </w:t>
      </w:r>
      <w:proofErr w:type="spellStart"/>
      <w:r>
        <w:t>i</w:t>
      </w:r>
      <w:proofErr w:type="spellEnd"/>
      <w:r>
        <w:t xml:space="preserve"> and i+1</w:t>
      </w:r>
      <w:r w:rsidRPr="00585AD9">
        <w:t xml:space="preserve"> or i+2 or i+3, …</w:t>
      </w:r>
      <w:r>
        <w:t xml:space="preserve">  shall be used, including the gear </w:t>
      </w:r>
      <w:proofErr w:type="spellStart"/>
      <w:r>
        <w:t>i</w:t>
      </w:r>
      <w:proofErr w:type="spellEnd"/>
      <w:r>
        <w:t xml:space="preserve"> with acceleration exceeding 2.0 m/s2.</w:t>
      </w:r>
    </w:p>
    <w:p w:rsidR="00585AD9" w:rsidRPr="00585AD9" w:rsidRDefault="00585AD9" w:rsidP="00585AD9">
      <w:pPr>
        <w:pStyle w:val="SingleTxtG"/>
        <w:ind w:left="567"/>
      </w:pPr>
    </w:p>
    <w:p w:rsidR="009B10A9" w:rsidRPr="005457D9" w:rsidRDefault="009B10A9" w:rsidP="009B10A9">
      <w:pPr>
        <w:pStyle w:val="SingleTxtG"/>
        <w:ind w:left="0" w:firstLine="567"/>
      </w:pPr>
      <w:r>
        <w:rPr>
          <w:i/>
        </w:rPr>
        <w:t xml:space="preserve">Annex </w:t>
      </w:r>
      <w:proofErr w:type="gramStart"/>
      <w:r>
        <w:rPr>
          <w:i/>
        </w:rPr>
        <w:t>3</w:t>
      </w:r>
      <w:proofErr w:type="gramEnd"/>
      <w:r>
        <w:rPr>
          <w:i/>
        </w:rPr>
        <w:t>, paragraph 3.1.2.2.1.3</w:t>
      </w:r>
      <w:r w:rsidRPr="005457D9">
        <w:t>, amend to read:</w:t>
      </w:r>
    </w:p>
    <w:p w:rsidR="009B10A9" w:rsidRDefault="009B10A9" w:rsidP="009B10A9">
      <w:pPr>
        <w:pStyle w:val="para"/>
        <w:spacing w:before="240" w:after="0"/>
        <w:ind w:left="1134" w:firstLine="0"/>
        <w:rPr>
          <w:u w:val="single"/>
        </w:rPr>
      </w:pPr>
      <w:r>
        <w:t xml:space="preserve">For vehicle with </w:t>
      </w:r>
      <w:r w:rsidRPr="003B3582">
        <w:t xml:space="preserve">no rotational engine speed is available and </w:t>
      </w:r>
      <w:r>
        <w:t xml:space="preserve">with maximum speed below 25 km/h, </w:t>
      </w:r>
      <w:r w:rsidRPr="003B3582">
        <w:t>target vehicle speed</w:t>
      </w:r>
      <w:r>
        <w:t xml:space="preserve"> from a, b, c and d are not applicable.</w:t>
      </w:r>
    </w:p>
    <w:p w:rsidR="009B10A9" w:rsidRDefault="009B10A9" w:rsidP="003B3582">
      <w:pPr>
        <w:pStyle w:val="SingleTxtG"/>
        <w:ind w:left="142" w:firstLine="567"/>
        <w:rPr>
          <w:i/>
        </w:rPr>
      </w:pPr>
    </w:p>
    <w:p w:rsidR="009B10A9" w:rsidRPr="005457D9" w:rsidRDefault="009B10A9" w:rsidP="009B10A9">
      <w:pPr>
        <w:pStyle w:val="SingleTxtG"/>
        <w:ind w:left="0" w:firstLine="567"/>
      </w:pPr>
      <w:r>
        <w:rPr>
          <w:i/>
        </w:rPr>
        <w:t xml:space="preserve">Annex </w:t>
      </w:r>
      <w:proofErr w:type="gramStart"/>
      <w:r>
        <w:rPr>
          <w:i/>
        </w:rPr>
        <w:t>3</w:t>
      </w:r>
      <w:proofErr w:type="gramEnd"/>
      <w:r>
        <w:rPr>
          <w:i/>
        </w:rPr>
        <w:t>, paragraph 3.1.3</w:t>
      </w:r>
      <w:r w:rsidRPr="005457D9">
        <w:t>, amend to read:</w:t>
      </w:r>
    </w:p>
    <w:p w:rsidR="009B10A9" w:rsidRDefault="009B10A9" w:rsidP="009B10A9">
      <w:pPr>
        <w:pStyle w:val="para"/>
        <w:spacing w:before="240" w:after="0"/>
        <w:rPr>
          <w:u w:val="single"/>
        </w:rPr>
      </w:pPr>
      <w:proofErr w:type="gramStart"/>
      <w:r w:rsidRPr="004A4C06">
        <w:t>Clarification</w:t>
      </w:r>
      <w:r>
        <w:t xml:space="preserve"> to avoid confusion with average interpretation.</w:t>
      </w:r>
      <w:proofErr w:type="gramEnd"/>
    </w:p>
    <w:p w:rsidR="009B10A9" w:rsidRDefault="009B10A9" w:rsidP="00B87A80">
      <w:pPr>
        <w:pStyle w:val="para"/>
        <w:spacing w:before="240" w:after="0"/>
        <w:ind w:left="1134" w:firstLine="0"/>
        <w:jc w:val="center"/>
        <w:rPr>
          <w:u w:val="single"/>
        </w:rPr>
      </w:pPr>
    </w:p>
    <w:p w:rsidR="009B10A9" w:rsidRPr="005457D9" w:rsidRDefault="009B10A9" w:rsidP="009B10A9">
      <w:pPr>
        <w:pStyle w:val="SingleTxtG"/>
        <w:ind w:left="0" w:firstLine="567"/>
      </w:pPr>
      <w:r>
        <w:rPr>
          <w:i/>
        </w:rPr>
        <w:t xml:space="preserve">Annex </w:t>
      </w:r>
      <w:proofErr w:type="gramStart"/>
      <w:r>
        <w:rPr>
          <w:i/>
        </w:rPr>
        <w:t>3</w:t>
      </w:r>
      <w:proofErr w:type="gramEnd"/>
      <w:r>
        <w:rPr>
          <w:i/>
        </w:rPr>
        <w:t>, paragraph 3.1.3.1.</w:t>
      </w:r>
      <w:r w:rsidRPr="005457D9">
        <w:t>, amend to read:</w:t>
      </w:r>
    </w:p>
    <w:p w:rsidR="009B10A9" w:rsidRDefault="009B10A9" w:rsidP="009B10A9">
      <w:pPr>
        <w:pStyle w:val="para"/>
        <w:spacing w:before="240" w:after="0"/>
        <w:ind w:left="1134" w:firstLine="0"/>
      </w:pPr>
      <w:r>
        <w:t>As t</w:t>
      </w:r>
      <w:r w:rsidRPr="00F552F8">
        <w:t xml:space="preserve">he constant speed test is not required for vehicles with a </w:t>
      </w:r>
      <w:proofErr w:type="gramStart"/>
      <w:r w:rsidRPr="00F552F8">
        <w:t>PMR</w:t>
      </w:r>
      <w:proofErr w:type="gramEnd"/>
      <w:r w:rsidRPr="00F552F8">
        <w:t xml:space="preserve"> &lt; 25</w:t>
      </w:r>
      <w:r>
        <w:t xml:space="preserve"> </w:t>
      </w:r>
      <w:r w:rsidRPr="003B3582">
        <w:t>the final result is</w:t>
      </w:r>
      <w:r>
        <w:t xml:space="preserve"> calculated only with </w:t>
      </w:r>
      <w:proofErr w:type="spellStart"/>
      <w:r>
        <w:t>Lwot</w:t>
      </w:r>
      <w:proofErr w:type="spellEnd"/>
      <w:r>
        <w:t xml:space="preserve"> rep.</w:t>
      </w:r>
    </w:p>
    <w:p w:rsidR="009B10A9" w:rsidRPr="003B3582" w:rsidRDefault="009B10A9" w:rsidP="009B10A9">
      <w:pPr>
        <w:ind w:left="567" w:firstLine="567"/>
        <w:rPr>
          <w:i/>
        </w:rPr>
      </w:pPr>
      <w:proofErr w:type="gramStart"/>
      <w:r w:rsidRPr="003B3582">
        <w:rPr>
          <w:i/>
        </w:rPr>
        <w:t>Exa</w:t>
      </w:r>
      <w:r>
        <w:rPr>
          <w:i/>
        </w:rPr>
        <w:t>mple from</w:t>
      </w:r>
      <w:r w:rsidRPr="003B3582">
        <w:rPr>
          <w:i/>
        </w:rPr>
        <w:t xml:space="preserve"> UN41R04 §1.4.6.1.</w:t>
      </w:r>
      <w:proofErr w:type="gramEnd"/>
      <w:r w:rsidRPr="003B3582">
        <w:rPr>
          <w:i/>
        </w:rPr>
        <w:t xml:space="preserve"> (Vehicles with PMR &lt; 25</w:t>
      </w:r>
      <w:proofErr w:type="gramStart"/>
      <w:r w:rsidRPr="003B3582">
        <w:rPr>
          <w:i/>
        </w:rPr>
        <w:t>) :</w:t>
      </w:r>
      <w:proofErr w:type="gramEnd"/>
      <w:r w:rsidRPr="003B3582">
        <w:rPr>
          <w:i/>
        </w:rPr>
        <w:t xml:space="preserve"> </w:t>
      </w:r>
    </w:p>
    <w:p w:rsidR="009B10A9" w:rsidRPr="003B3582" w:rsidRDefault="009B10A9" w:rsidP="009B10A9">
      <w:pPr>
        <w:ind w:left="2268"/>
        <w:rPr>
          <w:i/>
        </w:rPr>
      </w:pPr>
      <w:r w:rsidRPr="003B3582">
        <w:rPr>
          <w:i/>
        </w:rPr>
        <w:t xml:space="preserve">Vehicles with a PMR not exceeding 25 </w:t>
      </w:r>
      <w:proofErr w:type="gramStart"/>
      <w:r w:rsidRPr="003B3582">
        <w:rPr>
          <w:i/>
        </w:rPr>
        <w:t>are tested</w:t>
      </w:r>
      <w:proofErr w:type="gramEnd"/>
      <w:r w:rsidRPr="003B3582">
        <w:rPr>
          <w:i/>
        </w:rPr>
        <w:t xml:space="preserve"> in a single gear or gear selector position only under full throttle. The final test result is the sound pressure level </w:t>
      </w:r>
      <w:proofErr w:type="spellStart"/>
      <w:r w:rsidRPr="003B3582">
        <w:rPr>
          <w:i/>
        </w:rPr>
        <w:t>Lwot</w:t>
      </w:r>
      <w:proofErr w:type="spellEnd"/>
      <w:proofErr w:type="gramStart"/>
      <w:r w:rsidRPr="003B3582">
        <w:rPr>
          <w:i/>
        </w:rPr>
        <w:t>,(</w:t>
      </w:r>
      <w:proofErr w:type="spellStart"/>
      <w:proofErr w:type="gramEnd"/>
      <w:r w:rsidRPr="003B3582">
        <w:rPr>
          <w:i/>
        </w:rPr>
        <w:t>i</w:t>
      </w:r>
      <w:proofErr w:type="spellEnd"/>
      <w:r w:rsidRPr="003B3582">
        <w:rPr>
          <w:i/>
        </w:rPr>
        <w:t>) mathematically rounded to the nearest first decimal place (e.g. XX.X).</w:t>
      </w:r>
    </w:p>
    <w:p w:rsidR="00B87A80" w:rsidRDefault="00B87A80" w:rsidP="00B87A80">
      <w:pPr>
        <w:pStyle w:val="para"/>
        <w:spacing w:before="240" w:after="0"/>
        <w:ind w:left="1134" w:firstLine="0"/>
        <w:jc w:val="center"/>
        <w:rPr>
          <w:u w:val="single"/>
        </w:rPr>
      </w:pPr>
      <w:r w:rsidRPr="008963AE">
        <w:rPr>
          <w:u w:val="single"/>
        </w:rPr>
        <w:tab/>
      </w:r>
      <w:r w:rsidRPr="008963AE">
        <w:rPr>
          <w:u w:val="single"/>
        </w:rPr>
        <w:tab/>
      </w:r>
      <w:r w:rsidRPr="008963AE">
        <w:rPr>
          <w:u w:val="single"/>
        </w:rPr>
        <w:tab/>
      </w:r>
    </w:p>
    <w:p w:rsidR="00D5006C" w:rsidRPr="008963AE" w:rsidRDefault="00D5006C" w:rsidP="00F153C6">
      <w:pPr>
        <w:pStyle w:val="para"/>
        <w:spacing w:before="240" w:after="0"/>
        <w:ind w:left="1134" w:firstLine="0"/>
        <w:jc w:val="center"/>
        <w:rPr>
          <w:u w:val="single"/>
        </w:rPr>
      </w:pPr>
    </w:p>
    <w:sectPr w:rsidR="00D5006C" w:rsidRPr="008963AE" w:rsidSect="00316511">
      <w:headerReference w:type="even" r:id="rId11"/>
      <w:head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D5" w:rsidRDefault="004748D5"/>
  </w:endnote>
  <w:endnote w:type="continuationSeparator" w:id="0">
    <w:p w:rsidR="004748D5" w:rsidRDefault="004748D5"/>
  </w:endnote>
  <w:endnote w:type="continuationNotice" w:id="1">
    <w:p w:rsidR="004748D5" w:rsidRDefault="00474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D5" w:rsidRPr="000B175B" w:rsidRDefault="004748D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48D5" w:rsidRPr="00FC68B7" w:rsidRDefault="004748D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748D5" w:rsidRDefault="004748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6" w:rsidRPr="00384D0E" w:rsidRDefault="00F51516" w:rsidP="00384D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6" w:rsidRPr="00384D0E" w:rsidRDefault="00F51516" w:rsidP="00384D0E">
    <w:pPr>
      <w:pStyle w:val="Header"/>
      <w:jc w:val="right"/>
    </w:pPr>
    <w:r>
      <w:t>ECE/TRANS/WP.29/GRB/2016/7</w:t>
    </w:r>
  </w:p>
  <w:p w:rsidR="00F51516" w:rsidRPr="00384D0E" w:rsidRDefault="00F51516" w:rsidP="00384D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6" w:rsidRPr="00384D0E" w:rsidRDefault="00F51516" w:rsidP="00384D0E">
    <w:pPr>
      <w:pStyle w:val="Header"/>
    </w:pPr>
    <w:r>
      <w:t>ECE/TRANS/WP.29/GRB/2016/7</w:t>
    </w:r>
  </w:p>
  <w:p w:rsidR="00F51516" w:rsidRPr="00384D0E" w:rsidRDefault="00F51516" w:rsidP="00384D0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6" w:rsidRPr="00384D0E" w:rsidRDefault="00F51516" w:rsidP="00384D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LAINPAGE_E"/>
  </w:docVars>
  <w:rsids>
    <w:rsidRoot w:val="00F70F0D"/>
    <w:rsid w:val="00004F84"/>
    <w:rsid w:val="00016A95"/>
    <w:rsid w:val="00020E3B"/>
    <w:rsid w:val="000237F1"/>
    <w:rsid w:val="0002507D"/>
    <w:rsid w:val="00027F38"/>
    <w:rsid w:val="00030575"/>
    <w:rsid w:val="00046EE9"/>
    <w:rsid w:val="00050F6B"/>
    <w:rsid w:val="000547D4"/>
    <w:rsid w:val="00062532"/>
    <w:rsid w:val="000679F8"/>
    <w:rsid w:val="00072C8C"/>
    <w:rsid w:val="00080563"/>
    <w:rsid w:val="0008719F"/>
    <w:rsid w:val="000931C0"/>
    <w:rsid w:val="000A7028"/>
    <w:rsid w:val="000B02B0"/>
    <w:rsid w:val="000B0C77"/>
    <w:rsid w:val="000B175B"/>
    <w:rsid w:val="000B3A0F"/>
    <w:rsid w:val="000B521A"/>
    <w:rsid w:val="000E0415"/>
    <w:rsid w:val="000E24AB"/>
    <w:rsid w:val="000F3B41"/>
    <w:rsid w:val="00103C70"/>
    <w:rsid w:val="00110944"/>
    <w:rsid w:val="0011301B"/>
    <w:rsid w:val="001220B8"/>
    <w:rsid w:val="0012528C"/>
    <w:rsid w:val="001261AF"/>
    <w:rsid w:val="0012730B"/>
    <w:rsid w:val="001341FD"/>
    <w:rsid w:val="00134911"/>
    <w:rsid w:val="00142522"/>
    <w:rsid w:val="00150587"/>
    <w:rsid w:val="001532BA"/>
    <w:rsid w:val="00153AA2"/>
    <w:rsid w:val="00160702"/>
    <w:rsid w:val="0016673D"/>
    <w:rsid w:val="001714F9"/>
    <w:rsid w:val="00195EDD"/>
    <w:rsid w:val="00196918"/>
    <w:rsid w:val="001A4160"/>
    <w:rsid w:val="001A4C77"/>
    <w:rsid w:val="001A734A"/>
    <w:rsid w:val="001A7EF8"/>
    <w:rsid w:val="001B4B04"/>
    <w:rsid w:val="001C6663"/>
    <w:rsid w:val="001C7895"/>
    <w:rsid w:val="001D26DF"/>
    <w:rsid w:val="001F6D0C"/>
    <w:rsid w:val="001F7C0E"/>
    <w:rsid w:val="00207CC2"/>
    <w:rsid w:val="00211E0B"/>
    <w:rsid w:val="00221780"/>
    <w:rsid w:val="00226F08"/>
    <w:rsid w:val="00227ABE"/>
    <w:rsid w:val="002405A7"/>
    <w:rsid w:val="00246F3A"/>
    <w:rsid w:val="00251CAC"/>
    <w:rsid w:val="00256584"/>
    <w:rsid w:val="00262AA1"/>
    <w:rsid w:val="00263FE6"/>
    <w:rsid w:val="00271383"/>
    <w:rsid w:val="00274379"/>
    <w:rsid w:val="00274F46"/>
    <w:rsid w:val="00284AE9"/>
    <w:rsid w:val="00295863"/>
    <w:rsid w:val="002A141F"/>
    <w:rsid w:val="002F2F62"/>
    <w:rsid w:val="002F6DFF"/>
    <w:rsid w:val="003107FA"/>
    <w:rsid w:val="00316511"/>
    <w:rsid w:val="003229D8"/>
    <w:rsid w:val="0033745A"/>
    <w:rsid w:val="00340B62"/>
    <w:rsid w:val="003733AF"/>
    <w:rsid w:val="00373D17"/>
    <w:rsid w:val="003808EA"/>
    <w:rsid w:val="00384D0E"/>
    <w:rsid w:val="00386F1B"/>
    <w:rsid w:val="0039277A"/>
    <w:rsid w:val="0039696E"/>
    <w:rsid w:val="003972E0"/>
    <w:rsid w:val="003A03A7"/>
    <w:rsid w:val="003B3582"/>
    <w:rsid w:val="003B7FD4"/>
    <w:rsid w:val="003C2CC4"/>
    <w:rsid w:val="003C3936"/>
    <w:rsid w:val="003C77A3"/>
    <w:rsid w:val="003D1A75"/>
    <w:rsid w:val="003D4B23"/>
    <w:rsid w:val="003E45C0"/>
    <w:rsid w:val="003E5399"/>
    <w:rsid w:val="003F1ED3"/>
    <w:rsid w:val="00425EF9"/>
    <w:rsid w:val="0042673D"/>
    <w:rsid w:val="004325CB"/>
    <w:rsid w:val="00434F09"/>
    <w:rsid w:val="004364B2"/>
    <w:rsid w:val="0043701A"/>
    <w:rsid w:val="00442652"/>
    <w:rsid w:val="00446DE4"/>
    <w:rsid w:val="00447A83"/>
    <w:rsid w:val="00472DC9"/>
    <w:rsid w:val="004748D5"/>
    <w:rsid w:val="004818AA"/>
    <w:rsid w:val="00485660"/>
    <w:rsid w:val="004A2E75"/>
    <w:rsid w:val="004A41CA"/>
    <w:rsid w:val="004A4C06"/>
    <w:rsid w:val="004A7B20"/>
    <w:rsid w:val="004B2873"/>
    <w:rsid w:val="004C5B87"/>
    <w:rsid w:val="004C7216"/>
    <w:rsid w:val="004D19F6"/>
    <w:rsid w:val="004D2BCC"/>
    <w:rsid w:val="004D7653"/>
    <w:rsid w:val="004E0EDA"/>
    <w:rsid w:val="004E1170"/>
    <w:rsid w:val="004E2422"/>
    <w:rsid w:val="004E708F"/>
    <w:rsid w:val="004E7F29"/>
    <w:rsid w:val="00503228"/>
    <w:rsid w:val="00505384"/>
    <w:rsid w:val="005076CF"/>
    <w:rsid w:val="00513CC3"/>
    <w:rsid w:val="00520870"/>
    <w:rsid w:val="005420F2"/>
    <w:rsid w:val="005651E7"/>
    <w:rsid w:val="00566049"/>
    <w:rsid w:val="00573398"/>
    <w:rsid w:val="005777DA"/>
    <w:rsid w:val="00585AD9"/>
    <w:rsid w:val="00592086"/>
    <w:rsid w:val="005B3DB3"/>
    <w:rsid w:val="005C3A0C"/>
    <w:rsid w:val="005E04D3"/>
    <w:rsid w:val="005E59F1"/>
    <w:rsid w:val="005E72DD"/>
    <w:rsid w:val="005E775E"/>
    <w:rsid w:val="00601F64"/>
    <w:rsid w:val="00611FC4"/>
    <w:rsid w:val="006122A8"/>
    <w:rsid w:val="006176FB"/>
    <w:rsid w:val="00621112"/>
    <w:rsid w:val="00627ED0"/>
    <w:rsid w:val="006404AC"/>
    <w:rsid w:val="00640B26"/>
    <w:rsid w:val="006436CF"/>
    <w:rsid w:val="00655E9C"/>
    <w:rsid w:val="00665595"/>
    <w:rsid w:val="00677B5E"/>
    <w:rsid w:val="0068430B"/>
    <w:rsid w:val="006A4982"/>
    <w:rsid w:val="006A7392"/>
    <w:rsid w:val="006C611B"/>
    <w:rsid w:val="006D245E"/>
    <w:rsid w:val="006E564B"/>
    <w:rsid w:val="006F4B64"/>
    <w:rsid w:val="00700F58"/>
    <w:rsid w:val="00704186"/>
    <w:rsid w:val="00704C96"/>
    <w:rsid w:val="00711BE7"/>
    <w:rsid w:val="00712DA4"/>
    <w:rsid w:val="00716E12"/>
    <w:rsid w:val="00721789"/>
    <w:rsid w:val="0072632A"/>
    <w:rsid w:val="00727917"/>
    <w:rsid w:val="007353B1"/>
    <w:rsid w:val="00740011"/>
    <w:rsid w:val="00743CD6"/>
    <w:rsid w:val="00750FA1"/>
    <w:rsid w:val="0075594C"/>
    <w:rsid w:val="00762C72"/>
    <w:rsid w:val="00787CC0"/>
    <w:rsid w:val="007963B8"/>
    <w:rsid w:val="007978CF"/>
    <w:rsid w:val="007A2C7E"/>
    <w:rsid w:val="007A5AAB"/>
    <w:rsid w:val="007A5CC2"/>
    <w:rsid w:val="007A63FC"/>
    <w:rsid w:val="007A6D79"/>
    <w:rsid w:val="007B6BA5"/>
    <w:rsid w:val="007C3390"/>
    <w:rsid w:val="007C4F4B"/>
    <w:rsid w:val="007D167B"/>
    <w:rsid w:val="007D2597"/>
    <w:rsid w:val="007D61E4"/>
    <w:rsid w:val="007F0B83"/>
    <w:rsid w:val="007F53E3"/>
    <w:rsid w:val="007F6479"/>
    <w:rsid w:val="007F6611"/>
    <w:rsid w:val="00801975"/>
    <w:rsid w:val="00801B58"/>
    <w:rsid w:val="00815B2B"/>
    <w:rsid w:val="0081683C"/>
    <w:rsid w:val="008175E9"/>
    <w:rsid w:val="008242D7"/>
    <w:rsid w:val="00827E05"/>
    <w:rsid w:val="008311A3"/>
    <w:rsid w:val="00831C02"/>
    <w:rsid w:val="00835974"/>
    <w:rsid w:val="008375FD"/>
    <w:rsid w:val="00840A99"/>
    <w:rsid w:val="00843E81"/>
    <w:rsid w:val="00852B20"/>
    <w:rsid w:val="008531AC"/>
    <w:rsid w:val="00871FD5"/>
    <w:rsid w:val="00873B33"/>
    <w:rsid w:val="008916CE"/>
    <w:rsid w:val="00894B44"/>
    <w:rsid w:val="008972DB"/>
    <w:rsid w:val="008979B1"/>
    <w:rsid w:val="00897D79"/>
    <w:rsid w:val="008A6B25"/>
    <w:rsid w:val="008A6C4F"/>
    <w:rsid w:val="008A721E"/>
    <w:rsid w:val="008A7BF3"/>
    <w:rsid w:val="008B5B24"/>
    <w:rsid w:val="008B7142"/>
    <w:rsid w:val="008D3860"/>
    <w:rsid w:val="008E0E46"/>
    <w:rsid w:val="008E4205"/>
    <w:rsid w:val="009055D2"/>
    <w:rsid w:val="00907AD2"/>
    <w:rsid w:val="00933F54"/>
    <w:rsid w:val="00963CBA"/>
    <w:rsid w:val="00966025"/>
    <w:rsid w:val="009728E4"/>
    <w:rsid w:val="00974A8D"/>
    <w:rsid w:val="009823B1"/>
    <w:rsid w:val="00986136"/>
    <w:rsid w:val="00991261"/>
    <w:rsid w:val="009969AC"/>
    <w:rsid w:val="0099737C"/>
    <w:rsid w:val="009B10A9"/>
    <w:rsid w:val="009B49D6"/>
    <w:rsid w:val="009D1D06"/>
    <w:rsid w:val="009D503E"/>
    <w:rsid w:val="009E3448"/>
    <w:rsid w:val="009E42CA"/>
    <w:rsid w:val="009F3A17"/>
    <w:rsid w:val="009F74BF"/>
    <w:rsid w:val="00A06BAA"/>
    <w:rsid w:val="00A11B01"/>
    <w:rsid w:val="00A13F96"/>
    <w:rsid w:val="00A1427D"/>
    <w:rsid w:val="00A25BD2"/>
    <w:rsid w:val="00A26876"/>
    <w:rsid w:val="00A67388"/>
    <w:rsid w:val="00A7212A"/>
    <w:rsid w:val="00A72F22"/>
    <w:rsid w:val="00A748A6"/>
    <w:rsid w:val="00A76373"/>
    <w:rsid w:val="00A837AA"/>
    <w:rsid w:val="00A85956"/>
    <w:rsid w:val="00A879A4"/>
    <w:rsid w:val="00A87CBB"/>
    <w:rsid w:val="00A97B4B"/>
    <w:rsid w:val="00AC620C"/>
    <w:rsid w:val="00AD5B1C"/>
    <w:rsid w:val="00AE069C"/>
    <w:rsid w:val="00AF01E2"/>
    <w:rsid w:val="00AF2D40"/>
    <w:rsid w:val="00AF7F16"/>
    <w:rsid w:val="00B30179"/>
    <w:rsid w:val="00B33EC0"/>
    <w:rsid w:val="00B43E8D"/>
    <w:rsid w:val="00B56E85"/>
    <w:rsid w:val="00B64642"/>
    <w:rsid w:val="00B64DB1"/>
    <w:rsid w:val="00B67D39"/>
    <w:rsid w:val="00B71785"/>
    <w:rsid w:val="00B81E12"/>
    <w:rsid w:val="00B85200"/>
    <w:rsid w:val="00B87A80"/>
    <w:rsid w:val="00B87C99"/>
    <w:rsid w:val="00BA65CA"/>
    <w:rsid w:val="00BB0F82"/>
    <w:rsid w:val="00BB341D"/>
    <w:rsid w:val="00BC74E9"/>
    <w:rsid w:val="00BD2146"/>
    <w:rsid w:val="00BD30F5"/>
    <w:rsid w:val="00BD4A3F"/>
    <w:rsid w:val="00BE0D1D"/>
    <w:rsid w:val="00BE12DA"/>
    <w:rsid w:val="00BE4F74"/>
    <w:rsid w:val="00BE618E"/>
    <w:rsid w:val="00C063F5"/>
    <w:rsid w:val="00C13427"/>
    <w:rsid w:val="00C17699"/>
    <w:rsid w:val="00C266E5"/>
    <w:rsid w:val="00C41A28"/>
    <w:rsid w:val="00C463DD"/>
    <w:rsid w:val="00C600DD"/>
    <w:rsid w:val="00C655EF"/>
    <w:rsid w:val="00C70F15"/>
    <w:rsid w:val="00C722E9"/>
    <w:rsid w:val="00C745C3"/>
    <w:rsid w:val="00C81073"/>
    <w:rsid w:val="00C92FC3"/>
    <w:rsid w:val="00C975C4"/>
    <w:rsid w:val="00C97CA0"/>
    <w:rsid w:val="00CA1546"/>
    <w:rsid w:val="00CB11D4"/>
    <w:rsid w:val="00CB3716"/>
    <w:rsid w:val="00CB7FBB"/>
    <w:rsid w:val="00CD13D6"/>
    <w:rsid w:val="00CD2547"/>
    <w:rsid w:val="00CD25A1"/>
    <w:rsid w:val="00CE4A8F"/>
    <w:rsid w:val="00CE6EFA"/>
    <w:rsid w:val="00CF764D"/>
    <w:rsid w:val="00D05FE2"/>
    <w:rsid w:val="00D06125"/>
    <w:rsid w:val="00D06955"/>
    <w:rsid w:val="00D14FCF"/>
    <w:rsid w:val="00D17BF3"/>
    <w:rsid w:val="00D2031B"/>
    <w:rsid w:val="00D222C9"/>
    <w:rsid w:val="00D225A0"/>
    <w:rsid w:val="00D25FE2"/>
    <w:rsid w:val="00D317BB"/>
    <w:rsid w:val="00D42394"/>
    <w:rsid w:val="00D4265B"/>
    <w:rsid w:val="00D43065"/>
    <w:rsid w:val="00D43252"/>
    <w:rsid w:val="00D46513"/>
    <w:rsid w:val="00D5006C"/>
    <w:rsid w:val="00D50FEF"/>
    <w:rsid w:val="00D66A10"/>
    <w:rsid w:val="00D8686E"/>
    <w:rsid w:val="00D9053F"/>
    <w:rsid w:val="00D978C6"/>
    <w:rsid w:val="00DA57B6"/>
    <w:rsid w:val="00DA67AD"/>
    <w:rsid w:val="00DB0370"/>
    <w:rsid w:val="00DB45FE"/>
    <w:rsid w:val="00DB5D0F"/>
    <w:rsid w:val="00DB5E6C"/>
    <w:rsid w:val="00DC524E"/>
    <w:rsid w:val="00DC6A44"/>
    <w:rsid w:val="00DD080B"/>
    <w:rsid w:val="00DE5784"/>
    <w:rsid w:val="00DE5DE2"/>
    <w:rsid w:val="00DF0251"/>
    <w:rsid w:val="00DF12F7"/>
    <w:rsid w:val="00DF5433"/>
    <w:rsid w:val="00E00CAD"/>
    <w:rsid w:val="00E02C81"/>
    <w:rsid w:val="00E074B3"/>
    <w:rsid w:val="00E115A0"/>
    <w:rsid w:val="00E130AB"/>
    <w:rsid w:val="00E1704D"/>
    <w:rsid w:val="00E267D0"/>
    <w:rsid w:val="00E26FFF"/>
    <w:rsid w:val="00E3774C"/>
    <w:rsid w:val="00E4475F"/>
    <w:rsid w:val="00E5556D"/>
    <w:rsid w:val="00E63923"/>
    <w:rsid w:val="00E673DD"/>
    <w:rsid w:val="00E7260F"/>
    <w:rsid w:val="00E7387B"/>
    <w:rsid w:val="00E74C76"/>
    <w:rsid w:val="00E805A5"/>
    <w:rsid w:val="00E83A60"/>
    <w:rsid w:val="00E87921"/>
    <w:rsid w:val="00E90EFF"/>
    <w:rsid w:val="00E90F62"/>
    <w:rsid w:val="00E96630"/>
    <w:rsid w:val="00EA264E"/>
    <w:rsid w:val="00EA43E9"/>
    <w:rsid w:val="00EB4F6E"/>
    <w:rsid w:val="00EB5478"/>
    <w:rsid w:val="00EC4B73"/>
    <w:rsid w:val="00ED7A2A"/>
    <w:rsid w:val="00EE0AB7"/>
    <w:rsid w:val="00EF1D7F"/>
    <w:rsid w:val="00EF28EB"/>
    <w:rsid w:val="00F037E8"/>
    <w:rsid w:val="00F15286"/>
    <w:rsid w:val="00F153C6"/>
    <w:rsid w:val="00F20AF6"/>
    <w:rsid w:val="00F25D06"/>
    <w:rsid w:val="00F27926"/>
    <w:rsid w:val="00F31F06"/>
    <w:rsid w:val="00F35567"/>
    <w:rsid w:val="00F408C3"/>
    <w:rsid w:val="00F42069"/>
    <w:rsid w:val="00F51516"/>
    <w:rsid w:val="00F53EDA"/>
    <w:rsid w:val="00F54B16"/>
    <w:rsid w:val="00F552F8"/>
    <w:rsid w:val="00F70F0D"/>
    <w:rsid w:val="00F7415C"/>
    <w:rsid w:val="00F74FF7"/>
    <w:rsid w:val="00F7753D"/>
    <w:rsid w:val="00F81D03"/>
    <w:rsid w:val="00F822F6"/>
    <w:rsid w:val="00F85F34"/>
    <w:rsid w:val="00F872B6"/>
    <w:rsid w:val="00F87DEB"/>
    <w:rsid w:val="00FA06F7"/>
    <w:rsid w:val="00FB171A"/>
    <w:rsid w:val="00FC20B3"/>
    <w:rsid w:val="00FC2BE8"/>
    <w:rsid w:val="00FC4101"/>
    <w:rsid w:val="00FC68B7"/>
    <w:rsid w:val="00FD7BF6"/>
    <w:rsid w:val="00FE2FCD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7D2597"/>
    <w:pPr>
      <w:spacing w:after="120"/>
      <w:ind w:left="2268" w:right="1134" w:hanging="1134"/>
      <w:jc w:val="both"/>
    </w:pPr>
  </w:style>
  <w:style w:type="character" w:customStyle="1" w:styleId="H1GChar">
    <w:name w:val="_ H_1_G Char"/>
    <w:link w:val="H1G"/>
    <w:rsid w:val="007D259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7D259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D2597"/>
    <w:rPr>
      <w:sz w:val="18"/>
      <w:lang w:eastAsia="en-US"/>
    </w:rPr>
  </w:style>
  <w:style w:type="character" w:customStyle="1" w:styleId="paraChar">
    <w:name w:val="para Char"/>
    <w:link w:val="para"/>
    <w:rsid w:val="007D2597"/>
    <w:rPr>
      <w:lang w:eastAsia="en-US"/>
    </w:rPr>
  </w:style>
  <w:style w:type="character" w:customStyle="1" w:styleId="HChGChar">
    <w:name w:val="_ H _Ch_G Char"/>
    <w:link w:val="HChG"/>
    <w:rsid w:val="00D225A0"/>
    <w:rPr>
      <w:b/>
      <w:sz w:val="28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D225A0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D225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8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2B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66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025"/>
  </w:style>
  <w:style w:type="character" w:customStyle="1" w:styleId="CommentTextChar">
    <w:name w:val="Comment Text Char"/>
    <w:link w:val="CommentText"/>
    <w:rsid w:val="00966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025"/>
    <w:rPr>
      <w:b/>
      <w:bCs/>
    </w:rPr>
  </w:style>
  <w:style w:type="character" w:customStyle="1" w:styleId="CommentSubjectChar">
    <w:name w:val="Comment Subject Char"/>
    <w:link w:val="CommentSubject"/>
    <w:rsid w:val="00966025"/>
    <w:rPr>
      <w:b/>
      <w:bCs/>
      <w:lang w:eastAsia="en-US"/>
    </w:rPr>
  </w:style>
  <w:style w:type="paragraph" w:customStyle="1" w:styleId="Default">
    <w:name w:val="Default"/>
    <w:rsid w:val="00C722E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3701A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CB7FBB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7D2597"/>
    <w:pPr>
      <w:spacing w:after="120"/>
      <w:ind w:left="2268" w:right="1134" w:hanging="1134"/>
      <w:jc w:val="both"/>
    </w:pPr>
  </w:style>
  <w:style w:type="character" w:customStyle="1" w:styleId="H1GChar">
    <w:name w:val="_ H_1_G Char"/>
    <w:link w:val="H1G"/>
    <w:rsid w:val="007D259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7D259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D2597"/>
    <w:rPr>
      <w:sz w:val="18"/>
      <w:lang w:eastAsia="en-US"/>
    </w:rPr>
  </w:style>
  <w:style w:type="character" w:customStyle="1" w:styleId="paraChar">
    <w:name w:val="para Char"/>
    <w:link w:val="para"/>
    <w:rsid w:val="007D2597"/>
    <w:rPr>
      <w:lang w:eastAsia="en-US"/>
    </w:rPr>
  </w:style>
  <w:style w:type="character" w:customStyle="1" w:styleId="HChGChar">
    <w:name w:val="_ H _Ch_G Char"/>
    <w:link w:val="HChG"/>
    <w:rsid w:val="00D225A0"/>
    <w:rPr>
      <w:b/>
      <w:sz w:val="28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D225A0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D225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8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2B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66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025"/>
  </w:style>
  <w:style w:type="character" w:customStyle="1" w:styleId="CommentTextChar">
    <w:name w:val="Comment Text Char"/>
    <w:link w:val="CommentText"/>
    <w:rsid w:val="00966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025"/>
    <w:rPr>
      <w:b/>
      <w:bCs/>
    </w:rPr>
  </w:style>
  <w:style w:type="character" w:customStyle="1" w:styleId="CommentSubjectChar">
    <w:name w:val="Comment Subject Char"/>
    <w:link w:val="CommentSubject"/>
    <w:rsid w:val="00966025"/>
    <w:rPr>
      <w:b/>
      <w:bCs/>
      <w:lang w:eastAsia="en-US"/>
    </w:rPr>
  </w:style>
  <w:style w:type="paragraph" w:customStyle="1" w:styleId="Default">
    <w:name w:val="Default"/>
    <w:rsid w:val="00C722E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3701A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CB7FBB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A15A-6A2B-4BD2-BB49-B247DE2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1610370</vt:lpstr>
      <vt:lpstr>1610370</vt:lpstr>
      <vt:lpstr/>
    </vt:vector>
  </TitlesOfParts>
  <Company>CSD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1610370</dc:title>
  <dc:subject>ECE/TRANS/WP.29/GRB/2016/7</dc:subject>
  <dc:creator>Anastasia Barinova</dc:creator>
  <cp:lastModifiedBy>Konstantin Glukhenkiy</cp:lastModifiedBy>
  <cp:revision>2</cp:revision>
  <cp:lastPrinted>2016-05-25T16:22:00Z</cp:lastPrinted>
  <dcterms:created xsi:type="dcterms:W3CDTF">2017-02-09T09:03:00Z</dcterms:created>
  <dcterms:modified xsi:type="dcterms:W3CDTF">2017-02-09T09:03:00Z</dcterms:modified>
</cp:coreProperties>
</file>