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03C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03C5" w:rsidP="00AF03C5">
            <w:pPr>
              <w:jc w:val="right"/>
            </w:pPr>
            <w:r w:rsidRPr="00AF03C5">
              <w:rPr>
                <w:sz w:val="40"/>
              </w:rPr>
              <w:t>ECE</w:t>
            </w:r>
            <w:r>
              <w:t>/TRANS/WP.29/2017/141</w:t>
            </w:r>
          </w:p>
        </w:tc>
      </w:tr>
      <w:tr w:rsidR="002D5AAC" w:rsidRPr="00AF03C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03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03C5" w:rsidRDefault="00AF03C5" w:rsidP="00AF03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2017</w:t>
            </w:r>
          </w:p>
          <w:p w:rsidR="00AF03C5" w:rsidRDefault="00AF03C5" w:rsidP="00AF03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03C5" w:rsidRPr="008D53B6" w:rsidRDefault="00AF03C5" w:rsidP="00AF03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03C5" w:rsidRPr="00AF03C5" w:rsidRDefault="00AF03C5" w:rsidP="00AF03C5">
      <w:pPr>
        <w:pStyle w:val="SingleTxtGR"/>
        <w:spacing w:before="120" w:line="240" w:lineRule="auto"/>
        <w:ind w:left="0"/>
        <w:jc w:val="left"/>
        <w:rPr>
          <w:sz w:val="28"/>
          <w:szCs w:val="28"/>
        </w:rPr>
      </w:pPr>
      <w:r w:rsidRPr="00AF03C5">
        <w:rPr>
          <w:sz w:val="28"/>
          <w:szCs w:val="28"/>
        </w:rPr>
        <w:t>Комитет по внутреннему транспорту</w:t>
      </w:r>
    </w:p>
    <w:p w:rsidR="00AF03C5" w:rsidRPr="00AF03C5" w:rsidRDefault="00AF03C5" w:rsidP="00AF03C5">
      <w:pPr>
        <w:pStyle w:val="SingleTxtGR"/>
        <w:spacing w:after="0" w:line="240" w:lineRule="auto"/>
        <w:ind w:left="0"/>
        <w:jc w:val="left"/>
        <w:rPr>
          <w:b/>
          <w:sz w:val="24"/>
          <w:szCs w:val="24"/>
        </w:rPr>
      </w:pPr>
      <w:r w:rsidRPr="00AF03C5">
        <w:rPr>
          <w:b/>
          <w:sz w:val="24"/>
          <w:szCs w:val="24"/>
        </w:rPr>
        <w:t xml:space="preserve">Всемирный форум для согласования правил </w:t>
      </w:r>
      <w:r w:rsidRPr="00AF03C5">
        <w:rPr>
          <w:b/>
          <w:sz w:val="24"/>
          <w:szCs w:val="24"/>
        </w:rPr>
        <w:br/>
        <w:t>в области транспортных средств</w:t>
      </w:r>
    </w:p>
    <w:p w:rsidR="00AF03C5" w:rsidRPr="00AF03AC" w:rsidRDefault="00AF03C5" w:rsidP="00AF03C5">
      <w:pPr>
        <w:pStyle w:val="SingleTxtGR"/>
        <w:spacing w:before="120" w:after="0" w:line="240" w:lineRule="auto"/>
        <w:ind w:left="0"/>
        <w:jc w:val="left"/>
        <w:rPr>
          <w:b/>
        </w:rPr>
      </w:pPr>
      <w:r w:rsidRPr="00AF03AC">
        <w:rPr>
          <w:b/>
        </w:rPr>
        <w:t>173-я сессия</w:t>
      </w:r>
    </w:p>
    <w:p w:rsidR="00AF03C5" w:rsidRPr="00AF03AC" w:rsidRDefault="00AF03C5" w:rsidP="00AF03C5">
      <w:pPr>
        <w:pStyle w:val="SingleTxtGR"/>
        <w:spacing w:after="0" w:line="240" w:lineRule="auto"/>
        <w:ind w:left="0"/>
        <w:jc w:val="left"/>
      </w:pPr>
      <w:r w:rsidRPr="00AF03AC">
        <w:t>Женева, 14–17 ноября 2017 года</w:t>
      </w:r>
    </w:p>
    <w:p w:rsidR="00AF03C5" w:rsidRPr="00AF03AC" w:rsidRDefault="00AF03C5" w:rsidP="00AF03C5">
      <w:pPr>
        <w:pStyle w:val="SingleTxtGR"/>
        <w:spacing w:after="0" w:line="240" w:lineRule="auto"/>
        <w:ind w:left="0"/>
        <w:jc w:val="left"/>
      </w:pPr>
      <w:r w:rsidRPr="00AF03AC">
        <w:t>Пункт 14.2 предварительной повестки дня</w:t>
      </w:r>
    </w:p>
    <w:p w:rsidR="00AF03C5" w:rsidRPr="00AF03AC" w:rsidRDefault="00AF03C5" w:rsidP="00AF03C5">
      <w:pPr>
        <w:pStyle w:val="SingleTxtGR"/>
        <w:spacing w:after="0" w:line="240" w:lineRule="auto"/>
        <w:ind w:left="0"/>
        <w:jc w:val="left"/>
        <w:rPr>
          <w:b/>
        </w:rPr>
      </w:pPr>
      <w:r w:rsidRPr="00AF03AC">
        <w:rPr>
          <w:b/>
        </w:rPr>
        <w:t xml:space="preserve">Рассмотрение </w:t>
      </w:r>
      <w:r w:rsidRPr="00AF03AC">
        <w:rPr>
          <w:b/>
          <w:lang w:val="en-GB"/>
        </w:rPr>
        <w:t>AC</w:t>
      </w:r>
      <w:r w:rsidRPr="00AF03AC">
        <w:rPr>
          <w:b/>
        </w:rPr>
        <w:t xml:space="preserve">.3 проектов ГТП ООН и/или проектов </w:t>
      </w:r>
      <w:r w:rsidRPr="00AF03AC">
        <w:rPr>
          <w:b/>
        </w:rPr>
        <w:br/>
        <w:t>поправок к введенным ГТП ООН и голосование по ним:</w:t>
      </w:r>
      <w:r w:rsidRPr="00AF03AC">
        <w:rPr>
          <w:b/>
        </w:rPr>
        <w:br/>
        <w:t>Предложение по поправке 3 к ГТП № 15 ООН (всемирные</w:t>
      </w:r>
      <w:r w:rsidRPr="00AF03AC">
        <w:rPr>
          <w:b/>
        </w:rPr>
        <w:br/>
        <w:t>согласованные процедуры испытания транспортных средств</w:t>
      </w:r>
    </w:p>
    <w:p w:rsidR="00AF03C5" w:rsidRPr="00AF03AC" w:rsidRDefault="00AF03C5" w:rsidP="00AF03C5">
      <w:pPr>
        <w:pStyle w:val="SingleTxtGR"/>
        <w:spacing w:after="0" w:line="240" w:lineRule="auto"/>
        <w:ind w:left="0"/>
        <w:jc w:val="left"/>
        <w:rPr>
          <w:b/>
        </w:rPr>
      </w:pPr>
      <w:r w:rsidRPr="00AF03AC">
        <w:rPr>
          <w:b/>
        </w:rPr>
        <w:t>малой грузоподъемности (ВПИМ))</w:t>
      </w:r>
    </w:p>
    <w:p w:rsidR="00AF03C5" w:rsidRPr="00B959F3" w:rsidRDefault="00AF03C5" w:rsidP="00AF03C5">
      <w:pPr>
        <w:pStyle w:val="HChGR"/>
        <w:rPr>
          <w:rFonts w:eastAsia="MS Mincho"/>
        </w:rPr>
      </w:pPr>
      <w:r w:rsidRPr="00B959F3">
        <w:rPr>
          <w:rFonts w:eastAsia="MS Mincho"/>
        </w:rPr>
        <w:tab/>
      </w:r>
      <w:r w:rsidRPr="00B959F3">
        <w:rPr>
          <w:rFonts w:eastAsia="MS Mincho"/>
        </w:rPr>
        <w:tab/>
        <w:t xml:space="preserve">Технический доклад о разработке поправки 3 </w:t>
      </w:r>
      <w:r w:rsidRPr="00B959F3">
        <w:br/>
      </w:r>
      <w:r w:rsidRPr="00B959F3">
        <w:rPr>
          <w:rFonts w:eastAsia="MS Mincho"/>
        </w:rPr>
        <w:t xml:space="preserve">к ГТП № 15 ООН (всемирные согласованные процедуры испытания транспортных средств </w:t>
      </w:r>
      <w:r w:rsidRPr="00B959F3">
        <w:br/>
      </w:r>
      <w:r w:rsidRPr="00B959F3">
        <w:rPr>
          <w:rFonts w:eastAsia="MS Mincho"/>
        </w:rPr>
        <w:t>малой грузоподъемности (ВПИМ))</w:t>
      </w:r>
    </w:p>
    <w:p w:rsidR="00AF03C5" w:rsidRPr="00B959F3" w:rsidRDefault="00AF03C5" w:rsidP="00AF03C5">
      <w:pPr>
        <w:pStyle w:val="H1GR"/>
        <w:rPr>
          <w:rFonts w:eastAsia="MS Mincho"/>
        </w:rPr>
      </w:pPr>
      <w:r w:rsidRPr="00B959F3">
        <w:rPr>
          <w:rFonts w:eastAsia="MS Mincho"/>
        </w:rPr>
        <w:tab/>
      </w:r>
      <w:r w:rsidRPr="00B959F3">
        <w:rPr>
          <w:rFonts w:eastAsia="MS Mincho"/>
        </w:rPr>
        <w:tab/>
        <w:t>Представлен Рабочей группой по проблемам энергии и</w:t>
      </w:r>
      <w:r w:rsidRPr="00B959F3">
        <w:t> </w:t>
      </w:r>
      <w:r w:rsidRPr="00B959F3">
        <w:rPr>
          <w:rFonts w:eastAsia="MS Mincho"/>
        </w:rPr>
        <w:t>загрязнения окружающей среды</w:t>
      </w:r>
      <w:r w:rsidRPr="00B959F3">
        <w:rPr>
          <w:rFonts w:eastAsia="MS Mincho"/>
        </w:rPr>
        <w:footnoteReference w:customMarkFollows="1" w:id="1"/>
        <w:t>*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ab/>
        <w:t>Воспроизведенный ниже текст был рекомендован Рабочей группой по проблемам энергии и загрязнения окружающей среды (</w:t>
      </w:r>
      <w:r w:rsidRPr="00AF03AC">
        <w:rPr>
          <w:lang w:val="en-GB"/>
        </w:rPr>
        <w:t>GRPE</w:t>
      </w:r>
      <w:r w:rsidRPr="00AF03AC">
        <w:t>) на ее семьдесят пятой сессии (</w:t>
      </w:r>
      <w:r w:rsidRPr="00AF03AC">
        <w:rPr>
          <w:lang w:val="en-GB"/>
        </w:rPr>
        <w:t>ECE</w:t>
      </w:r>
      <w:r w:rsidRPr="00AF03AC">
        <w:t>/</w:t>
      </w:r>
      <w:r w:rsidRPr="00AF03AC">
        <w:rPr>
          <w:lang w:val="en-GB"/>
        </w:rPr>
        <w:t>TRANS</w:t>
      </w:r>
      <w:r w:rsidRPr="00AF03AC">
        <w:t>/</w:t>
      </w:r>
      <w:r w:rsidRPr="00AF03AC">
        <w:rPr>
          <w:lang w:val="en-GB"/>
        </w:rPr>
        <w:t>WP</w:t>
      </w:r>
      <w:r w:rsidRPr="00AF03AC">
        <w:t>.29/</w:t>
      </w:r>
      <w:r w:rsidRPr="00AF03AC">
        <w:rPr>
          <w:lang w:val="en-GB"/>
        </w:rPr>
        <w:t>GRPE</w:t>
      </w:r>
      <w:r w:rsidRPr="00AF03AC">
        <w:t xml:space="preserve">/75, пункт 11). В его основу положен документ </w:t>
      </w:r>
      <w:r w:rsidRPr="00AF03AC">
        <w:rPr>
          <w:lang w:val="en-GB"/>
        </w:rPr>
        <w:t>GRPE</w:t>
      </w:r>
      <w:r w:rsidRPr="00AF03AC">
        <w:t xml:space="preserve">-75-07, воспроизведенный в приложении </w:t>
      </w:r>
      <w:r w:rsidRPr="00AF03AC">
        <w:rPr>
          <w:lang w:val="en-GB"/>
        </w:rPr>
        <w:t>V</w:t>
      </w:r>
      <w:r w:rsidRPr="00AF03AC">
        <w:t xml:space="preserve"> к докладу. Он представляется</w:t>
      </w:r>
      <w:r w:rsidRPr="00AF03AC">
        <w:rPr>
          <w:b/>
        </w:rPr>
        <w:t xml:space="preserve"> </w:t>
      </w:r>
      <w:r w:rsidRPr="00AF03AC">
        <w:t>Всемирному форуму для согласования правил в области транспортных средств (</w:t>
      </w:r>
      <w:r w:rsidRPr="00AF03AC">
        <w:rPr>
          <w:lang w:val="en-GB"/>
        </w:rPr>
        <w:t>WP</w:t>
      </w:r>
      <w:r w:rsidRPr="00AF03AC">
        <w:t>.29) и Исполнительному комитету (</w:t>
      </w:r>
      <w:r w:rsidRPr="00AF03AC">
        <w:rPr>
          <w:lang w:val="en-GB"/>
        </w:rPr>
        <w:t>AC</w:t>
      </w:r>
      <w:r w:rsidRPr="00AF03AC">
        <w:t>.3) Соглашения 1998 </w:t>
      </w:r>
      <w:proofErr w:type="spellStart"/>
      <w:proofErr w:type="gramStart"/>
      <w:r w:rsidRPr="00AF03AC">
        <w:t>го</w:t>
      </w:r>
      <w:proofErr w:type="spellEnd"/>
      <w:r w:rsidRPr="00AF03AC">
        <w:t>-да</w:t>
      </w:r>
      <w:proofErr w:type="gramEnd"/>
      <w:r w:rsidRPr="00AF03AC">
        <w:t xml:space="preserve"> для рассмотрения на их сессиях в ноябре 2017 года.</w:t>
      </w:r>
    </w:p>
    <w:p w:rsidR="00AF03C5" w:rsidRPr="00B65851" w:rsidRDefault="00AF03C5" w:rsidP="00B65851">
      <w:pPr>
        <w:pStyle w:val="HChGR"/>
      </w:pPr>
      <w:r w:rsidRPr="00B65851">
        <w:br w:type="page"/>
      </w:r>
      <w:r w:rsidRPr="00B65851">
        <w:lastRenderedPageBreak/>
        <w:tab/>
      </w:r>
      <w:r w:rsidRPr="00B65851">
        <w:tab/>
      </w:r>
      <w:r w:rsidRPr="00B65851">
        <w:rPr>
          <w:rFonts w:eastAsia="MS Mincho"/>
        </w:rPr>
        <w:t>Технический доклад о разработке поправки 3 к</w:t>
      </w:r>
      <w:r w:rsidRPr="00B65851">
        <w:t> </w:t>
      </w:r>
      <w:r w:rsidRPr="00B65851">
        <w:rPr>
          <w:rFonts w:eastAsia="MS Mincho"/>
        </w:rPr>
        <w:t>ГТП</w:t>
      </w:r>
      <w:r w:rsidRPr="00B65851">
        <w:t> </w:t>
      </w:r>
      <w:r w:rsidRPr="00B65851">
        <w:rPr>
          <w:rFonts w:eastAsia="MS Mincho"/>
        </w:rPr>
        <w:t xml:space="preserve">№ 15 ООН (всемирные согласованные процедуры испытания транспортных средств </w:t>
      </w:r>
      <w:r w:rsidRPr="00B65851">
        <w:br/>
      </w:r>
      <w:r w:rsidRPr="00B65851">
        <w:rPr>
          <w:rFonts w:eastAsia="MS Mincho"/>
        </w:rPr>
        <w:t>малой грузоподъемности (ВПИМ))</w:t>
      </w:r>
    </w:p>
    <w:p w:rsidR="00AF03C5" w:rsidRPr="00B65851" w:rsidRDefault="00AF03C5" w:rsidP="00B65851">
      <w:pPr>
        <w:pStyle w:val="HChGR"/>
      </w:pPr>
      <w:r w:rsidRPr="00B65851">
        <w:tab/>
        <w:t>I.</w:t>
      </w:r>
      <w:r w:rsidRPr="00B65851">
        <w:tab/>
        <w:t>Мандат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1.</w:t>
      </w:r>
      <w:r w:rsidRPr="00AF03AC">
        <w:tab/>
        <w:t>Поправка 3 к Глобальным техническим правилам (ГТП) № 15 ООН была разработана неофициальной рабочей группой (НРГ) по всемирным согласованным процедурам испытания транспортных средств малой грузоподъемности (ВПИМ) в рамках этапа 2 разработки ГТП № 15. Исполнительный комитет Соглашения 1998 года (AC.3) одобрил разрешение на этап 2 разработки ГТП № 15 на его сессии в июне 2016 года (ECE/TRANS/WP.29/AC.3/44).</w:t>
      </w:r>
    </w:p>
    <w:p w:rsidR="00AF03C5" w:rsidRPr="00B65851" w:rsidRDefault="00AF03C5" w:rsidP="00B65851">
      <w:pPr>
        <w:pStyle w:val="HChGR"/>
      </w:pPr>
      <w:r w:rsidRPr="00B65851">
        <w:tab/>
        <w:t>II.</w:t>
      </w:r>
      <w:r w:rsidRPr="00B65851">
        <w:tab/>
        <w:t>Цели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2.</w:t>
      </w:r>
      <w:r w:rsidRPr="00AF03AC">
        <w:tab/>
        <w:t>Уточнить терминологию применительно к фазе, циклу и классу транспортного средства. Это обеспечивает возможность интерполяции между различными уровнями пропорционального снижения параметров, различными классами цикла и различными значениями предельной скорости; все это было сочтено технически обоснованным. Надлежащим образом были изменены все рисунки в ГТП, отражающие фазы цикла ВЦИМГ, а также соответствующие таблицы зависимости скорости от времени.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3.</w:t>
      </w:r>
      <w:r w:rsidRPr="00AF03AC">
        <w:tab/>
        <w:t xml:space="preserve">Внести улучшения в процедуры переключения передач. Это удалось добиться за счет изменения порядка выбора передачи и определения точки переключения передач для транспортных средств с механической коробкой передач. В более конкретном плане это касалось процедуры расчета моментов переключения передач для интерполяционного семейства; определения параметра </w:t>
      </w:r>
      <w:proofErr w:type="spellStart"/>
      <w:r w:rsidRPr="00AF03AC">
        <w:t>v</w:t>
      </w:r>
      <w:r w:rsidRPr="00AF03AC">
        <w:rPr>
          <w:vertAlign w:val="subscript"/>
        </w:rPr>
        <w:t>max</w:t>
      </w:r>
      <w:proofErr w:type="spellEnd"/>
      <w:r w:rsidRPr="00AF03AC">
        <w:t xml:space="preserve">, подлежащего использованию для целей отнесения к классу и установления порядка переключения передач; уточнения порядка использования параметра </w:t>
      </w:r>
      <w:proofErr w:type="spellStart"/>
      <w:r w:rsidRPr="00AF03AC">
        <w:t>v</w:t>
      </w:r>
      <w:r w:rsidRPr="00AF03AC">
        <w:rPr>
          <w:vertAlign w:val="subscript"/>
        </w:rPr>
        <w:t>max</w:t>
      </w:r>
      <w:proofErr w:type="spellEnd"/>
      <w:r w:rsidRPr="00AF03AC">
        <w:t xml:space="preserve"> при использовании редуцированного цикла в качестве базового цикла; расчета минимальной частоты вращения двигателя для целей прогона; уточнения условий включения передачи, на которой достигается максимальная скорость; и обеспечения дополнительного коэффициента запаса по кривой мощности при полной нагрузке.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4.</w:t>
      </w:r>
      <w:r w:rsidRPr="00AF03AC">
        <w:tab/>
        <w:t xml:space="preserve">Определить возможные и допустимые сочетания требований к отбору испытуемого транспортного средства и требований в отношении семейств. Это было сделано путем включения соответствующей таблицы и устранения повторов в тексте. 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5.</w:t>
      </w:r>
      <w:r w:rsidRPr="00AF03AC">
        <w:tab/>
        <w:t>Определить порядок расчета средней испытательной массы при определении дорожной нагрузки.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6.</w:t>
      </w:r>
      <w:r w:rsidRPr="00AF03AC">
        <w:tab/>
        <w:t>Дать определение динамометрических стендов с одним и двумя барабанами.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7.</w:t>
      </w:r>
      <w:r w:rsidRPr="00AF03AC">
        <w:tab/>
        <w:t xml:space="preserve">Исправить небольшие орфографические ошибки и/или пунктуационные огрехи, а также преобразовать структуру отдельных пунктов. Обеспечить сквозную согласованность используемых формулировок и привести текст ГТП к единому формату. </w:t>
      </w:r>
    </w:p>
    <w:p w:rsidR="00AF03C5" w:rsidRPr="00B65851" w:rsidRDefault="00AF03C5" w:rsidP="00B65851">
      <w:pPr>
        <w:pStyle w:val="HChGR"/>
      </w:pPr>
      <w:r w:rsidRPr="00B65851">
        <w:tab/>
        <w:t>III.</w:t>
      </w:r>
      <w:r w:rsidRPr="00B65851">
        <w:tab/>
        <w:t>Совещания, проведенные целевыми группами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>8.</w:t>
      </w:r>
      <w:r w:rsidRPr="00AF03AC">
        <w:tab/>
        <w:t>Предлагаемые изменения к Поправке 3 к ГТП № 15, перечисленные в разделе II выше, являлись предметом обстоятельного обсуждения и согласования всеми участвующими сторонами в ходе следующих очных или аудио-/</w:t>
      </w:r>
      <w:r w:rsidRPr="00AF03AC">
        <w:br/>
        <w:t>интерактивных совещаний целевых групп: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lastRenderedPageBreak/>
        <w:tab/>
        <w:t>a)</w:t>
      </w:r>
      <w:r w:rsidRPr="00AF03AC">
        <w:tab/>
        <w:t>совещание редакционной подгруппы – 2 марта 2017 года;</w:t>
      </w:r>
    </w:p>
    <w:p w:rsidR="00AF03C5" w:rsidRPr="00AF03AC" w:rsidRDefault="00AF03C5" w:rsidP="00AF03C5">
      <w:pPr>
        <w:pStyle w:val="SingleTxtGR"/>
        <w:spacing w:line="240" w:lineRule="auto"/>
      </w:pPr>
      <w:r w:rsidRPr="00AF03AC">
        <w:tab/>
        <w:t>b)</w:t>
      </w:r>
      <w:r w:rsidRPr="00AF03AC">
        <w:tab/>
        <w:t>семнадцатое совещание НРГ в январе 2017 года в Женеве;</w:t>
      </w:r>
    </w:p>
    <w:p w:rsidR="00AF03C5" w:rsidRPr="006407CE" w:rsidRDefault="00AF03C5" w:rsidP="00AF03C5">
      <w:pPr>
        <w:pStyle w:val="SingleTxtGR"/>
        <w:spacing w:line="240" w:lineRule="auto"/>
      </w:pPr>
      <w:r w:rsidRPr="00AF03AC">
        <w:tab/>
      </w:r>
      <w:r w:rsidRPr="00AF03AC">
        <w:rPr>
          <w:lang w:val="en-GB"/>
        </w:rPr>
        <w:t>c</w:t>
      </w:r>
      <w:r w:rsidRPr="00AF03AC">
        <w:t>)</w:t>
      </w:r>
      <w:r w:rsidRPr="00AF03AC">
        <w:tab/>
      </w:r>
      <w:proofErr w:type="gramStart"/>
      <w:r w:rsidRPr="00AF03AC">
        <w:t>совещания</w:t>
      </w:r>
      <w:proofErr w:type="gramEnd"/>
      <w:r w:rsidRPr="00AF03AC">
        <w:t xml:space="preserve"> целевой группы по коробке передач, проведенные 26</w:t>
      </w:r>
      <w:r w:rsidRPr="00AF03AC">
        <w:rPr>
          <w:lang w:val="en-GB"/>
        </w:rPr>
        <w:t> </w:t>
      </w:r>
      <w:r w:rsidRPr="00AF03AC">
        <w:t>сентября и 16 декабря 2016 года.</w:t>
      </w:r>
    </w:p>
    <w:p w:rsidR="00AF03C5" w:rsidRPr="006407CE" w:rsidRDefault="00AF03C5" w:rsidP="00AF03C5">
      <w:pPr>
        <w:pStyle w:val="SingleTxtGR"/>
        <w:spacing w:before="240" w:after="0" w:line="240" w:lineRule="auto"/>
        <w:jc w:val="center"/>
        <w:rPr>
          <w:u w:val="single"/>
        </w:rPr>
      </w:pPr>
      <w:r w:rsidRPr="006407CE">
        <w:rPr>
          <w:u w:val="single"/>
        </w:rPr>
        <w:tab/>
      </w:r>
      <w:r w:rsidRPr="006407CE">
        <w:rPr>
          <w:u w:val="single"/>
        </w:rPr>
        <w:tab/>
      </w:r>
      <w:r w:rsidRPr="006407CE">
        <w:rPr>
          <w:u w:val="single"/>
        </w:rPr>
        <w:tab/>
      </w:r>
    </w:p>
    <w:p w:rsidR="00E12C5F" w:rsidRPr="008D53B6" w:rsidRDefault="00E12C5F" w:rsidP="002E5067"/>
    <w:sectPr w:rsidR="00E12C5F" w:rsidRPr="008D53B6" w:rsidSect="00AF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6A" w:rsidRPr="00A312BC" w:rsidRDefault="00406B6A" w:rsidP="00A312BC"/>
  </w:endnote>
  <w:endnote w:type="continuationSeparator" w:id="0">
    <w:p w:rsidR="00406B6A" w:rsidRPr="00A312BC" w:rsidRDefault="00406B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C5" w:rsidRPr="00AF03C5" w:rsidRDefault="00AF03C5">
    <w:pPr>
      <w:pStyle w:val="Footer"/>
    </w:pPr>
    <w:r w:rsidRPr="00AF03C5">
      <w:rPr>
        <w:b/>
        <w:sz w:val="18"/>
      </w:rPr>
      <w:fldChar w:fldCharType="begin"/>
    </w:r>
    <w:r w:rsidRPr="00AF03C5">
      <w:rPr>
        <w:b/>
        <w:sz w:val="18"/>
      </w:rPr>
      <w:instrText xml:space="preserve"> PAGE  \* MERGEFORMAT </w:instrText>
    </w:r>
    <w:r w:rsidRPr="00AF03C5">
      <w:rPr>
        <w:b/>
        <w:sz w:val="18"/>
      </w:rPr>
      <w:fldChar w:fldCharType="separate"/>
    </w:r>
    <w:r w:rsidR="00CF11D3">
      <w:rPr>
        <w:b/>
        <w:noProof/>
        <w:sz w:val="18"/>
      </w:rPr>
      <w:t>2</w:t>
    </w:r>
    <w:r w:rsidRPr="00AF03C5">
      <w:rPr>
        <w:b/>
        <w:sz w:val="18"/>
      </w:rPr>
      <w:fldChar w:fldCharType="end"/>
    </w:r>
    <w:r>
      <w:rPr>
        <w:b/>
        <w:sz w:val="18"/>
      </w:rPr>
      <w:tab/>
    </w:r>
    <w:r>
      <w:t>GE.17-14739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C5" w:rsidRPr="00AF03C5" w:rsidRDefault="00AF03C5" w:rsidP="00AF03C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GE.17-14739</w:t>
    </w:r>
    <w:r>
      <w:tab/>
    </w:r>
    <w:r w:rsidRPr="00AF03C5">
      <w:rPr>
        <w:b/>
        <w:sz w:val="18"/>
      </w:rPr>
      <w:fldChar w:fldCharType="begin"/>
    </w:r>
    <w:r w:rsidRPr="00AF03C5">
      <w:rPr>
        <w:b/>
        <w:sz w:val="18"/>
      </w:rPr>
      <w:instrText xml:space="preserve"> PAGE  \* MERGEFORMAT </w:instrText>
    </w:r>
    <w:r w:rsidRPr="00AF03C5">
      <w:rPr>
        <w:b/>
        <w:sz w:val="18"/>
      </w:rPr>
      <w:fldChar w:fldCharType="separate"/>
    </w:r>
    <w:r w:rsidR="00CF11D3">
      <w:rPr>
        <w:b/>
        <w:noProof/>
        <w:sz w:val="18"/>
      </w:rPr>
      <w:t>3</w:t>
    </w:r>
    <w:r w:rsidRPr="00AF03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F03C5" w:rsidRDefault="00AF03C5" w:rsidP="00AF03C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78F513" wp14:editId="565EB3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17-14739  (R)</w:t>
    </w:r>
    <w:r>
      <w:rPr>
        <w:lang w:val="en-US"/>
      </w:rPr>
      <w:t xml:space="preserve">  180917  180917</w:t>
    </w:r>
    <w:r>
      <w:br/>
    </w:r>
    <w:r w:rsidRPr="00AF03C5">
      <w:rPr>
        <w:rFonts w:ascii="C39T30Lfz" w:hAnsi="C39T30Lfz"/>
        <w:spacing w:val="0"/>
        <w:w w:val="100"/>
        <w:sz w:val="56"/>
      </w:rPr>
      <w:t></w:t>
    </w:r>
    <w:r w:rsidRPr="00AF03C5">
      <w:rPr>
        <w:rFonts w:ascii="C39T30Lfz" w:hAnsi="C39T30Lfz"/>
        <w:spacing w:val="0"/>
        <w:w w:val="100"/>
        <w:sz w:val="56"/>
      </w:rPr>
      <w:t></w:t>
    </w:r>
    <w:r w:rsidRPr="00AF03C5">
      <w:rPr>
        <w:rFonts w:ascii="C39T30Lfz" w:hAnsi="C39T30Lfz"/>
        <w:spacing w:val="0"/>
        <w:w w:val="100"/>
        <w:sz w:val="56"/>
      </w:rPr>
      <w:t></w:t>
    </w:r>
    <w:r w:rsidRPr="00AF03C5">
      <w:rPr>
        <w:rFonts w:ascii="C39T30Lfz" w:hAnsi="C39T30Lfz"/>
        <w:spacing w:val="0"/>
        <w:w w:val="100"/>
        <w:sz w:val="56"/>
      </w:rPr>
      <w:t></w:t>
    </w:r>
    <w:r w:rsidRPr="00AF03C5">
      <w:rPr>
        <w:rFonts w:ascii="C39T30Lfz" w:hAnsi="C39T30Lfz"/>
        <w:spacing w:val="0"/>
        <w:w w:val="100"/>
        <w:sz w:val="56"/>
      </w:rPr>
      <w:t></w:t>
    </w:r>
    <w:r w:rsidRPr="00AF03C5">
      <w:rPr>
        <w:rFonts w:ascii="C39T30Lfz" w:hAnsi="C39T30Lfz"/>
        <w:spacing w:val="0"/>
        <w:w w:val="100"/>
        <w:sz w:val="56"/>
      </w:rPr>
      <w:t></w:t>
    </w:r>
    <w:r w:rsidRPr="00AF03C5">
      <w:rPr>
        <w:rFonts w:ascii="C39T30Lfz" w:hAnsi="C39T30Lfz"/>
        <w:spacing w:val="0"/>
        <w:w w:val="100"/>
        <w:sz w:val="56"/>
      </w:rPr>
      <w:t></w:t>
    </w:r>
    <w:r w:rsidRPr="00AF03C5">
      <w:rPr>
        <w:rFonts w:ascii="C39T30Lfz" w:hAnsi="C39T30Lfz"/>
        <w:spacing w:val="0"/>
        <w:w w:val="100"/>
        <w:sz w:val="56"/>
      </w:rPr>
      <w:t></w:t>
    </w:r>
    <w:r w:rsidRPr="00AF03C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6A" w:rsidRPr="001075E9" w:rsidRDefault="00406B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B6A" w:rsidRDefault="00406B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F03C5" w:rsidRPr="00F273FD" w:rsidRDefault="00AF03C5" w:rsidP="00AF03C5">
      <w:pPr>
        <w:pStyle w:val="FootnoteText"/>
        <w:rPr>
          <w:lang w:val="ru-RU"/>
        </w:rPr>
      </w:pPr>
      <w:r>
        <w:tab/>
      </w:r>
      <w:r w:rsidRPr="00C44235">
        <w:rPr>
          <w:rStyle w:val="FootnoteReference"/>
          <w:sz w:val="20"/>
          <w:vertAlign w:val="baseline"/>
          <w:lang w:val="ru-RU"/>
        </w:rPr>
        <w:t>*</w:t>
      </w:r>
      <w:r w:rsidRPr="0032524B">
        <w:rPr>
          <w:sz w:val="20"/>
          <w:lang w:val="ru-RU"/>
        </w:rPr>
        <w:tab/>
      </w:r>
      <w:r w:rsidRPr="0032524B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C44235">
        <w:rPr>
          <w:szCs w:val="18"/>
          <w:lang w:val="ru-RU"/>
        </w:rPr>
        <w:br/>
      </w:r>
      <w:r w:rsidRPr="0032524B">
        <w:rPr>
          <w:szCs w:val="18"/>
          <w:lang w:val="ru-RU"/>
        </w:rPr>
        <w:t>на 2016–2017 годы (</w:t>
      </w:r>
      <w:r w:rsidRPr="00247331">
        <w:rPr>
          <w:szCs w:val="18"/>
          <w:lang w:val="en-US"/>
        </w:rPr>
        <w:t>ECE</w:t>
      </w:r>
      <w:r w:rsidRPr="0032524B">
        <w:rPr>
          <w:szCs w:val="18"/>
          <w:lang w:val="ru-RU"/>
        </w:rPr>
        <w:t>/</w:t>
      </w:r>
      <w:r w:rsidRPr="00247331">
        <w:rPr>
          <w:szCs w:val="18"/>
          <w:lang w:val="en-US"/>
        </w:rPr>
        <w:t>TRANS</w:t>
      </w:r>
      <w:r w:rsidRPr="0032524B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32524B">
        <w:rPr>
          <w:szCs w:val="18"/>
          <w:lang w:val="ru-RU"/>
        </w:rPr>
        <w:t xml:space="preserve"> 159</w:t>
      </w:r>
      <w:r>
        <w:rPr>
          <w:szCs w:val="18"/>
          <w:lang w:val="ru-RU"/>
        </w:rPr>
        <w:t>,</w:t>
      </w:r>
      <w:r w:rsidRPr="0032524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32524B">
        <w:rPr>
          <w:szCs w:val="18"/>
          <w:lang w:val="ru-RU"/>
        </w:rPr>
        <w:t xml:space="preserve"> </w:t>
      </w:r>
      <w:r w:rsidRPr="00247331">
        <w:rPr>
          <w:szCs w:val="18"/>
          <w:lang w:val="en-US"/>
        </w:rPr>
        <w:t>ECE</w:t>
      </w:r>
      <w:r w:rsidRPr="0032524B">
        <w:rPr>
          <w:szCs w:val="18"/>
          <w:lang w:val="ru-RU"/>
        </w:rPr>
        <w:t>/</w:t>
      </w:r>
      <w:r w:rsidRPr="00247331">
        <w:rPr>
          <w:szCs w:val="18"/>
          <w:lang w:val="en-US"/>
        </w:rPr>
        <w:t>TRANS</w:t>
      </w:r>
      <w:r w:rsidRPr="0032524B">
        <w:rPr>
          <w:szCs w:val="18"/>
          <w:lang w:val="ru-RU"/>
        </w:rPr>
        <w:t>/2016/28/</w:t>
      </w:r>
      <w:r w:rsidRPr="00247331">
        <w:rPr>
          <w:szCs w:val="18"/>
          <w:lang w:val="en-US"/>
        </w:rPr>
        <w:t>Add</w:t>
      </w:r>
      <w:r w:rsidRPr="0032524B">
        <w:rPr>
          <w:szCs w:val="18"/>
          <w:lang w:val="ru-RU"/>
        </w:rPr>
        <w:t xml:space="preserve">.1, </w:t>
      </w:r>
      <w:r>
        <w:rPr>
          <w:szCs w:val="18"/>
          <w:lang w:val="ru-RU"/>
        </w:rPr>
        <w:t>направление</w:t>
      </w:r>
      <w:r w:rsidRPr="0032524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32524B">
        <w:rPr>
          <w:szCs w:val="18"/>
          <w:lang w:val="ru-RU"/>
        </w:rPr>
        <w:t xml:space="preserve">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F273FD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C5" w:rsidRPr="00AF03C5" w:rsidRDefault="00CF11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C5" w:rsidRPr="00AF03C5" w:rsidRDefault="00CF11D3" w:rsidP="00AF03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ECE/TRANS/WP.29/2017/141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C5" w:rsidRDefault="00AF03C5" w:rsidP="00AF03C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6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6B6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6E1E"/>
    <w:rsid w:val="00680D03"/>
    <w:rsid w:val="00681A10"/>
    <w:rsid w:val="006A1ED8"/>
    <w:rsid w:val="006C2031"/>
    <w:rsid w:val="006D461A"/>
    <w:rsid w:val="006F35EE"/>
    <w:rsid w:val="007021FF"/>
    <w:rsid w:val="00712895"/>
    <w:rsid w:val="00734109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03C5"/>
    <w:rsid w:val="00B10CC7"/>
    <w:rsid w:val="00B36DF7"/>
    <w:rsid w:val="00B539E7"/>
    <w:rsid w:val="00B62458"/>
    <w:rsid w:val="00B65851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11D3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58F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6D83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43784-79E4-4948-9454-6D06ECA4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ECE/TRANS/WP.29/2017/141</vt:lpstr>
      <vt:lpstr>ECE/TRANS/WP.29/2017/141</vt:lpstr>
      <vt:lpstr>A/</vt:lpstr>
    </vt:vector>
  </TitlesOfParts>
  <Company>DCM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ECE/TRANS/WP.29/2017/141</dc:title>
  <dc:subject/>
  <dc:creator>Ovchinnikova Olga</dc:creator>
  <cp:keywords/>
  <cp:lastModifiedBy>Marie-Claude Collet</cp:lastModifiedBy>
  <cp:revision>3</cp:revision>
  <cp:lastPrinted>2017-09-26T13:28:00Z</cp:lastPrinted>
  <dcterms:created xsi:type="dcterms:W3CDTF">2017-09-26T13:28:00Z</dcterms:created>
  <dcterms:modified xsi:type="dcterms:W3CDTF">2017-09-26T13:29:00Z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