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377186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847F2B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8426F8">
              <w:rPr>
                <w:lang w:val="en-GB"/>
              </w:rPr>
              <w:t>12</w:t>
            </w:r>
            <w:r w:rsidR="008120A8">
              <w:rPr>
                <w:lang w:val="en-GB"/>
              </w:rPr>
              <w:t>4</w:t>
            </w:r>
          </w:p>
        </w:tc>
      </w:tr>
      <w:tr w:rsidR="00AF2205" w:rsidRPr="003F4BA3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3C74F8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480679">
              <w:rPr>
                <w:lang w:val="en-GB"/>
              </w:rPr>
              <w:t>3</w:t>
            </w:r>
            <w:r w:rsidR="00BC59A3">
              <w:rPr>
                <w:lang w:val="en-GB"/>
              </w:rPr>
              <w:t xml:space="preserve"> </w:t>
            </w:r>
            <w:r w:rsidR="00E1634A">
              <w:rPr>
                <w:lang w:val="en-GB"/>
              </w:rPr>
              <w:t>August</w:t>
            </w:r>
            <w:r w:rsidR="00847F2B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7A3477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E1634A">
        <w:rPr>
          <w:b/>
          <w:lang w:val="en-US"/>
        </w:rPr>
        <w:t>3r</w:t>
      </w:r>
      <w:r w:rsidR="00C24528" w:rsidRPr="00905383">
        <w:rPr>
          <w:b/>
          <w:lang w:val="en-US"/>
        </w:rPr>
        <w:t>d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E1634A">
        <w:rPr>
          <w:lang w:val="en-US"/>
        </w:rPr>
        <w:t>14-17</w:t>
      </w:r>
      <w:r w:rsidR="004E7423">
        <w:rPr>
          <w:lang w:val="en-US"/>
        </w:rPr>
        <w:t xml:space="preserve"> </w:t>
      </w:r>
      <w:r w:rsidR="00E1634A">
        <w:rPr>
          <w:lang w:val="en-US"/>
        </w:rPr>
        <w:t>November</w:t>
      </w:r>
      <w:r w:rsidR="00847F2B">
        <w:rPr>
          <w:lang w:val="en-US"/>
        </w:rPr>
        <w:t xml:space="preserve"> </w:t>
      </w:r>
      <w:r w:rsidR="004E7423">
        <w:rPr>
          <w:lang w:val="en-US"/>
        </w:rPr>
        <w:t>201</w:t>
      </w:r>
      <w:r w:rsidR="00847F2B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E1634A">
        <w:rPr>
          <w:lang w:val="en-GB"/>
        </w:rPr>
        <w:t>8</w:t>
      </w:r>
      <w:r w:rsidR="00A90EA8">
        <w:rPr>
          <w:lang w:val="en-GB"/>
        </w:rPr>
        <w:t>.</w:t>
      </w:r>
      <w:r w:rsidR="008120A8">
        <w:rPr>
          <w:lang w:val="en-GB"/>
        </w:rPr>
        <w:t>7</w:t>
      </w:r>
      <w:r w:rsidRPr="00AF2205">
        <w:rPr>
          <w:lang w:val="en-GB"/>
        </w:rPr>
        <w:t xml:space="preserve"> of the provisional agenda</w:t>
      </w:r>
    </w:p>
    <w:p w:rsidR="00CF2AC8" w:rsidRDefault="00CF2AC8" w:rsidP="00CF2AC8">
      <w:pPr>
        <w:rPr>
          <w:b/>
          <w:lang w:val="en-GB"/>
        </w:rPr>
      </w:pPr>
      <w:r>
        <w:rPr>
          <w:b/>
          <w:lang w:val="en-GB"/>
        </w:rPr>
        <w:t>1958 Agreement:</w:t>
      </w:r>
      <w:r w:rsidR="00067A36">
        <w:rPr>
          <w:b/>
          <w:lang w:val="en-GB"/>
        </w:rPr>
        <w:br/>
      </w:r>
      <w:r>
        <w:rPr>
          <w:b/>
          <w:lang w:val="en-GB"/>
        </w:rPr>
        <w:t>Consideration of draft amendments</w:t>
      </w:r>
    </w:p>
    <w:p w:rsidR="00AF2205" w:rsidRPr="00AF2205" w:rsidRDefault="00CF2AC8" w:rsidP="008C13BB">
      <w:pPr>
        <w:rPr>
          <w:b/>
          <w:lang w:val="en-GB"/>
        </w:rPr>
      </w:pPr>
      <w:r>
        <w:rPr>
          <w:b/>
          <w:lang w:val="en-GB"/>
        </w:rPr>
        <w:t>to existing UN Regulations submitted by GRSP</w:t>
      </w:r>
    </w:p>
    <w:p w:rsidR="002873BA" w:rsidRPr="00A90EA8" w:rsidRDefault="00377186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377186">
        <w:rPr>
          <w:lang w:val="en-GB"/>
        </w:rPr>
        <w:t>Pro</w:t>
      </w:r>
      <w:r w:rsidR="009217D9">
        <w:rPr>
          <w:lang w:val="en-GB"/>
        </w:rPr>
        <w:t xml:space="preserve">posal for </w:t>
      </w:r>
      <w:r w:rsidR="008426F8">
        <w:rPr>
          <w:lang w:val="en-GB"/>
        </w:rPr>
        <w:t xml:space="preserve">Supplement </w:t>
      </w:r>
      <w:r w:rsidR="008120A8">
        <w:rPr>
          <w:lang w:val="en-GB"/>
        </w:rPr>
        <w:t>6 to</w:t>
      </w:r>
      <w:r w:rsidR="00D42DA1">
        <w:rPr>
          <w:lang w:val="en-GB"/>
        </w:rPr>
        <w:t xml:space="preserve"> </w:t>
      </w:r>
      <w:r w:rsidR="008120A8">
        <w:rPr>
          <w:lang w:val="en-GB"/>
        </w:rPr>
        <w:t>UN Regulation No. 129</w:t>
      </w:r>
      <w:r w:rsidRPr="00377186">
        <w:rPr>
          <w:lang w:val="en-GB"/>
        </w:rPr>
        <w:t xml:space="preserve"> </w:t>
      </w:r>
      <w:r w:rsidR="006F4DB1">
        <w:rPr>
          <w:lang w:val="en-GB"/>
        </w:rPr>
        <w:t>(</w:t>
      </w:r>
      <w:r w:rsidR="008120A8">
        <w:rPr>
          <w:lang w:val="en-GB"/>
        </w:rPr>
        <w:t xml:space="preserve">Enhanced </w:t>
      </w:r>
      <w:r w:rsidR="006F4DB1">
        <w:rPr>
          <w:lang w:val="en-GB"/>
        </w:rPr>
        <w:t>Child Restraint Systems</w:t>
      </w:r>
      <w:r w:rsidRPr="00377186">
        <w:rPr>
          <w:lang w:val="en-GB"/>
        </w:rPr>
        <w:t>)</w:t>
      </w:r>
      <w:r w:rsidR="00C03BBC">
        <w:rPr>
          <w:lang w:val="en-GB"/>
        </w:rPr>
        <w:t xml:space="preserve"> </w:t>
      </w:r>
    </w:p>
    <w:p w:rsidR="00A90EA8" w:rsidRPr="00A90EA8" w:rsidRDefault="00C263A3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C263A3">
        <w:rPr>
          <w:b/>
          <w:sz w:val="24"/>
          <w:lang w:val="en-US"/>
        </w:rPr>
        <w:t xml:space="preserve">Submitted by the Working Party </w:t>
      </w:r>
      <w:r w:rsidR="0089444D">
        <w:rPr>
          <w:b/>
          <w:sz w:val="24"/>
          <w:lang w:val="en-US"/>
        </w:rPr>
        <w:t>on Passive Safety</w:t>
      </w:r>
      <w:r w:rsidR="00A90EA8" w:rsidRPr="003F73DE">
        <w:rPr>
          <w:lang w:val="en-GB"/>
        </w:rPr>
        <w:footnoteReference w:customMarkFollows="1" w:id="2"/>
        <w:t>*</w:t>
      </w:r>
    </w:p>
    <w:p w:rsidR="00C263A3" w:rsidRDefault="00C263A3" w:rsidP="004F41CA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89444D">
        <w:rPr>
          <w:lang w:val="en-GB"/>
        </w:rPr>
        <w:t xml:space="preserve">Passive Safety </w:t>
      </w:r>
      <w:r w:rsidR="00CD5EEF">
        <w:rPr>
          <w:lang w:val="en-GB"/>
        </w:rPr>
        <w:t>(GRSP</w:t>
      </w:r>
      <w:r w:rsidRPr="008F06C3">
        <w:rPr>
          <w:lang w:val="en-GB"/>
        </w:rPr>
        <w:t xml:space="preserve">) </w:t>
      </w:r>
      <w:r w:rsidRPr="00A90EA8">
        <w:rPr>
          <w:lang w:val="en-GB"/>
        </w:rPr>
        <w:t xml:space="preserve">at its </w:t>
      </w:r>
      <w:r w:rsidR="008A4629">
        <w:rPr>
          <w:lang w:val="en-GB"/>
        </w:rPr>
        <w:t>sixt</w:t>
      </w:r>
      <w:r w:rsidR="00DF5DA6">
        <w:rPr>
          <w:lang w:val="en-GB"/>
        </w:rPr>
        <w:t>y-first</w:t>
      </w:r>
      <w:r w:rsidR="008A4629">
        <w:rPr>
          <w:lang w:val="en-GB"/>
        </w:rPr>
        <w:t xml:space="preserve"> </w:t>
      </w:r>
      <w:r w:rsidRPr="00A90EA8">
        <w:rPr>
          <w:lang w:val="en-GB"/>
        </w:rPr>
        <w:t xml:space="preserve">session </w:t>
      </w:r>
      <w:r>
        <w:rPr>
          <w:lang w:val="en-GB"/>
        </w:rPr>
        <w:t>(</w:t>
      </w:r>
      <w:r w:rsidR="00E1634A">
        <w:rPr>
          <w:lang w:val="en-GB"/>
        </w:rPr>
        <w:t>ECE/TRANS/WP.29/GRSP/61</w:t>
      </w:r>
      <w:r>
        <w:rPr>
          <w:lang w:val="en-GB"/>
        </w:rPr>
        <w:t>,</w:t>
      </w:r>
      <w:r w:rsidRPr="00C263A3">
        <w:rPr>
          <w:lang w:val="en-US"/>
        </w:rPr>
        <w:t xml:space="preserve"> </w:t>
      </w:r>
      <w:r w:rsidR="008120A8">
        <w:rPr>
          <w:lang w:val="en-GB"/>
        </w:rPr>
        <w:t>para. 3</w:t>
      </w:r>
      <w:r w:rsidR="006F4DB1">
        <w:rPr>
          <w:lang w:val="en-GB"/>
        </w:rPr>
        <w:t>4)</w:t>
      </w:r>
      <w:r>
        <w:rPr>
          <w:lang w:val="en-GB"/>
        </w:rPr>
        <w:t xml:space="preserve">. </w:t>
      </w:r>
      <w:r w:rsidR="006F4DB1">
        <w:rPr>
          <w:lang w:val="en-GB"/>
        </w:rPr>
        <w:t xml:space="preserve">It is based on </w:t>
      </w:r>
      <w:r w:rsidR="008120A8">
        <w:t>informal document GRSP-61-27, as reproduced</w:t>
      </w:r>
      <w:r w:rsidR="006F4DB1" w:rsidRPr="00B2057C">
        <w:t xml:space="preserve"> by Annex V</w:t>
      </w:r>
      <w:r w:rsidR="008120A8">
        <w:t>I to the report</w:t>
      </w:r>
      <w:r w:rsidR="00377186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>
        <w:rPr>
          <w:lang w:val="en-GB"/>
        </w:rPr>
        <w:t xml:space="preserve"> at their </w:t>
      </w:r>
      <w:r w:rsidR="00E1634A">
        <w:rPr>
          <w:lang w:val="en-GB"/>
        </w:rPr>
        <w:t>November</w:t>
      </w:r>
      <w:r w:rsidR="00847F2B">
        <w:rPr>
          <w:lang w:val="en-GB"/>
        </w:rPr>
        <w:t xml:space="preserve"> </w:t>
      </w:r>
      <w:r>
        <w:rPr>
          <w:lang w:val="en-GB"/>
        </w:rPr>
        <w:t>201</w:t>
      </w:r>
      <w:r w:rsidR="00847F2B">
        <w:rPr>
          <w:lang w:val="en-GB"/>
        </w:rPr>
        <w:t>7</w:t>
      </w:r>
      <w:r>
        <w:rPr>
          <w:lang w:val="en-GB"/>
        </w:rPr>
        <w:t xml:space="preserve"> sessions.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847F2B" w:rsidRDefault="0048098A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377186">
        <w:rPr>
          <w:lang w:val="en-GB"/>
        </w:rPr>
        <w:lastRenderedPageBreak/>
        <w:t>Pro</w:t>
      </w:r>
      <w:r>
        <w:rPr>
          <w:lang w:val="en-GB"/>
        </w:rPr>
        <w:t>posal for Supplement 6 to UN Regulation No. 129</w:t>
      </w:r>
      <w:r w:rsidRPr="00377186">
        <w:rPr>
          <w:lang w:val="en-GB"/>
        </w:rPr>
        <w:t xml:space="preserve"> </w:t>
      </w:r>
      <w:r>
        <w:rPr>
          <w:lang w:val="en-GB"/>
        </w:rPr>
        <w:t>(Enhanced Child Restraint Systems</w:t>
      </w:r>
      <w:r w:rsidRPr="00377186">
        <w:rPr>
          <w:lang w:val="en-GB"/>
        </w:rPr>
        <w:t>)</w:t>
      </w:r>
    </w:p>
    <w:p w:rsidR="004319EB" w:rsidRPr="004319EB" w:rsidRDefault="004319EB" w:rsidP="004319EB">
      <w:pPr>
        <w:pStyle w:val="SingleTxtG"/>
        <w:ind w:left="2268" w:right="1138" w:hanging="1134"/>
        <w:rPr>
          <w:lang w:val="en-US"/>
        </w:rPr>
      </w:pPr>
      <w:r w:rsidRPr="004319EB">
        <w:rPr>
          <w:i/>
          <w:lang w:val="en-US"/>
        </w:rPr>
        <w:t xml:space="preserve">Paragraph </w:t>
      </w:r>
      <w:r w:rsidRPr="004319EB">
        <w:rPr>
          <w:i/>
        </w:rPr>
        <w:t>2.3</w:t>
      </w:r>
      <w:r w:rsidRPr="004319EB">
        <w:rPr>
          <w:i/>
          <w:lang w:val="en-US"/>
        </w:rPr>
        <w:t>,</w:t>
      </w:r>
      <w:r w:rsidRPr="004319EB">
        <w:rPr>
          <w:lang w:val="en-US"/>
        </w:rPr>
        <w:t xml:space="preserve"> amend to read:</w:t>
      </w:r>
    </w:p>
    <w:p w:rsidR="004319EB" w:rsidRPr="004319EB" w:rsidRDefault="004319EB" w:rsidP="004319EB">
      <w:pPr>
        <w:autoSpaceDE w:val="0"/>
        <w:autoSpaceDN w:val="0"/>
        <w:adjustRightInd w:val="0"/>
        <w:spacing w:after="120"/>
        <w:ind w:left="2122" w:right="1138" w:hanging="952"/>
        <w:jc w:val="both"/>
      </w:pPr>
      <w:r w:rsidRPr="004319EB">
        <w:t>"</w:t>
      </w:r>
      <w:r w:rsidRPr="004319EB">
        <w:rPr>
          <w:iCs/>
          <w:lang w:val="en-US"/>
        </w:rPr>
        <w:t>2.3.</w:t>
      </w:r>
      <w:r w:rsidRPr="004319EB">
        <w:rPr>
          <w:i/>
          <w:iCs/>
          <w:lang w:val="en-US"/>
        </w:rPr>
        <w:tab/>
      </w:r>
      <w:r w:rsidRPr="004319EB">
        <w:rPr>
          <w:lang w:val="en-US"/>
        </w:rPr>
        <w:t>"</w:t>
      </w:r>
      <w:r w:rsidRPr="004319EB">
        <w:rPr>
          <w:i/>
          <w:lang w:val="en-US"/>
        </w:rPr>
        <w:t>i-Size</w:t>
      </w:r>
      <w:r w:rsidRPr="004319EB">
        <w:rPr>
          <w:lang w:val="en-US"/>
        </w:rPr>
        <w:t xml:space="preserve">" (Integral Universal ISOFIX Enhanced Child Restraint Systems) is a category of Enhanced Child Restraint System primarily designed for use in all i-Size seating position of a vehicle, as defined and approved according to Regulations Nos. 14 </w:t>
      </w:r>
      <w:r w:rsidRPr="004319EB">
        <w:t>or [XX]</w:t>
      </w:r>
      <w:r w:rsidRPr="004319EB">
        <w:rPr>
          <w:lang w:val="en-US"/>
        </w:rPr>
        <w:t xml:space="preserve"> and 16</w:t>
      </w:r>
      <w:r w:rsidRPr="004319EB">
        <w:t>."</w:t>
      </w:r>
    </w:p>
    <w:p w:rsidR="004319EB" w:rsidRPr="004319EB" w:rsidRDefault="004319EB" w:rsidP="004319EB">
      <w:pPr>
        <w:pStyle w:val="SingleTxtG"/>
        <w:ind w:left="2268" w:right="1138" w:hanging="1134"/>
        <w:rPr>
          <w:lang w:val="en-US"/>
        </w:rPr>
      </w:pPr>
      <w:r w:rsidRPr="004319EB">
        <w:rPr>
          <w:i/>
          <w:lang w:val="en-US"/>
        </w:rPr>
        <w:t>Paragraph 2.5.,</w:t>
      </w:r>
      <w:r w:rsidRPr="004319EB">
        <w:rPr>
          <w:lang w:val="en-US"/>
        </w:rPr>
        <w:t xml:space="preserve"> amend to read:</w:t>
      </w:r>
    </w:p>
    <w:p w:rsidR="004319EB" w:rsidRPr="004319EB" w:rsidRDefault="004319EB" w:rsidP="004319EB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</w:pPr>
      <w:r w:rsidRPr="004319EB">
        <w:rPr>
          <w:lang w:val="en-US"/>
        </w:rPr>
        <w:t>"</w:t>
      </w:r>
      <w:r w:rsidR="003C74F8">
        <w:rPr>
          <w:bCs/>
          <w:lang w:val="en-US"/>
        </w:rPr>
        <w:t>2.5.</w:t>
      </w:r>
      <w:r w:rsidRPr="004319EB">
        <w:rPr>
          <w:bCs/>
          <w:lang w:val="en-US"/>
        </w:rPr>
        <w:tab/>
        <w:t>"</w:t>
      </w:r>
      <w:r w:rsidRPr="004319EB">
        <w:rPr>
          <w:bCs/>
          <w:i/>
          <w:lang w:val="en-US"/>
        </w:rPr>
        <w:t>ISOFIX</w:t>
      </w:r>
      <w:r w:rsidRPr="004319EB">
        <w:rPr>
          <w:bCs/>
          <w:lang w:val="en-US"/>
        </w:rPr>
        <w:t xml:space="preserve">" </w:t>
      </w:r>
      <w:r w:rsidRPr="004319EB">
        <w:rPr>
          <w:lang w:val="en-US"/>
        </w:rPr>
        <w:t xml:space="preserve">is a system that provides a method of connecting an Enhanced Child Restraint System to a vehicle. It is based on two vehicle anchorages and two corresponding attachments on the Enhanced Child Restraint System in conjunction with a means to limit the pitch rotation of the Enhanced Child Restraint System. All three vehicle anchorages are to be approved according to Regulation No. 14. </w:t>
      </w:r>
      <w:r w:rsidRPr="004319EB">
        <w:t>or Regulation No. [XX]."</w:t>
      </w:r>
    </w:p>
    <w:p w:rsidR="004319EB" w:rsidRPr="004319EB" w:rsidRDefault="004319EB" w:rsidP="004319EB">
      <w:pPr>
        <w:pStyle w:val="SingleTxtG"/>
        <w:ind w:left="2268" w:right="1138" w:hanging="1134"/>
        <w:rPr>
          <w:lang w:val="en-US"/>
        </w:rPr>
      </w:pPr>
      <w:r w:rsidRPr="004319EB">
        <w:rPr>
          <w:i/>
          <w:lang w:val="en-US"/>
        </w:rPr>
        <w:t>Paragraph 2.7.,</w:t>
      </w:r>
      <w:r w:rsidRPr="004319EB">
        <w:rPr>
          <w:lang w:val="en-US"/>
        </w:rPr>
        <w:t xml:space="preserve"> amends to read:</w:t>
      </w:r>
    </w:p>
    <w:p w:rsidR="004319EB" w:rsidRPr="004319EB" w:rsidRDefault="003C74F8" w:rsidP="004319EB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lang w:val="en-US"/>
        </w:rPr>
      </w:pPr>
      <w:r>
        <w:rPr>
          <w:lang w:val="en-US"/>
        </w:rPr>
        <w:t>2.7.</w:t>
      </w:r>
      <w:r w:rsidR="004319EB" w:rsidRPr="004319EB">
        <w:rPr>
          <w:lang w:val="en-US"/>
        </w:rPr>
        <w:tab/>
        <w:t>"</w:t>
      </w:r>
      <w:r w:rsidR="004319EB" w:rsidRPr="004319EB">
        <w:rPr>
          <w:i/>
          <w:lang w:val="en-US"/>
        </w:rPr>
        <w:t>Specific vehicle ISOFIX</w:t>
      </w:r>
      <w:r w:rsidR="004319EB" w:rsidRPr="004319EB">
        <w:rPr>
          <w:lang w:val="en-US"/>
        </w:rPr>
        <w:t xml:space="preserve">" is a category of Integral Enhanced Child Restraint System connecting to specific vehicle types. All vehicle anchorages are to be approved according to Regulation No. 14 </w:t>
      </w:r>
      <w:r w:rsidR="004319EB" w:rsidRPr="004319EB">
        <w:t>or Regulation No. [XX]</w:t>
      </w:r>
      <w:r w:rsidR="004319EB" w:rsidRPr="004319EB">
        <w:rPr>
          <w:lang w:val="en-US"/>
        </w:rPr>
        <w:t>. It is also an indication for Enhanced Child Restraint Systems including dashboard as a vehicle contact zone.</w:t>
      </w:r>
    </w:p>
    <w:p w:rsidR="004319EB" w:rsidRPr="004319EB" w:rsidRDefault="004319EB" w:rsidP="004319EB">
      <w:pPr>
        <w:pStyle w:val="SingleTxtG"/>
        <w:ind w:left="2268" w:right="1138" w:hanging="1134"/>
        <w:rPr>
          <w:lang w:val="en-US"/>
        </w:rPr>
      </w:pPr>
      <w:r w:rsidRPr="004319EB">
        <w:rPr>
          <w:i/>
          <w:lang w:val="en-US"/>
        </w:rPr>
        <w:t>Paragraph 2.11.,</w:t>
      </w:r>
      <w:r w:rsidRPr="004319EB">
        <w:rPr>
          <w:lang w:val="en-US"/>
        </w:rPr>
        <w:t xml:space="preserve"> amend to read:</w:t>
      </w:r>
    </w:p>
    <w:p w:rsidR="004319EB" w:rsidRPr="004319EB" w:rsidRDefault="004319EB" w:rsidP="004319EB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bCs/>
          <w:lang w:val="en-US"/>
        </w:rPr>
      </w:pPr>
      <w:r w:rsidRPr="004319EB">
        <w:rPr>
          <w:lang w:val="en-US"/>
        </w:rPr>
        <w:t>"</w:t>
      </w:r>
      <w:r w:rsidRPr="004319EB">
        <w:rPr>
          <w:bCs/>
          <w:lang w:val="en-US"/>
        </w:rPr>
        <w:t>2.11.</w:t>
      </w:r>
      <w:r w:rsidRPr="004319EB">
        <w:rPr>
          <w:bCs/>
          <w:lang w:val="en-US"/>
        </w:rPr>
        <w:tab/>
        <w:t>"</w:t>
      </w:r>
      <w:r w:rsidRPr="004319EB">
        <w:rPr>
          <w:bCs/>
          <w:i/>
          <w:lang w:val="en-US"/>
        </w:rPr>
        <w:t>ISOFIX anchorage system</w:t>
      </w:r>
      <w:r w:rsidRPr="004319EB">
        <w:rPr>
          <w:bCs/>
          <w:lang w:val="en-US"/>
        </w:rPr>
        <w:t xml:space="preserve">" </w:t>
      </w:r>
      <w:r w:rsidRPr="004319EB">
        <w:rPr>
          <w:lang w:val="en-US"/>
        </w:rPr>
        <w:t xml:space="preserve">means a system made up of 2 ISOFIX low anchorages fulfilling the requirements of Regulation No. 14 </w:t>
      </w:r>
      <w:r w:rsidR="003C74F8">
        <w:t>or Regulation No. </w:t>
      </w:r>
      <w:r w:rsidRPr="004319EB">
        <w:t>[XX]</w:t>
      </w:r>
      <w:r w:rsidRPr="004319EB">
        <w:rPr>
          <w:lang w:val="en-US"/>
        </w:rPr>
        <w:t xml:space="preserve"> which is designed for attaching an ISOFIX Enhanced Child Restraint System in conjunction with an anti-rotation device."</w:t>
      </w:r>
    </w:p>
    <w:p w:rsidR="004319EB" w:rsidRPr="004319EB" w:rsidRDefault="004319EB" w:rsidP="004319EB">
      <w:pPr>
        <w:pStyle w:val="SingleTxtG"/>
        <w:ind w:left="2268" w:right="1138" w:hanging="1134"/>
        <w:rPr>
          <w:lang w:val="en-US"/>
        </w:rPr>
      </w:pPr>
      <w:r w:rsidRPr="004319EB">
        <w:rPr>
          <w:i/>
          <w:lang w:val="en-US"/>
        </w:rPr>
        <w:t>Paragraph 2.12</w:t>
      </w:r>
      <w:r w:rsidRPr="004319EB">
        <w:rPr>
          <w:lang w:val="en-US"/>
        </w:rPr>
        <w:t>., amend to read:</w:t>
      </w:r>
    </w:p>
    <w:p w:rsidR="004319EB" w:rsidRPr="004319EB" w:rsidRDefault="004319EB" w:rsidP="004319EB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bCs/>
          <w:lang w:val="en-US"/>
        </w:rPr>
      </w:pPr>
      <w:r w:rsidRPr="004319EB">
        <w:rPr>
          <w:lang w:val="en-US"/>
        </w:rPr>
        <w:t>"</w:t>
      </w:r>
      <w:r w:rsidRPr="004319EB">
        <w:rPr>
          <w:bCs/>
          <w:lang w:val="en-US"/>
        </w:rPr>
        <w:t xml:space="preserve">2.12. </w:t>
      </w:r>
      <w:r w:rsidRPr="004319EB">
        <w:rPr>
          <w:bCs/>
          <w:lang w:val="en-US"/>
        </w:rPr>
        <w:tab/>
        <w:t>"</w:t>
      </w:r>
      <w:r w:rsidRPr="004319EB">
        <w:rPr>
          <w:bCs/>
          <w:i/>
          <w:lang w:val="en-US"/>
        </w:rPr>
        <w:t>Anti-rotation device</w:t>
      </w:r>
      <w:r w:rsidRPr="004319EB">
        <w:rPr>
          <w:bCs/>
          <w:lang w:val="en-US"/>
        </w:rPr>
        <w:t xml:space="preserve">" </w:t>
      </w:r>
      <w:r w:rsidRPr="004319EB">
        <w:rPr>
          <w:lang w:val="en-US"/>
        </w:rPr>
        <w:t>means a device intended to limit the rotation of the Enhanced Child Restraint System during a vehicle impact and consisting of:</w:t>
      </w:r>
    </w:p>
    <w:p w:rsidR="004319EB" w:rsidRPr="004319EB" w:rsidRDefault="003C74F8" w:rsidP="003C74F8">
      <w:pPr>
        <w:pStyle w:val="SingleTxtG"/>
        <w:tabs>
          <w:tab w:val="left" w:pos="2127"/>
        </w:tabs>
        <w:rPr>
          <w:lang w:val="en-US"/>
        </w:rPr>
      </w:pPr>
      <w:r>
        <w:rPr>
          <w:lang w:val="en-US"/>
        </w:rPr>
        <w:tab/>
        <w:t>(a)</w:t>
      </w:r>
      <w:r>
        <w:rPr>
          <w:lang w:val="en-US"/>
        </w:rPr>
        <w:tab/>
      </w:r>
      <w:r w:rsidR="004319EB" w:rsidRPr="004319EB">
        <w:rPr>
          <w:lang w:val="en-US"/>
        </w:rPr>
        <w:t>A top-tether strap; or</w:t>
      </w:r>
    </w:p>
    <w:p w:rsidR="004319EB" w:rsidRPr="004319EB" w:rsidRDefault="003C74F8" w:rsidP="003C74F8">
      <w:pPr>
        <w:pStyle w:val="SingleTxtG"/>
        <w:tabs>
          <w:tab w:val="left" w:pos="2127"/>
        </w:tabs>
        <w:rPr>
          <w:lang w:val="en-US"/>
        </w:rPr>
      </w:pPr>
      <w:r>
        <w:rPr>
          <w:lang w:val="en-US"/>
        </w:rPr>
        <w:tab/>
        <w:t>(b)</w:t>
      </w:r>
      <w:r>
        <w:rPr>
          <w:lang w:val="en-US"/>
        </w:rPr>
        <w:tab/>
      </w:r>
      <w:r w:rsidR="004319EB" w:rsidRPr="004319EB">
        <w:rPr>
          <w:lang w:val="en-US"/>
        </w:rPr>
        <w:t>A support-leg.</w:t>
      </w:r>
    </w:p>
    <w:p w:rsidR="004319EB" w:rsidRPr="004319EB" w:rsidRDefault="004319EB" w:rsidP="004319EB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lang w:val="en-US"/>
        </w:rPr>
      </w:pPr>
      <w:r w:rsidRPr="004319EB">
        <w:rPr>
          <w:lang w:val="en-US"/>
        </w:rPr>
        <w:tab/>
        <w:t xml:space="preserve">Meeting the requirements of this Regulation and fitted to an ISOFIX anchorage system and ISOFIX top tether anchorages or vehicle floor contact surface meeting the requirements of Regulation No. 14 </w:t>
      </w:r>
      <w:r w:rsidR="00480679">
        <w:t>or Regulation </w:t>
      </w:r>
      <w:r w:rsidR="003C74F8">
        <w:t>No. </w:t>
      </w:r>
      <w:r w:rsidRPr="004319EB">
        <w:t>[XX]</w:t>
      </w:r>
      <w:r w:rsidRPr="004319EB">
        <w:rPr>
          <w:lang w:val="en-US"/>
        </w:rPr>
        <w:t>."</w:t>
      </w:r>
    </w:p>
    <w:p w:rsidR="004319EB" w:rsidRPr="004319EB" w:rsidRDefault="00456EFD" w:rsidP="004319EB">
      <w:pPr>
        <w:pStyle w:val="SingleTxtG"/>
        <w:ind w:left="2268" w:right="1138" w:hanging="1134"/>
        <w:rPr>
          <w:lang w:val="en-US"/>
        </w:rPr>
      </w:pPr>
      <w:r>
        <w:rPr>
          <w:i/>
          <w:lang w:val="en-US"/>
        </w:rPr>
        <w:t>Paragraphs 2.13. and 2.13.1</w:t>
      </w:r>
      <w:r w:rsidR="004319EB" w:rsidRPr="004319EB">
        <w:rPr>
          <w:i/>
          <w:lang w:val="en-US"/>
        </w:rPr>
        <w:t>.,</w:t>
      </w:r>
      <w:r w:rsidR="004319EB" w:rsidRPr="004319EB">
        <w:rPr>
          <w:lang w:val="en-US"/>
        </w:rPr>
        <w:t xml:space="preserve"> amend to read:</w:t>
      </w:r>
    </w:p>
    <w:p w:rsidR="004319EB" w:rsidRPr="004319EB" w:rsidRDefault="004319EB" w:rsidP="004319EB">
      <w:pPr>
        <w:tabs>
          <w:tab w:val="left" w:pos="2160"/>
        </w:tabs>
        <w:autoSpaceDE w:val="0"/>
        <w:autoSpaceDN w:val="0"/>
        <w:adjustRightInd w:val="0"/>
        <w:spacing w:after="120"/>
        <w:ind w:left="1170" w:right="1138"/>
        <w:jc w:val="both"/>
        <w:rPr>
          <w:bCs/>
          <w:lang w:val="en-US"/>
        </w:rPr>
      </w:pPr>
      <w:r w:rsidRPr="004319EB">
        <w:rPr>
          <w:lang w:val="en-US"/>
        </w:rPr>
        <w:t>"</w:t>
      </w:r>
      <w:r w:rsidRPr="004319EB">
        <w:rPr>
          <w:bCs/>
          <w:lang w:val="en-US"/>
        </w:rPr>
        <w:t xml:space="preserve">2.13. </w:t>
      </w:r>
      <w:r w:rsidRPr="004319EB">
        <w:rPr>
          <w:bCs/>
          <w:lang w:val="en-US"/>
        </w:rPr>
        <w:tab/>
        <w:t>"</w:t>
      </w:r>
      <w:r w:rsidRPr="004319EB">
        <w:rPr>
          <w:bCs/>
          <w:i/>
          <w:lang w:val="en-US"/>
        </w:rPr>
        <w:t>ISOFIX top tether strap</w:t>
      </w:r>
      <w:r w:rsidRPr="004319EB">
        <w:rPr>
          <w:bCs/>
          <w:lang w:val="en-US"/>
        </w:rPr>
        <w:t>" …</w:t>
      </w:r>
    </w:p>
    <w:p w:rsidR="004319EB" w:rsidRDefault="004319EB" w:rsidP="004319EB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lang w:val="en-US"/>
        </w:rPr>
      </w:pPr>
      <w:r w:rsidRPr="004319EB">
        <w:rPr>
          <w:lang w:val="en-US"/>
        </w:rPr>
        <w:t xml:space="preserve">2.13.1. </w:t>
      </w:r>
      <w:r w:rsidRPr="004319EB">
        <w:rPr>
          <w:lang w:val="en-US"/>
        </w:rPr>
        <w:tab/>
        <w:t>"</w:t>
      </w:r>
      <w:r w:rsidRPr="004319EB">
        <w:rPr>
          <w:i/>
          <w:lang w:val="en-US"/>
        </w:rPr>
        <w:t>ISOFIX top tether anchorage</w:t>
      </w:r>
      <w:r w:rsidRPr="004319EB">
        <w:rPr>
          <w:lang w:val="en-US"/>
        </w:rPr>
        <w:t xml:space="preserve">" means a feature fulfilling the requirements of Regulation No. 14 </w:t>
      </w:r>
      <w:r w:rsidRPr="004319EB">
        <w:t>or Regulation No. [XX]</w:t>
      </w:r>
      <w:r w:rsidRPr="004319EB">
        <w:rPr>
          <w:lang w:val="en-US"/>
        </w:rPr>
        <w:t>, such as a bar, located in a defined zone, designed to accept an ISOFIX top tether connector and transfer its restraint force to the vehicle structure.</w:t>
      </w:r>
      <w:r w:rsidR="00456EFD">
        <w:rPr>
          <w:lang w:val="en-US"/>
        </w:rPr>
        <w:t>"</w:t>
      </w:r>
    </w:p>
    <w:p w:rsidR="00456EFD" w:rsidRPr="004319EB" w:rsidRDefault="00456EFD" w:rsidP="004319EB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lang w:val="en-US"/>
        </w:rPr>
      </w:pPr>
    </w:p>
    <w:p w:rsidR="00456EFD" w:rsidRDefault="00456EFD" w:rsidP="004319EB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lang w:val="en-US"/>
        </w:rPr>
      </w:pPr>
    </w:p>
    <w:p w:rsidR="00456EFD" w:rsidRDefault="00456EFD" w:rsidP="004319EB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lang w:val="en-US"/>
        </w:rPr>
      </w:pPr>
    </w:p>
    <w:p w:rsidR="00456EFD" w:rsidRDefault="00456EFD" w:rsidP="004319EB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lang w:val="en-US"/>
        </w:rPr>
      </w:pPr>
      <w:r w:rsidRPr="00456EFD">
        <w:rPr>
          <w:i/>
          <w:lang w:val="en-US"/>
        </w:rPr>
        <w:lastRenderedPageBreak/>
        <w:t>Paragraph 2.13.3</w:t>
      </w:r>
      <w:r>
        <w:rPr>
          <w:lang w:val="en-US"/>
        </w:rPr>
        <w:t>., amend to read:</w:t>
      </w:r>
    </w:p>
    <w:p w:rsidR="004319EB" w:rsidRPr="004319EB" w:rsidRDefault="00456EFD" w:rsidP="004319EB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lang w:val="en-US"/>
        </w:rPr>
      </w:pPr>
      <w:r>
        <w:rPr>
          <w:lang w:val="en-US"/>
        </w:rPr>
        <w:t>"</w:t>
      </w:r>
      <w:r w:rsidR="004319EB" w:rsidRPr="004319EB">
        <w:rPr>
          <w:lang w:val="en-US"/>
        </w:rPr>
        <w:t xml:space="preserve">2.13.3. </w:t>
      </w:r>
      <w:r w:rsidR="004319EB" w:rsidRPr="004319EB">
        <w:rPr>
          <w:lang w:val="en-US"/>
        </w:rPr>
        <w:tab/>
        <w:t>"</w:t>
      </w:r>
      <w:r w:rsidR="004319EB" w:rsidRPr="004319EB">
        <w:rPr>
          <w:i/>
          <w:lang w:val="en-US"/>
        </w:rPr>
        <w:t>ISOFIX top tether hook</w:t>
      </w:r>
      <w:r w:rsidR="004319EB" w:rsidRPr="004319EB">
        <w:rPr>
          <w:lang w:val="en-US"/>
        </w:rPr>
        <w:t>" means an ISOFIX top tether connector typically used to attach an ISOFIX top tether strap to an ISOFIX top tether anchorage as defined in figure 3 of Regulation No. 14</w:t>
      </w:r>
      <w:r w:rsidR="004319EB" w:rsidRPr="004319EB">
        <w:t xml:space="preserve"> or Regulation No. [XX]</w:t>
      </w:r>
      <w:r w:rsidR="004319EB" w:rsidRPr="004319EB">
        <w:rPr>
          <w:lang w:val="en-US"/>
        </w:rPr>
        <w:t>."</w:t>
      </w:r>
    </w:p>
    <w:p w:rsidR="004319EB" w:rsidRPr="004319EB" w:rsidRDefault="004319EB" w:rsidP="004319EB">
      <w:pPr>
        <w:pStyle w:val="SingleTxtG"/>
        <w:ind w:left="2268" w:right="1138" w:hanging="1134"/>
        <w:rPr>
          <w:lang w:val="en-US"/>
        </w:rPr>
      </w:pPr>
      <w:r w:rsidRPr="004319EB">
        <w:rPr>
          <w:i/>
          <w:lang w:val="en-US"/>
        </w:rPr>
        <w:t xml:space="preserve">Paragraph </w:t>
      </w:r>
      <w:r w:rsidRPr="004319EB">
        <w:rPr>
          <w:i/>
        </w:rPr>
        <w:t>2.15.3.</w:t>
      </w:r>
      <w:r w:rsidRPr="004319EB">
        <w:rPr>
          <w:i/>
          <w:lang w:val="en-US"/>
        </w:rPr>
        <w:t>,</w:t>
      </w:r>
      <w:r w:rsidRPr="004319EB">
        <w:rPr>
          <w:lang w:val="en-US"/>
        </w:rPr>
        <w:t xml:space="preserve"> amend to read:</w:t>
      </w:r>
    </w:p>
    <w:p w:rsidR="004319EB" w:rsidRPr="004319EB" w:rsidRDefault="004319EB" w:rsidP="004319EB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</w:pPr>
      <w:r w:rsidRPr="004319EB">
        <w:t>"</w:t>
      </w:r>
      <w:r w:rsidRPr="004319EB">
        <w:rPr>
          <w:lang w:val="en-US"/>
        </w:rPr>
        <w:t xml:space="preserve">2.15.3. </w:t>
      </w:r>
      <w:r w:rsidRPr="004319EB">
        <w:rPr>
          <w:lang w:val="en-US"/>
        </w:rPr>
        <w:tab/>
        <w:t>"</w:t>
      </w:r>
      <w:r w:rsidRPr="004319EB">
        <w:rPr>
          <w:i/>
          <w:lang w:val="en-US"/>
        </w:rPr>
        <w:t>Support-leg foot assessment volume</w:t>
      </w:r>
      <w:r w:rsidRPr="004319EB">
        <w:rPr>
          <w:lang w:val="en-US"/>
        </w:rPr>
        <w:t xml:space="preserve">" describes a spatial volume which denotes both the extent and limitations for the movement of the support-leg foot. It corresponds to the support-leg foot assessment volume for vehicles, as defined in Annex 10 of Regulation No. 14 </w:t>
      </w:r>
      <w:r w:rsidRPr="004319EB">
        <w:t>or Regulation No. [XX], Annex 5</w:t>
      </w:r>
      <w:r w:rsidRPr="004319EB">
        <w:rPr>
          <w:lang w:val="en-US"/>
        </w:rPr>
        <w:t>.</w:t>
      </w:r>
      <w:r w:rsidRPr="004319EB">
        <w:t>"</w:t>
      </w:r>
    </w:p>
    <w:p w:rsidR="004319EB" w:rsidRPr="004319EB" w:rsidRDefault="004319EB" w:rsidP="004319EB">
      <w:pPr>
        <w:pStyle w:val="SingleTxtG"/>
        <w:keepNext/>
        <w:ind w:left="2268" w:right="1138" w:hanging="1134"/>
        <w:rPr>
          <w:lang w:val="en-US"/>
        </w:rPr>
      </w:pPr>
      <w:r w:rsidRPr="004319EB">
        <w:rPr>
          <w:i/>
          <w:lang w:val="en-US"/>
        </w:rPr>
        <w:t>Paragraph 2.16.,</w:t>
      </w:r>
      <w:r w:rsidRPr="004319EB">
        <w:rPr>
          <w:lang w:val="en-US"/>
        </w:rPr>
        <w:t xml:space="preserve"> amend to read:</w:t>
      </w:r>
    </w:p>
    <w:p w:rsidR="007D1250" w:rsidRPr="004319EB" w:rsidRDefault="004319EB" w:rsidP="004319EB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bCs/>
          <w:lang w:val="en-US"/>
        </w:rPr>
      </w:pPr>
      <w:r w:rsidRPr="004319EB">
        <w:rPr>
          <w:lang w:val="en-US"/>
        </w:rPr>
        <w:t>"</w:t>
      </w:r>
      <w:r w:rsidRPr="004319EB">
        <w:rPr>
          <w:bCs/>
          <w:lang w:val="en-US"/>
        </w:rPr>
        <w:t xml:space="preserve">2.16. </w:t>
      </w:r>
      <w:r w:rsidRPr="004319EB">
        <w:rPr>
          <w:bCs/>
          <w:lang w:val="en-US"/>
        </w:rPr>
        <w:tab/>
        <w:t>"</w:t>
      </w:r>
      <w:r w:rsidRPr="004319EB">
        <w:rPr>
          <w:bCs/>
          <w:i/>
          <w:lang w:val="en-US"/>
        </w:rPr>
        <w:t>CRF pitch angle</w:t>
      </w:r>
      <w:r w:rsidRPr="004319EB">
        <w:rPr>
          <w:bCs/>
          <w:lang w:val="en-US"/>
        </w:rPr>
        <w:t xml:space="preserve">" </w:t>
      </w:r>
      <w:r w:rsidRPr="004319EB">
        <w:rPr>
          <w:lang w:val="en-US"/>
        </w:rPr>
        <w:t>is the angle between the bottom surface of the fixture "ISO/F2 (B) as defined in Regulation No. 1</w:t>
      </w:r>
      <w:r w:rsidR="003C74F8">
        <w:rPr>
          <w:lang w:val="en-US"/>
        </w:rPr>
        <w:t>6 (Annex 17, Appendix 2, Figure </w:t>
      </w:r>
      <w:r w:rsidRPr="004319EB">
        <w:rPr>
          <w:lang w:val="en-US"/>
        </w:rPr>
        <w:t>2) and the horizontal Z plane of the vehicle as defi</w:t>
      </w:r>
      <w:r w:rsidR="003C74F8">
        <w:rPr>
          <w:lang w:val="en-US"/>
        </w:rPr>
        <w:t>ned in Regulation No. </w:t>
      </w:r>
      <w:r w:rsidRPr="004319EB">
        <w:rPr>
          <w:lang w:val="en-US"/>
        </w:rPr>
        <w:t>14 (Annex 4, Appendix 2</w:t>
      </w:r>
      <w:r w:rsidRPr="004319EB">
        <w:t>) or Regulation No. [XX] (</w:t>
      </w:r>
      <w:r w:rsidR="00480679">
        <w:rPr>
          <w:lang w:val="en-US"/>
        </w:rPr>
        <w:t>Annex </w:t>
      </w:r>
      <w:r w:rsidR="003C74F8">
        <w:rPr>
          <w:lang w:val="en-US"/>
        </w:rPr>
        <w:t>3, Appendix </w:t>
      </w:r>
      <w:r w:rsidRPr="004319EB">
        <w:rPr>
          <w:lang w:val="en-US"/>
        </w:rPr>
        <w:t>2), with the fixture installed in the vehic</w:t>
      </w:r>
      <w:r w:rsidR="00480679">
        <w:rPr>
          <w:lang w:val="en-US"/>
        </w:rPr>
        <w:t>le as defined in Regulation </w:t>
      </w:r>
      <w:r w:rsidR="003C74F8">
        <w:rPr>
          <w:lang w:val="en-US"/>
        </w:rPr>
        <w:t>No. </w:t>
      </w:r>
      <w:r w:rsidRPr="004319EB">
        <w:rPr>
          <w:lang w:val="en-US"/>
        </w:rPr>
        <w:t>16 (Annex 17, Appendix 2)."</w:t>
      </w:r>
    </w:p>
    <w:p w:rsidR="0041067B" w:rsidRPr="006132BE" w:rsidRDefault="001C66FD" w:rsidP="0035511B">
      <w:pPr>
        <w:spacing w:before="240"/>
        <w:ind w:left="1134" w:right="1134"/>
        <w:jc w:val="center"/>
        <w:rPr>
          <w:u w:val="single"/>
          <w:lang w:val="en-GB"/>
        </w:rPr>
      </w:pPr>
      <w:r w:rsidRPr="006132BE">
        <w:rPr>
          <w:u w:val="single"/>
          <w:lang w:val="en-GB"/>
        </w:rPr>
        <w:tab/>
      </w:r>
      <w:r w:rsidRPr="006132BE">
        <w:rPr>
          <w:u w:val="single"/>
          <w:lang w:val="en-GB"/>
        </w:rPr>
        <w:tab/>
      </w:r>
      <w:r w:rsidRPr="006132BE">
        <w:rPr>
          <w:u w:val="single"/>
          <w:lang w:val="en-GB"/>
        </w:rPr>
        <w:tab/>
      </w:r>
    </w:p>
    <w:sectPr w:rsidR="0041067B" w:rsidRPr="006132BE" w:rsidSect="00070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13" w:rsidRDefault="00E26313"/>
  </w:endnote>
  <w:endnote w:type="continuationSeparator" w:id="0">
    <w:p w:rsidR="00E26313" w:rsidRDefault="00E26313"/>
  </w:endnote>
  <w:endnote w:type="continuationNotice" w:id="1">
    <w:p w:rsidR="00E26313" w:rsidRDefault="00E26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9A6A9E" w:rsidRDefault="00AD2FCA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AE5806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9A6A9E" w:rsidRDefault="00AD2FCA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AE5806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Default="00AD2FCA" w:rsidP="00AD2F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13" w:rsidRPr="00D27D5E" w:rsidRDefault="00E2631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26313" w:rsidRDefault="00E2631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E26313" w:rsidRDefault="00E26313"/>
  </w:footnote>
  <w:footnote w:id="2">
    <w:p w:rsidR="00AD2FCA" w:rsidRPr="00706101" w:rsidRDefault="00AD2FCA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F73DE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E02A4F" w:rsidRDefault="00F5207D" w:rsidP="009556DB">
    <w:pPr>
      <w:pStyle w:val="Header"/>
      <w:rPr>
        <w:lang w:val="en-US"/>
      </w:rPr>
    </w:pPr>
    <w:r>
      <w:rPr>
        <w:lang w:val="en-US"/>
      </w:rPr>
      <w:t>ECE/TRANS/WP.29/2017/12</w:t>
    </w:r>
    <w:r w:rsidR="0048098A">
      <w:rPr>
        <w:lang w:val="en-US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E02A4F" w:rsidRDefault="00F80DD0" w:rsidP="009A6A9E">
    <w:pPr>
      <w:pStyle w:val="Header"/>
      <w:jc w:val="right"/>
      <w:rPr>
        <w:lang w:val="en-US"/>
      </w:rPr>
    </w:pPr>
    <w:r>
      <w:rPr>
        <w:lang w:val="en-US"/>
      </w:rPr>
      <w:t>ECE/TRANS/WP.2</w:t>
    </w:r>
    <w:r w:rsidR="00AE5806">
      <w:rPr>
        <w:lang w:val="en-US"/>
      </w:rPr>
      <w:t>9/2017/124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59" w:rsidRDefault="00676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"/>
        </w:tabs>
        <w:ind w:left="432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A073F00"/>
    <w:multiLevelType w:val="multilevel"/>
    <w:tmpl w:val="65DC3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7" w15:restartNumberingAfterBreak="0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8" w15:restartNumberingAfterBreak="0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0D81"/>
    <w:rsid w:val="00011EEB"/>
    <w:rsid w:val="000126F2"/>
    <w:rsid w:val="00013231"/>
    <w:rsid w:val="00014959"/>
    <w:rsid w:val="00016AC5"/>
    <w:rsid w:val="00016F54"/>
    <w:rsid w:val="00020252"/>
    <w:rsid w:val="00020AB9"/>
    <w:rsid w:val="00020CD4"/>
    <w:rsid w:val="000215B9"/>
    <w:rsid w:val="00021FBB"/>
    <w:rsid w:val="00022D47"/>
    <w:rsid w:val="000238BE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C08"/>
    <w:rsid w:val="00032ED5"/>
    <w:rsid w:val="00033336"/>
    <w:rsid w:val="000338E1"/>
    <w:rsid w:val="00034661"/>
    <w:rsid w:val="00034A81"/>
    <w:rsid w:val="00035F50"/>
    <w:rsid w:val="000403DA"/>
    <w:rsid w:val="00040DFF"/>
    <w:rsid w:val="00041ECD"/>
    <w:rsid w:val="000434A9"/>
    <w:rsid w:val="00044002"/>
    <w:rsid w:val="00052475"/>
    <w:rsid w:val="00052C97"/>
    <w:rsid w:val="00052F65"/>
    <w:rsid w:val="00053AD5"/>
    <w:rsid w:val="00056173"/>
    <w:rsid w:val="00056841"/>
    <w:rsid w:val="000571C0"/>
    <w:rsid w:val="00057396"/>
    <w:rsid w:val="00057CFF"/>
    <w:rsid w:val="0006097D"/>
    <w:rsid w:val="00063692"/>
    <w:rsid w:val="00063D37"/>
    <w:rsid w:val="00066DC1"/>
    <w:rsid w:val="00067102"/>
    <w:rsid w:val="00067A36"/>
    <w:rsid w:val="0007053C"/>
    <w:rsid w:val="00070A6D"/>
    <w:rsid w:val="000721D0"/>
    <w:rsid w:val="00072556"/>
    <w:rsid w:val="00074793"/>
    <w:rsid w:val="000758F4"/>
    <w:rsid w:val="00075A2F"/>
    <w:rsid w:val="00075C17"/>
    <w:rsid w:val="00076558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228"/>
    <w:rsid w:val="00087251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2BB"/>
    <w:rsid w:val="000D4C4A"/>
    <w:rsid w:val="000E2333"/>
    <w:rsid w:val="000E40FD"/>
    <w:rsid w:val="000E4374"/>
    <w:rsid w:val="000E4B6C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374DD"/>
    <w:rsid w:val="0014040C"/>
    <w:rsid w:val="0014095D"/>
    <w:rsid w:val="001421C7"/>
    <w:rsid w:val="00142654"/>
    <w:rsid w:val="00142659"/>
    <w:rsid w:val="001426D9"/>
    <w:rsid w:val="00142C19"/>
    <w:rsid w:val="00142CBC"/>
    <w:rsid w:val="0014372B"/>
    <w:rsid w:val="001441DB"/>
    <w:rsid w:val="001462C7"/>
    <w:rsid w:val="001467C6"/>
    <w:rsid w:val="00146A7C"/>
    <w:rsid w:val="001509B1"/>
    <w:rsid w:val="00152920"/>
    <w:rsid w:val="001529E2"/>
    <w:rsid w:val="001534D0"/>
    <w:rsid w:val="00153756"/>
    <w:rsid w:val="00154296"/>
    <w:rsid w:val="001556F0"/>
    <w:rsid w:val="00160540"/>
    <w:rsid w:val="00161A5C"/>
    <w:rsid w:val="00162C1A"/>
    <w:rsid w:val="0016483A"/>
    <w:rsid w:val="00164B1E"/>
    <w:rsid w:val="00165489"/>
    <w:rsid w:val="0017009F"/>
    <w:rsid w:val="00170AD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18A5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6FD"/>
    <w:rsid w:val="001C6712"/>
    <w:rsid w:val="001C7674"/>
    <w:rsid w:val="001C785B"/>
    <w:rsid w:val="001C7FA8"/>
    <w:rsid w:val="001D0BB4"/>
    <w:rsid w:val="001D0D93"/>
    <w:rsid w:val="001D4287"/>
    <w:rsid w:val="001D76CF"/>
    <w:rsid w:val="001D7F81"/>
    <w:rsid w:val="001D7F8A"/>
    <w:rsid w:val="001E0513"/>
    <w:rsid w:val="001E0542"/>
    <w:rsid w:val="001E1674"/>
    <w:rsid w:val="001E1FC2"/>
    <w:rsid w:val="001E2621"/>
    <w:rsid w:val="001E3E19"/>
    <w:rsid w:val="001E3EB5"/>
    <w:rsid w:val="001E3FEB"/>
    <w:rsid w:val="001E4A02"/>
    <w:rsid w:val="001E4BA1"/>
    <w:rsid w:val="001E5C68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81C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5F61"/>
    <w:rsid w:val="00226A36"/>
    <w:rsid w:val="00227537"/>
    <w:rsid w:val="00227853"/>
    <w:rsid w:val="00230500"/>
    <w:rsid w:val="002310DA"/>
    <w:rsid w:val="00232EE1"/>
    <w:rsid w:val="00234945"/>
    <w:rsid w:val="00234F39"/>
    <w:rsid w:val="00235EA2"/>
    <w:rsid w:val="00236080"/>
    <w:rsid w:val="00236B01"/>
    <w:rsid w:val="00236D0D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2E28"/>
    <w:rsid w:val="0026323B"/>
    <w:rsid w:val="00264ABF"/>
    <w:rsid w:val="002659F1"/>
    <w:rsid w:val="0026653D"/>
    <w:rsid w:val="00266AA5"/>
    <w:rsid w:val="002674A4"/>
    <w:rsid w:val="00267552"/>
    <w:rsid w:val="00270EEF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BD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5FF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1A69"/>
    <w:rsid w:val="002B2097"/>
    <w:rsid w:val="002B49CF"/>
    <w:rsid w:val="002B4C06"/>
    <w:rsid w:val="002B50B3"/>
    <w:rsid w:val="002B5D55"/>
    <w:rsid w:val="002B678A"/>
    <w:rsid w:val="002B6874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094A"/>
    <w:rsid w:val="002E0D86"/>
    <w:rsid w:val="002E130D"/>
    <w:rsid w:val="002E233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3040"/>
    <w:rsid w:val="00306DC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0B6"/>
    <w:rsid w:val="003223B1"/>
    <w:rsid w:val="003245AA"/>
    <w:rsid w:val="00324ED2"/>
    <w:rsid w:val="003253F7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5F9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A7F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511B"/>
    <w:rsid w:val="00355C82"/>
    <w:rsid w:val="00355E89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67A89"/>
    <w:rsid w:val="00370E0F"/>
    <w:rsid w:val="00371AD1"/>
    <w:rsid w:val="00372C61"/>
    <w:rsid w:val="0037364C"/>
    <w:rsid w:val="00374106"/>
    <w:rsid w:val="003757EB"/>
    <w:rsid w:val="003759C0"/>
    <w:rsid w:val="00377186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4F2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43F"/>
    <w:rsid w:val="003976D5"/>
    <w:rsid w:val="003A02E3"/>
    <w:rsid w:val="003A06A0"/>
    <w:rsid w:val="003A0FD0"/>
    <w:rsid w:val="003A0FE8"/>
    <w:rsid w:val="003A16A1"/>
    <w:rsid w:val="003A489E"/>
    <w:rsid w:val="003A579A"/>
    <w:rsid w:val="003A648A"/>
    <w:rsid w:val="003A66D0"/>
    <w:rsid w:val="003A6D04"/>
    <w:rsid w:val="003A7F9F"/>
    <w:rsid w:val="003B0F7D"/>
    <w:rsid w:val="003B1596"/>
    <w:rsid w:val="003B1881"/>
    <w:rsid w:val="003B1C62"/>
    <w:rsid w:val="003B1DAC"/>
    <w:rsid w:val="003B345A"/>
    <w:rsid w:val="003B3944"/>
    <w:rsid w:val="003B4150"/>
    <w:rsid w:val="003B425C"/>
    <w:rsid w:val="003B4DAE"/>
    <w:rsid w:val="003B4E7F"/>
    <w:rsid w:val="003B5C37"/>
    <w:rsid w:val="003B687A"/>
    <w:rsid w:val="003B6F35"/>
    <w:rsid w:val="003B6F42"/>
    <w:rsid w:val="003B71BA"/>
    <w:rsid w:val="003B7A7F"/>
    <w:rsid w:val="003C260D"/>
    <w:rsid w:val="003C5FF9"/>
    <w:rsid w:val="003C6965"/>
    <w:rsid w:val="003C74F8"/>
    <w:rsid w:val="003C77FD"/>
    <w:rsid w:val="003D02FA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303"/>
    <w:rsid w:val="003E2DD0"/>
    <w:rsid w:val="003E4109"/>
    <w:rsid w:val="003E47BB"/>
    <w:rsid w:val="003E4A29"/>
    <w:rsid w:val="003E4C2C"/>
    <w:rsid w:val="003E54A2"/>
    <w:rsid w:val="003E54DA"/>
    <w:rsid w:val="003E58BC"/>
    <w:rsid w:val="003E5FD6"/>
    <w:rsid w:val="003F12EB"/>
    <w:rsid w:val="003F143E"/>
    <w:rsid w:val="003F411D"/>
    <w:rsid w:val="003F41B9"/>
    <w:rsid w:val="003F4BA3"/>
    <w:rsid w:val="003F6314"/>
    <w:rsid w:val="003F6D72"/>
    <w:rsid w:val="003F73DE"/>
    <w:rsid w:val="00400B00"/>
    <w:rsid w:val="00400C93"/>
    <w:rsid w:val="00402CC2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0E0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19EB"/>
    <w:rsid w:val="00433A25"/>
    <w:rsid w:val="004346E7"/>
    <w:rsid w:val="00434F04"/>
    <w:rsid w:val="00434FE2"/>
    <w:rsid w:val="00440A27"/>
    <w:rsid w:val="00440D4C"/>
    <w:rsid w:val="004411E2"/>
    <w:rsid w:val="00442624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6EFD"/>
    <w:rsid w:val="00457AA3"/>
    <w:rsid w:val="004615C9"/>
    <w:rsid w:val="00461C7B"/>
    <w:rsid w:val="004625CB"/>
    <w:rsid w:val="00463563"/>
    <w:rsid w:val="00463EC3"/>
    <w:rsid w:val="0046586D"/>
    <w:rsid w:val="0046637D"/>
    <w:rsid w:val="00467E41"/>
    <w:rsid w:val="0047049D"/>
    <w:rsid w:val="0047052B"/>
    <w:rsid w:val="004720B1"/>
    <w:rsid w:val="00473A46"/>
    <w:rsid w:val="00473A8F"/>
    <w:rsid w:val="00473D03"/>
    <w:rsid w:val="00474636"/>
    <w:rsid w:val="00474CC3"/>
    <w:rsid w:val="00476584"/>
    <w:rsid w:val="004774D5"/>
    <w:rsid w:val="00477766"/>
    <w:rsid w:val="00477F99"/>
    <w:rsid w:val="00480679"/>
    <w:rsid w:val="0048098A"/>
    <w:rsid w:val="0048167F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B3A"/>
    <w:rsid w:val="004A3ECD"/>
    <w:rsid w:val="004A4841"/>
    <w:rsid w:val="004A4F67"/>
    <w:rsid w:val="004A659B"/>
    <w:rsid w:val="004A6D80"/>
    <w:rsid w:val="004A7442"/>
    <w:rsid w:val="004B2711"/>
    <w:rsid w:val="004B2C8B"/>
    <w:rsid w:val="004B4A7F"/>
    <w:rsid w:val="004C0D3F"/>
    <w:rsid w:val="004C1A2F"/>
    <w:rsid w:val="004C350D"/>
    <w:rsid w:val="004C49FF"/>
    <w:rsid w:val="004C5B48"/>
    <w:rsid w:val="004C772B"/>
    <w:rsid w:val="004D1440"/>
    <w:rsid w:val="004D2005"/>
    <w:rsid w:val="004D3124"/>
    <w:rsid w:val="004D51C1"/>
    <w:rsid w:val="004D6F75"/>
    <w:rsid w:val="004E22AE"/>
    <w:rsid w:val="004E2CE3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1CA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17CC"/>
    <w:rsid w:val="00552C54"/>
    <w:rsid w:val="0055434B"/>
    <w:rsid w:val="00554948"/>
    <w:rsid w:val="005552D8"/>
    <w:rsid w:val="005561F0"/>
    <w:rsid w:val="0055705C"/>
    <w:rsid w:val="00561109"/>
    <w:rsid w:val="005651D1"/>
    <w:rsid w:val="00566215"/>
    <w:rsid w:val="005677A3"/>
    <w:rsid w:val="00567A90"/>
    <w:rsid w:val="00570670"/>
    <w:rsid w:val="00570A19"/>
    <w:rsid w:val="0057146D"/>
    <w:rsid w:val="00571F41"/>
    <w:rsid w:val="00571FCA"/>
    <w:rsid w:val="00572229"/>
    <w:rsid w:val="00574006"/>
    <w:rsid w:val="005740D6"/>
    <w:rsid w:val="00574480"/>
    <w:rsid w:val="005745CB"/>
    <w:rsid w:val="00574797"/>
    <w:rsid w:val="005747E6"/>
    <w:rsid w:val="00575BDF"/>
    <w:rsid w:val="0057717F"/>
    <w:rsid w:val="00580082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411"/>
    <w:rsid w:val="005B4A47"/>
    <w:rsid w:val="005B5842"/>
    <w:rsid w:val="005B675C"/>
    <w:rsid w:val="005B6B4E"/>
    <w:rsid w:val="005B748B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0B6"/>
    <w:rsid w:val="005D4546"/>
    <w:rsid w:val="005D4FDB"/>
    <w:rsid w:val="005D7978"/>
    <w:rsid w:val="005D7FAF"/>
    <w:rsid w:val="005E00E6"/>
    <w:rsid w:val="005E278D"/>
    <w:rsid w:val="005E2BE9"/>
    <w:rsid w:val="005E2FF0"/>
    <w:rsid w:val="005E5D1F"/>
    <w:rsid w:val="005E6930"/>
    <w:rsid w:val="005E6F16"/>
    <w:rsid w:val="005E70B7"/>
    <w:rsid w:val="005E7A0D"/>
    <w:rsid w:val="005F0D33"/>
    <w:rsid w:val="005F131D"/>
    <w:rsid w:val="005F19FC"/>
    <w:rsid w:val="005F2D80"/>
    <w:rsid w:val="005F3278"/>
    <w:rsid w:val="005F435F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32BE"/>
    <w:rsid w:val="006142EA"/>
    <w:rsid w:val="00614877"/>
    <w:rsid w:val="00615307"/>
    <w:rsid w:val="0061609F"/>
    <w:rsid w:val="0061685D"/>
    <w:rsid w:val="00616B45"/>
    <w:rsid w:val="00620131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181"/>
    <w:rsid w:val="006373CC"/>
    <w:rsid w:val="006373FD"/>
    <w:rsid w:val="00641056"/>
    <w:rsid w:val="006439EC"/>
    <w:rsid w:val="006440F5"/>
    <w:rsid w:val="00644577"/>
    <w:rsid w:val="00644813"/>
    <w:rsid w:val="00645F1E"/>
    <w:rsid w:val="006476A9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552C"/>
    <w:rsid w:val="00655B80"/>
    <w:rsid w:val="00656290"/>
    <w:rsid w:val="00661205"/>
    <w:rsid w:val="00661275"/>
    <w:rsid w:val="00662497"/>
    <w:rsid w:val="00665E43"/>
    <w:rsid w:val="00667476"/>
    <w:rsid w:val="006731C6"/>
    <w:rsid w:val="0067568A"/>
    <w:rsid w:val="00676559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4F4B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3892"/>
    <w:rsid w:val="006B4590"/>
    <w:rsid w:val="006B499C"/>
    <w:rsid w:val="006B4B33"/>
    <w:rsid w:val="006B59C7"/>
    <w:rsid w:val="006B7504"/>
    <w:rsid w:val="006C0BC6"/>
    <w:rsid w:val="006C0BE7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4D8D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4DB1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22C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4E38"/>
    <w:rsid w:val="00746CFE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5E35"/>
    <w:rsid w:val="00776037"/>
    <w:rsid w:val="007761E5"/>
    <w:rsid w:val="00776213"/>
    <w:rsid w:val="00776D02"/>
    <w:rsid w:val="007774AE"/>
    <w:rsid w:val="007805D5"/>
    <w:rsid w:val="007817A0"/>
    <w:rsid w:val="00782F27"/>
    <w:rsid w:val="0078569B"/>
    <w:rsid w:val="00785D38"/>
    <w:rsid w:val="007906E3"/>
    <w:rsid w:val="00790F2F"/>
    <w:rsid w:val="007911A6"/>
    <w:rsid w:val="0079171C"/>
    <w:rsid w:val="007918DA"/>
    <w:rsid w:val="00791FAB"/>
    <w:rsid w:val="00792EED"/>
    <w:rsid w:val="007944C3"/>
    <w:rsid w:val="007947B8"/>
    <w:rsid w:val="00794F5C"/>
    <w:rsid w:val="00796A95"/>
    <w:rsid w:val="007A3477"/>
    <w:rsid w:val="007A4735"/>
    <w:rsid w:val="007A4C56"/>
    <w:rsid w:val="007A4F58"/>
    <w:rsid w:val="007A680D"/>
    <w:rsid w:val="007A6D5C"/>
    <w:rsid w:val="007B0442"/>
    <w:rsid w:val="007B0FF9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250"/>
    <w:rsid w:val="007D1A04"/>
    <w:rsid w:val="007D2DC4"/>
    <w:rsid w:val="007D3BCA"/>
    <w:rsid w:val="007D44AA"/>
    <w:rsid w:val="007D476D"/>
    <w:rsid w:val="007D499C"/>
    <w:rsid w:val="007D4E20"/>
    <w:rsid w:val="007D5417"/>
    <w:rsid w:val="007D6D51"/>
    <w:rsid w:val="007D72CE"/>
    <w:rsid w:val="007D73A4"/>
    <w:rsid w:val="007D7D70"/>
    <w:rsid w:val="007E0236"/>
    <w:rsid w:val="007E1B56"/>
    <w:rsid w:val="007E24F5"/>
    <w:rsid w:val="007E336B"/>
    <w:rsid w:val="007E4F8E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0A8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310"/>
    <w:rsid w:val="00825763"/>
    <w:rsid w:val="00826B0A"/>
    <w:rsid w:val="00826F41"/>
    <w:rsid w:val="00830A28"/>
    <w:rsid w:val="008317F6"/>
    <w:rsid w:val="00831F87"/>
    <w:rsid w:val="00836DF9"/>
    <w:rsid w:val="00841310"/>
    <w:rsid w:val="008426F8"/>
    <w:rsid w:val="00842FBE"/>
    <w:rsid w:val="00843097"/>
    <w:rsid w:val="008442EB"/>
    <w:rsid w:val="00844750"/>
    <w:rsid w:val="0084488A"/>
    <w:rsid w:val="0084609A"/>
    <w:rsid w:val="008475EC"/>
    <w:rsid w:val="00847F2B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314E"/>
    <w:rsid w:val="0088411C"/>
    <w:rsid w:val="00884EC1"/>
    <w:rsid w:val="008878ED"/>
    <w:rsid w:val="00887CB8"/>
    <w:rsid w:val="00890250"/>
    <w:rsid w:val="00891D73"/>
    <w:rsid w:val="00891FA6"/>
    <w:rsid w:val="008923BE"/>
    <w:rsid w:val="00893025"/>
    <w:rsid w:val="0089444D"/>
    <w:rsid w:val="008962BF"/>
    <w:rsid w:val="00896428"/>
    <w:rsid w:val="00896604"/>
    <w:rsid w:val="0089778A"/>
    <w:rsid w:val="008A008A"/>
    <w:rsid w:val="008A0BBD"/>
    <w:rsid w:val="008A2F31"/>
    <w:rsid w:val="008A3266"/>
    <w:rsid w:val="008A4629"/>
    <w:rsid w:val="008A51BA"/>
    <w:rsid w:val="008A538D"/>
    <w:rsid w:val="008A6088"/>
    <w:rsid w:val="008A7377"/>
    <w:rsid w:val="008B0FF5"/>
    <w:rsid w:val="008B25A9"/>
    <w:rsid w:val="008B2C53"/>
    <w:rsid w:val="008B44C4"/>
    <w:rsid w:val="008B623C"/>
    <w:rsid w:val="008B6473"/>
    <w:rsid w:val="008B755A"/>
    <w:rsid w:val="008B7879"/>
    <w:rsid w:val="008C0192"/>
    <w:rsid w:val="008C13BB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3EF2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383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7D9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4F43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67459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1DF"/>
    <w:rsid w:val="009876D9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0AC5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460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5EBF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102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40D"/>
    <w:rsid w:val="00A508A3"/>
    <w:rsid w:val="00A52538"/>
    <w:rsid w:val="00A53ACA"/>
    <w:rsid w:val="00A54792"/>
    <w:rsid w:val="00A54969"/>
    <w:rsid w:val="00A55081"/>
    <w:rsid w:val="00A55260"/>
    <w:rsid w:val="00A5529C"/>
    <w:rsid w:val="00A55C74"/>
    <w:rsid w:val="00A566C8"/>
    <w:rsid w:val="00A57313"/>
    <w:rsid w:val="00A576AA"/>
    <w:rsid w:val="00A6018E"/>
    <w:rsid w:val="00A60D62"/>
    <w:rsid w:val="00A61332"/>
    <w:rsid w:val="00A62D08"/>
    <w:rsid w:val="00A636DB"/>
    <w:rsid w:val="00A64631"/>
    <w:rsid w:val="00A64E23"/>
    <w:rsid w:val="00A65836"/>
    <w:rsid w:val="00A65A67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579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4752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5E0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4EB6"/>
    <w:rsid w:val="00AC5E53"/>
    <w:rsid w:val="00AC6531"/>
    <w:rsid w:val="00AC67A1"/>
    <w:rsid w:val="00AC6BD8"/>
    <w:rsid w:val="00AC7977"/>
    <w:rsid w:val="00AC7F9F"/>
    <w:rsid w:val="00AD0233"/>
    <w:rsid w:val="00AD05C5"/>
    <w:rsid w:val="00AD195B"/>
    <w:rsid w:val="00AD2FCA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806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6F1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0D6A"/>
    <w:rsid w:val="00B01D76"/>
    <w:rsid w:val="00B02185"/>
    <w:rsid w:val="00B04922"/>
    <w:rsid w:val="00B0523F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26C7"/>
    <w:rsid w:val="00B5478F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093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39F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2FCB"/>
    <w:rsid w:val="00BA38A9"/>
    <w:rsid w:val="00BA4087"/>
    <w:rsid w:val="00BA4CAC"/>
    <w:rsid w:val="00BA5929"/>
    <w:rsid w:val="00BB14FC"/>
    <w:rsid w:val="00BB1E2D"/>
    <w:rsid w:val="00BB2EF3"/>
    <w:rsid w:val="00BB5394"/>
    <w:rsid w:val="00BB572B"/>
    <w:rsid w:val="00BB71A7"/>
    <w:rsid w:val="00BC4943"/>
    <w:rsid w:val="00BC599C"/>
    <w:rsid w:val="00BC59A3"/>
    <w:rsid w:val="00BC6718"/>
    <w:rsid w:val="00BC69AB"/>
    <w:rsid w:val="00BC6A32"/>
    <w:rsid w:val="00BD0616"/>
    <w:rsid w:val="00BD1B37"/>
    <w:rsid w:val="00BD350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3359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3BBC"/>
    <w:rsid w:val="00C04A87"/>
    <w:rsid w:val="00C05A00"/>
    <w:rsid w:val="00C061E3"/>
    <w:rsid w:val="00C06622"/>
    <w:rsid w:val="00C07F85"/>
    <w:rsid w:val="00C07FEE"/>
    <w:rsid w:val="00C12B42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528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29A7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9C"/>
    <w:rsid w:val="00C71FD7"/>
    <w:rsid w:val="00C726A5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437B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321B"/>
    <w:rsid w:val="00CB6267"/>
    <w:rsid w:val="00CC103C"/>
    <w:rsid w:val="00CC1082"/>
    <w:rsid w:val="00CC1985"/>
    <w:rsid w:val="00CC3D35"/>
    <w:rsid w:val="00CC43FA"/>
    <w:rsid w:val="00CC4BD4"/>
    <w:rsid w:val="00CC4D91"/>
    <w:rsid w:val="00CC671B"/>
    <w:rsid w:val="00CC7BAE"/>
    <w:rsid w:val="00CD1A71"/>
    <w:rsid w:val="00CD1FBB"/>
    <w:rsid w:val="00CD29C6"/>
    <w:rsid w:val="00CD48EF"/>
    <w:rsid w:val="00CD5EEF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2AC8"/>
    <w:rsid w:val="00CF3277"/>
    <w:rsid w:val="00CF36EA"/>
    <w:rsid w:val="00CF4B46"/>
    <w:rsid w:val="00CF4F72"/>
    <w:rsid w:val="00CF5A19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600"/>
    <w:rsid w:val="00D1086E"/>
    <w:rsid w:val="00D116A2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39B3"/>
    <w:rsid w:val="00D246FE"/>
    <w:rsid w:val="00D247EA"/>
    <w:rsid w:val="00D24F7F"/>
    <w:rsid w:val="00D26A3D"/>
    <w:rsid w:val="00D27D5E"/>
    <w:rsid w:val="00D301FC"/>
    <w:rsid w:val="00D30931"/>
    <w:rsid w:val="00D30ABC"/>
    <w:rsid w:val="00D3293B"/>
    <w:rsid w:val="00D33093"/>
    <w:rsid w:val="00D33F2B"/>
    <w:rsid w:val="00D371F4"/>
    <w:rsid w:val="00D4229D"/>
    <w:rsid w:val="00D42DA1"/>
    <w:rsid w:val="00D43775"/>
    <w:rsid w:val="00D4385E"/>
    <w:rsid w:val="00D44221"/>
    <w:rsid w:val="00D444F3"/>
    <w:rsid w:val="00D47A16"/>
    <w:rsid w:val="00D50FEF"/>
    <w:rsid w:val="00D52760"/>
    <w:rsid w:val="00D52B50"/>
    <w:rsid w:val="00D52F2A"/>
    <w:rsid w:val="00D544B1"/>
    <w:rsid w:val="00D55AB8"/>
    <w:rsid w:val="00D55DE4"/>
    <w:rsid w:val="00D568F9"/>
    <w:rsid w:val="00D569A4"/>
    <w:rsid w:val="00D57082"/>
    <w:rsid w:val="00D57C1E"/>
    <w:rsid w:val="00D57ED0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740"/>
    <w:rsid w:val="00D8648E"/>
    <w:rsid w:val="00D86731"/>
    <w:rsid w:val="00D90151"/>
    <w:rsid w:val="00D909E9"/>
    <w:rsid w:val="00D91A12"/>
    <w:rsid w:val="00D93BBE"/>
    <w:rsid w:val="00D9454D"/>
    <w:rsid w:val="00D95E12"/>
    <w:rsid w:val="00D960A8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610D"/>
    <w:rsid w:val="00DC728C"/>
    <w:rsid w:val="00DD04E1"/>
    <w:rsid w:val="00DD19F8"/>
    <w:rsid w:val="00DD4580"/>
    <w:rsid w:val="00DD5323"/>
    <w:rsid w:val="00DD53CF"/>
    <w:rsid w:val="00DD620B"/>
    <w:rsid w:val="00DD6E2C"/>
    <w:rsid w:val="00DD798E"/>
    <w:rsid w:val="00DE01E3"/>
    <w:rsid w:val="00DE17DD"/>
    <w:rsid w:val="00DE17E5"/>
    <w:rsid w:val="00DE3BD4"/>
    <w:rsid w:val="00DE3EF3"/>
    <w:rsid w:val="00DE41A3"/>
    <w:rsid w:val="00DE429A"/>
    <w:rsid w:val="00DE6D90"/>
    <w:rsid w:val="00DE7B66"/>
    <w:rsid w:val="00DF002F"/>
    <w:rsid w:val="00DF0045"/>
    <w:rsid w:val="00DF1466"/>
    <w:rsid w:val="00DF1697"/>
    <w:rsid w:val="00DF1F3D"/>
    <w:rsid w:val="00DF1FA1"/>
    <w:rsid w:val="00DF2254"/>
    <w:rsid w:val="00DF3397"/>
    <w:rsid w:val="00DF3E13"/>
    <w:rsid w:val="00DF4673"/>
    <w:rsid w:val="00DF53E3"/>
    <w:rsid w:val="00DF5DA6"/>
    <w:rsid w:val="00DF638D"/>
    <w:rsid w:val="00DF6CA0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6BAE"/>
    <w:rsid w:val="00E0727F"/>
    <w:rsid w:val="00E10C4F"/>
    <w:rsid w:val="00E1103B"/>
    <w:rsid w:val="00E117DD"/>
    <w:rsid w:val="00E14106"/>
    <w:rsid w:val="00E15261"/>
    <w:rsid w:val="00E1634A"/>
    <w:rsid w:val="00E16C22"/>
    <w:rsid w:val="00E171BA"/>
    <w:rsid w:val="00E17454"/>
    <w:rsid w:val="00E17BA7"/>
    <w:rsid w:val="00E20C48"/>
    <w:rsid w:val="00E23086"/>
    <w:rsid w:val="00E23C22"/>
    <w:rsid w:val="00E24682"/>
    <w:rsid w:val="00E259A2"/>
    <w:rsid w:val="00E25CEE"/>
    <w:rsid w:val="00E2613F"/>
    <w:rsid w:val="00E26313"/>
    <w:rsid w:val="00E27742"/>
    <w:rsid w:val="00E2790C"/>
    <w:rsid w:val="00E3038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0BF8"/>
    <w:rsid w:val="00E61025"/>
    <w:rsid w:val="00E61A2F"/>
    <w:rsid w:val="00E632D5"/>
    <w:rsid w:val="00E63421"/>
    <w:rsid w:val="00E65778"/>
    <w:rsid w:val="00E667D2"/>
    <w:rsid w:val="00E668AE"/>
    <w:rsid w:val="00E67150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08F"/>
    <w:rsid w:val="00E90EA6"/>
    <w:rsid w:val="00E9300C"/>
    <w:rsid w:val="00E931D7"/>
    <w:rsid w:val="00EA1745"/>
    <w:rsid w:val="00EA230F"/>
    <w:rsid w:val="00EA233B"/>
    <w:rsid w:val="00EA31C2"/>
    <w:rsid w:val="00EA38AE"/>
    <w:rsid w:val="00EA49D4"/>
    <w:rsid w:val="00EA5630"/>
    <w:rsid w:val="00EA5D85"/>
    <w:rsid w:val="00EA64BA"/>
    <w:rsid w:val="00EA7714"/>
    <w:rsid w:val="00EB04A0"/>
    <w:rsid w:val="00EB0A65"/>
    <w:rsid w:val="00EB0DE6"/>
    <w:rsid w:val="00EB187A"/>
    <w:rsid w:val="00EB5434"/>
    <w:rsid w:val="00EB5688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62EB"/>
    <w:rsid w:val="00EC7D25"/>
    <w:rsid w:val="00ED0791"/>
    <w:rsid w:val="00ED0A27"/>
    <w:rsid w:val="00ED17F4"/>
    <w:rsid w:val="00ED1F37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3E75"/>
    <w:rsid w:val="00EE4721"/>
    <w:rsid w:val="00EE7E85"/>
    <w:rsid w:val="00EF1486"/>
    <w:rsid w:val="00EF2CAC"/>
    <w:rsid w:val="00EF2ED6"/>
    <w:rsid w:val="00EF32D1"/>
    <w:rsid w:val="00EF37FC"/>
    <w:rsid w:val="00EF3A5B"/>
    <w:rsid w:val="00EF60AC"/>
    <w:rsid w:val="00EF6183"/>
    <w:rsid w:val="00EF73A7"/>
    <w:rsid w:val="00F00678"/>
    <w:rsid w:val="00F01516"/>
    <w:rsid w:val="00F049E2"/>
    <w:rsid w:val="00F04C4D"/>
    <w:rsid w:val="00F06C2A"/>
    <w:rsid w:val="00F07B09"/>
    <w:rsid w:val="00F11975"/>
    <w:rsid w:val="00F145B6"/>
    <w:rsid w:val="00F1473C"/>
    <w:rsid w:val="00F15C00"/>
    <w:rsid w:val="00F1612A"/>
    <w:rsid w:val="00F1644D"/>
    <w:rsid w:val="00F16AC6"/>
    <w:rsid w:val="00F16B81"/>
    <w:rsid w:val="00F16EED"/>
    <w:rsid w:val="00F20C8B"/>
    <w:rsid w:val="00F21980"/>
    <w:rsid w:val="00F22461"/>
    <w:rsid w:val="00F22E5C"/>
    <w:rsid w:val="00F2438C"/>
    <w:rsid w:val="00F24AD4"/>
    <w:rsid w:val="00F24C9F"/>
    <w:rsid w:val="00F26001"/>
    <w:rsid w:val="00F260DE"/>
    <w:rsid w:val="00F30372"/>
    <w:rsid w:val="00F30D47"/>
    <w:rsid w:val="00F3201D"/>
    <w:rsid w:val="00F32F3E"/>
    <w:rsid w:val="00F36266"/>
    <w:rsid w:val="00F364CD"/>
    <w:rsid w:val="00F41CFA"/>
    <w:rsid w:val="00F43193"/>
    <w:rsid w:val="00F437B8"/>
    <w:rsid w:val="00F44CBD"/>
    <w:rsid w:val="00F5070F"/>
    <w:rsid w:val="00F5207D"/>
    <w:rsid w:val="00F54B88"/>
    <w:rsid w:val="00F55242"/>
    <w:rsid w:val="00F55E23"/>
    <w:rsid w:val="00F56037"/>
    <w:rsid w:val="00F56C1B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0DD0"/>
    <w:rsid w:val="00F822AD"/>
    <w:rsid w:val="00F838E8"/>
    <w:rsid w:val="00F83AD4"/>
    <w:rsid w:val="00F83B50"/>
    <w:rsid w:val="00F856CE"/>
    <w:rsid w:val="00F870FA"/>
    <w:rsid w:val="00F87BC6"/>
    <w:rsid w:val="00F910B1"/>
    <w:rsid w:val="00F92BA8"/>
    <w:rsid w:val="00F938CC"/>
    <w:rsid w:val="00F96A6E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34B4DECC"/>
  <w15:docId w15:val="{8CDA7685-F7F0-4ED5-9455-2F2B1EED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  <w:style w:type="paragraph" w:customStyle="1" w:styleId="Regelungneu2-0times">
    <w:name w:val="Regelung neu 2-0 times"/>
    <w:basedOn w:val="Normal"/>
    <w:rsid w:val="00AB05E0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AB05E0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AB05E0"/>
    <w:pPr>
      <w:tabs>
        <w:tab w:val="left" w:pos="1134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C018-CC01-4E97-A99F-C99C612A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704</Words>
  <Characters>3635</Characters>
  <Application>Microsoft Office Word</Application>
  <DocSecurity>0</DocSecurity>
  <Lines>77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1705460</vt:lpstr>
      <vt:lpstr>ECE/TRANS/WP.29/2009/...</vt:lpstr>
    </vt:vector>
  </TitlesOfParts>
  <Company>CSD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1705460</dc:title>
  <dc:subject>ECE/TRANS/WP.29/2017/60</dc:subject>
  <dc:creator>Gianotti</dc:creator>
  <cp:lastModifiedBy>Marie-Claude Collet</cp:lastModifiedBy>
  <cp:revision>9</cp:revision>
  <cp:lastPrinted>2017-08-21T11:53:00Z</cp:lastPrinted>
  <dcterms:created xsi:type="dcterms:W3CDTF">2017-07-26T15:51:00Z</dcterms:created>
  <dcterms:modified xsi:type="dcterms:W3CDTF">2017-08-23T07:48:00Z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