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27EE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27EEB" w:rsidP="00827EEB">
            <w:pPr>
              <w:jc w:val="right"/>
            </w:pPr>
            <w:r w:rsidRPr="00827EEB">
              <w:rPr>
                <w:sz w:val="40"/>
              </w:rPr>
              <w:t>ECE</w:t>
            </w:r>
            <w:r>
              <w:t>/TRANS/WP.29/2017/97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27EEB" w:rsidP="00C97039">
            <w:pPr>
              <w:spacing w:before="240"/>
            </w:pPr>
            <w:r>
              <w:t>Distr. générale</w:t>
            </w:r>
          </w:p>
          <w:p w:rsidR="00827EEB" w:rsidRDefault="00E41B35" w:rsidP="00827EEB">
            <w:pPr>
              <w:spacing w:line="240" w:lineRule="exact"/>
            </w:pPr>
            <w:r>
              <w:t>7</w:t>
            </w:r>
            <w:r w:rsidR="00827EEB">
              <w:t xml:space="preserve"> avril 2017</w:t>
            </w:r>
          </w:p>
          <w:p w:rsidR="00827EEB" w:rsidRDefault="00827EEB" w:rsidP="00827EEB">
            <w:pPr>
              <w:spacing w:line="240" w:lineRule="exact"/>
            </w:pPr>
            <w:r>
              <w:t>Français</w:t>
            </w:r>
          </w:p>
          <w:p w:rsidR="00827EEB" w:rsidRPr="00DB58B5" w:rsidRDefault="00827EEB" w:rsidP="00827EE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B09D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D37BA" w:rsidRDefault="00DD37B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B09D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D37BA" w:rsidRDefault="00DD37BA" w:rsidP="00AF0CB5">
      <w:pPr>
        <w:spacing w:before="120" w:line="240" w:lineRule="exact"/>
        <w:rPr>
          <w:b/>
        </w:rPr>
      </w:pPr>
      <w:r>
        <w:rPr>
          <w:b/>
        </w:rPr>
        <w:t>172</w:t>
      </w:r>
      <w:r w:rsidRPr="00DD37BA">
        <w:rPr>
          <w:b/>
          <w:vertAlign w:val="superscript"/>
        </w:rPr>
        <w:t>e</w:t>
      </w:r>
      <w:r>
        <w:rPr>
          <w:b/>
        </w:rPr>
        <w:t> session</w:t>
      </w:r>
    </w:p>
    <w:p w:rsidR="00DD37BA" w:rsidRDefault="00DD37BA" w:rsidP="00AF0CB5">
      <w:pPr>
        <w:spacing w:line="240" w:lineRule="exact"/>
      </w:pPr>
      <w:r>
        <w:t>Genève, 20-23 juin 2017</w:t>
      </w:r>
    </w:p>
    <w:p w:rsidR="00DD37BA" w:rsidRDefault="00DD37BA" w:rsidP="00AF0CB5">
      <w:pPr>
        <w:spacing w:line="240" w:lineRule="exact"/>
      </w:pPr>
      <w:r>
        <w:t>Point 14.2 de l</w:t>
      </w:r>
      <w:r w:rsidR="000B09D4">
        <w:t>’</w:t>
      </w:r>
      <w:r>
        <w:t>ordre du jour</w:t>
      </w:r>
      <w:r w:rsidR="00E41B35">
        <w:t xml:space="preserve"> provisoire</w:t>
      </w:r>
    </w:p>
    <w:p w:rsidR="00DD37BA" w:rsidRDefault="00DD37BA" w:rsidP="00DD37BA">
      <w:pPr>
        <w:rPr>
          <w:b/>
        </w:rPr>
      </w:pPr>
      <w:r>
        <w:rPr>
          <w:b/>
        </w:rPr>
        <w:t>Examen et mise aux voix par l</w:t>
      </w:r>
      <w:r w:rsidR="000B09D4">
        <w:rPr>
          <w:b/>
        </w:rPr>
        <w:t>’</w:t>
      </w:r>
      <w:r>
        <w:rPr>
          <w:b/>
        </w:rPr>
        <w:t>AC.3 d</w:t>
      </w:r>
      <w:r w:rsidR="000B09D4">
        <w:rPr>
          <w:b/>
        </w:rPr>
        <w:t>’</w:t>
      </w:r>
      <w:r>
        <w:rPr>
          <w:b/>
        </w:rPr>
        <w:t xml:space="preserve">éventuels projets de RTM </w:t>
      </w:r>
      <w:r>
        <w:rPr>
          <w:b/>
        </w:rPr>
        <w:br/>
        <w:t>et/ou d</w:t>
      </w:r>
      <w:r w:rsidR="000B09D4">
        <w:rPr>
          <w:b/>
        </w:rPr>
        <w:t>’</w:t>
      </w:r>
      <w:r>
        <w:rPr>
          <w:b/>
        </w:rPr>
        <w:t>éventuels projets d</w:t>
      </w:r>
      <w:r w:rsidR="000B09D4">
        <w:rPr>
          <w:b/>
        </w:rPr>
        <w:t>’</w:t>
      </w:r>
      <w:r>
        <w:rPr>
          <w:b/>
        </w:rPr>
        <w:t>amendements à des RTM existants</w:t>
      </w:r>
      <w:r w:rsidR="00A40253">
        <w:rPr>
          <w:b/>
        </w:rPr>
        <w:t> </w:t>
      </w:r>
      <w:r>
        <w:rPr>
          <w:b/>
        </w:rPr>
        <w:t>:</w:t>
      </w:r>
    </w:p>
    <w:p w:rsidR="00F9573C" w:rsidRDefault="00DD37BA" w:rsidP="00DD37BA">
      <w:pPr>
        <w:rPr>
          <w:b/>
        </w:rPr>
      </w:pPr>
      <w:r>
        <w:rPr>
          <w:b/>
        </w:rPr>
        <w:t>Proposition d</w:t>
      </w:r>
      <w:r w:rsidR="000B09D4">
        <w:rPr>
          <w:b/>
        </w:rPr>
        <w:t>’</w:t>
      </w:r>
      <w:r>
        <w:rPr>
          <w:b/>
        </w:rPr>
        <w:t xml:space="preserve">amendement au Règlement technique mondial </w:t>
      </w:r>
      <w:r w:rsidR="00A40253" w:rsidRPr="00A40253">
        <w:rPr>
          <w:rFonts w:eastAsia="MS Mincho"/>
          <w:b/>
          <w:szCs w:val="22"/>
        </w:rPr>
        <w:t>n</w:t>
      </w:r>
      <w:r w:rsidR="00A40253" w:rsidRPr="00A40253">
        <w:rPr>
          <w:rFonts w:eastAsia="MS Mincho"/>
          <w:b/>
          <w:szCs w:val="22"/>
          <w:vertAlign w:val="superscript"/>
        </w:rPr>
        <w:t>o</w:t>
      </w:r>
      <w:r w:rsidR="00A40253">
        <w:rPr>
          <w:rFonts w:eastAsia="MS Mincho"/>
          <w:b/>
          <w:szCs w:val="22"/>
        </w:rPr>
        <w:t> </w:t>
      </w:r>
      <w:r>
        <w:rPr>
          <w:b/>
        </w:rPr>
        <w:t xml:space="preserve">1 </w:t>
      </w:r>
      <w:r>
        <w:rPr>
          <w:b/>
        </w:rPr>
        <w:br/>
        <w:t>(Serrures et organes de fixation des portes)</w:t>
      </w:r>
    </w:p>
    <w:p w:rsidR="00DD37BA" w:rsidRPr="00C0448C" w:rsidRDefault="00DD37BA" w:rsidP="00DD37BA">
      <w:pPr>
        <w:pStyle w:val="HChG"/>
      </w:pPr>
      <w:r>
        <w:tab/>
      </w:r>
      <w:r>
        <w:tab/>
        <w:t>Proposition d</w:t>
      </w:r>
      <w:r w:rsidR="000B09D4">
        <w:t>’</w:t>
      </w:r>
      <w:r>
        <w:t xml:space="preserve">amendement 2 au Règlement technique mondial </w:t>
      </w:r>
      <w:r w:rsidR="00A40253" w:rsidRPr="002D76F4">
        <w:rPr>
          <w:rFonts w:eastAsia="MS Mincho"/>
          <w:szCs w:val="22"/>
        </w:rPr>
        <w:t>n</w:t>
      </w:r>
      <w:r w:rsidR="00A40253" w:rsidRPr="002D76F4">
        <w:rPr>
          <w:rFonts w:eastAsia="MS Mincho"/>
          <w:szCs w:val="22"/>
          <w:vertAlign w:val="superscript"/>
        </w:rPr>
        <w:t>o</w:t>
      </w:r>
      <w:r w:rsidR="00A40253">
        <w:t> </w:t>
      </w:r>
      <w:r>
        <w:t>1 (Serrures et organes de fixation des portes)</w:t>
      </w:r>
    </w:p>
    <w:p w:rsidR="00DD37BA" w:rsidRDefault="00DD37BA" w:rsidP="00DD37BA">
      <w:pPr>
        <w:pStyle w:val="H1G"/>
      </w:pPr>
      <w:r>
        <w:tab/>
      </w:r>
      <w:r>
        <w:tab/>
        <w:t xml:space="preserve">Communication du Groupe </w:t>
      </w:r>
      <w:r w:rsidRPr="00DD37BA">
        <w:t>de</w:t>
      </w:r>
      <w:r>
        <w:t xml:space="preserve"> travail de la sécurité passive</w:t>
      </w:r>
      <w:r w:rsidR="00C00364" w:rsidRPr="006F609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00364" w:rsidRDefault="00DD37BA" w:rsidP="00DD37BA">
      <w:pPr>
        <w:pStyle w:val="SingleTxtG"/>
        <w:ind w:firstLine="567"/>
      </w:pPr>
      <w:r>
        <w:t>Le texte reproduit ci-après, adopté par le Groupe de travail de la sécurité passive (GRSP) à sa soixantième session (ECE/TRANS/WP.29/GRSP/60, par.</w:t>
      </w:r>
      <w:r w:rsidR="00C00364">
        <w:t> </w:t>
      </w:r>
      <w:r>
        <w:t>4), est fondé sur le document GRSP-60-23 tel que celui-ci est reproduit dans l</w:t>
      </w:r>
      <w:r w:rsidR="000B09D4">
        <w:t>’</w:t>
      </w:r>
      <w:r>
        <w:t>annexe II du rapport. Il est soumis au Forum mondial de l</w:t>
      </w:r>
      <w:r w:rsidR="000B09D4">
        <w:t>’</w:t>
      </w:r>
      <w:r>
        <w:t>harmonisation des Règlements concernant les véhicules (WP.29) et au Comité exécutif de l</w:t>
      </w:r>
      <w:r w:rsidR="000B09D4">
        <w:t>’</w:t>
      </w:r>
      <w:r>
        <w:t>Accord de 1958 (AC.3) pour examen.</w:t>
      </w:r>
    </w:p>
    <w:p w:rsidR="00A40253" w:rsidRPr="007D5222" w:rsidRDefault="00C00364" w:rsidP="00A40253">
      <w:pPr>
        <w:pStyle w:val="HChG"/>
      </w:pPr>
      <w:r>
        <w:br w:type="page"/>
      </w:r>
      <w:r w:rsidR="00A40253">
        <w:lastRenderedPageBreak/>
        <w:tab/>
      </w:r>
      <w:r w:rsidR="00A40253">
        <w:tab/>
        <w:t>Proposition d</w:t>
      </w:r>
      <w:r w:rsidR="000B09D4">
        <w:t>’</w:t>
      </w:r>
      <w:r w:rsidR="00A40253">
        <w:t xml:space="preserve">amendement 2 au Règlement technique mondial </w:t>
      </w:r>
      <w:r w:rsidR="00A40253" w:rsidRPr="002D76F4">
        <w:rPr>
          <w:rFonts w:eastAsia="MS Mincho"/>
          <w:szCs w:val="22"/>
        </w:rPr>
        <w:t>n</w:t>
      </w:r>
      <w:r w:rsidR="00A40253" w:rsidRPr="002D76F4">
        <w:rPr>
          <w:rFonts w:eastAsia="MS Mincho"/>
          <w:szCs w:val="22"/>
          <w:vertAlign w:val="superscript"/>
        </w:rPr>
        <w:t>o</w:t>
      </w:r>
      <w:r w:rsidR="00A40253">
        <w:t> 1 (Serrures et organes de fixation des portes)</w:t>
      </w:r>
    </w:p>
    <w:p w:rsidR="00A40253" w:rsidRPr="00244306" w:rsidRDefault="00A40253" w:rsidP="00A40253">
      <w:pPr>
        <w:pStyle w:val="SingleTxtG"/>
      </w:pPr>
      <w:r>
        <w:rPr>
          <w:i/>
        </w:rPr>
        <w:t>Partie A, titre</w:t>
      </w:r>
      <w:r>
        <w:t>, lire :</w:t>
      </w:r>
    </w:p>
    <w:p w:rsidR="00A40253" w:rsidRPr="00244306" w:rsidRDefault="00A40253" w:rsidP="00A40253">
      <w:pPr>
        <w:pStyle w:val="HChG"/>
      </w:pPr>
      <w:r>
        <w:tab/>
      </w:r>
      <w:r w:rsidRPr="00A40253">
        <w:rPr>
          <w:b w:val="0"/>
          <w:sz w:val="20"/>
        </w:rPr>
        <w:t>«</w:t>
      </w:r>
      <w:r w:rsidR="00E432FE">
        <w:rPr>
          <w:b w:val="0"/>
          <w:sz w:val="20"/>
        </w:rPr>
        <w:t> </w:t>
      </w:r>
      <w:r>
        <w:t>I.</w:t>
      </w:r>
      <w:r>
        <w:tab/>
        <w:t xml:space="preserve">Argumentation et justification </w:t>
      </w:r>
      <w:r w:rsidRPr="00A40253">
        <w:t>technique</w:t>
      </w:r>
      <w:r w:rsidR="00E432FE" w:rsidRPr="00E41B35">
        <w:rPr>
          <w:b w:val="0"/>
          <w:sz w:val="20"/>
        </w:rPr>
        <w:t> </w:t>
      </w:r>
      <w:r w:rsidRPr="00A40253">
        <w:rPr>
          <w:b w:val="0"/>
          <w:sz w:val="20"/>
        </w:rPr>
        <w:t>»</w:t>
      </w:r>
    </w:p>
    <w:p w:rsidR="00A40253" w:rsidRPr="00D66EBF" w:rsidRDefault="00A40253" w:rsidP="00A40253">
      <w:pPr>
        <w:pStyle w:val="SingleTxtG"/>
        <w:rPr>
          <w:i/>
        </w:rPr>
      </w:pPr>
      <w:r>
        <w:rPr>
          <w:i/>
        </w:rPr>
        <w:t xml:space="preserve">Partie I (anciennement </w:t>
      </w:r>
      <w:r w:rsidR="00E41B35">
        <w:rPr>
          <w:i/>
        </w:rPr>
        <w:t>p</w:t>
      </w:r>
      <w:r>
        <w:rPr>
          <w:i/>
        </w:rPr>
        <w:t>artie A),</w:t>
      </w:r>
    </w:p>
    <w:p w:rsidR="00A40253" w:rsidRPr="00D66EBF" w:rsidRDefault="00A40253" w:rsidP="00A40253">
      <w:pPr>
        <w:pStyle w:val="SingleTxtG"/>
        <w:rPr>
          <w:i/>
        </w:rPr>
      </w:pPr>
      <w:r>
        <w:rPr>
          <w:i/>
        </w:rPr>
        <w:t xml:space="preserve">Section IV c), </w:t>
      </w:r>
      <w:r>
        <w:t>lire</w:t>
      </w:r>
      <w:r w:rsidR="00D87A05">
        <w:t> </w:t>
      </w:r>
      <w:r>
        <w:t>:</w:t>
      </w:r>
    </w:p>
    <w:p w:rsidR="00A40253" w:rsidRPr="00D66EBF" w:rsidRDefault="00D87A05" w:rsidP="00A40253">
      <w:pPr>
        <w:pStyle w:val="SingleTxtG"/>
      </w:pPr>
      <w:r>
        <w:t>« </w:t>
      </w:r>
      <w:r w:rsidR="00A40253">
        <w:t>Les forces à exercer … conversions d</w:t>
      </w:r>
      <w:r w:rsidR="000B09D4">
        <w:t>’</w:t>
      </w:r>
      <w:r w:rsidR="00A40253">
        <w:t>unités</w:t>
      </w:r>
    </w:p>
    <w:p w:rsidR="00A40253" w:rsidRPr="00D66EBF" w:rsidRDefault="00A40253" w:rsidP="00A40253">
      <w:pPr>
        <w:pStyle w:val="SingleTxtG"/>
      </w:pPr>
      <w:r>
        <w:t>D</w:t>
      </w:r>
      <w:r w:rsidR="000B09D4">
        <w:t>’</w:t>
      </w:r>
      <w:r>
        <w:t>autres possibilités d</w:t>
      </w:r>
      <w:r w:rsidR="000B09D4">
        <w:t>’</w:t>
      </w:r>
      <w:r>
        <w:t>assurer une protection suffisante contre l</w:t>
      </w:r>
      <w:r w:rsidR="000B09D4">
        <w:t>’</w:t>
      </w:r>
      <w:r>
        <w:t>ouverture accidentelle de la porte arrière lorsque le véhicule est en mouvement sont présentées.</w:t>
      </w:r>
      <w:r w:rsidR="00D87A05">
        <w:t> </w:t>
      </w:r>
      <w:r>
        <w:t>».</w:t>
      </w:r>
    </w:p>
    <w:p w:rsidR="00A40253" w:rsidRPr="00D66EBF" w:rsidRDefault="00A40253" w:rsidP="00A40253">
      <w:pPr>
        <w:pStyle w:val="SingleTxtG"/>
      </w:pPr>
      <w:r>
        <w:rPr>
          <w:i/>
        </w:rPr>
        <w:t xml:space="preserve">Section IV d) viii), </w:t>
      </w:r>
      <w:r>
        <w:t>lire</w:t>
      </w:r>
      <w:r w:rsidR="00D87A05">
        <w:t> </w:t>
      </w:r>
      <w:r>
        <w:t>:</w:t>
      </w:r>
    </w:p>
    <w:p w:rsidR="00A40253" w:rsidRPr="00D66EBF" w:rsidRDefault="00A40253" w:rsidP="00A40253">
      <w:pPr>
        <w:pStyle w:val="SingleTxtG"/>
      </w:pPr>
      <w:r>
        <w:t>« Les États-Unis d</w:t>
      </w:r>
      <w:r w:rsidR="000B09D4">
        <w:t>’</w:t>
      </w:r>
      <w:r>
        <w:t>Amérique … dispositif de sécurité principal.</w:t>
      </w:r>
    </w:p>
    <w:p w:rsidR="00A40253" w:rsidRPr="00D66EBF" w:rsidRDefault="00A40253" w:rsidP="00A40253">
      <w:pPr>
        <w:pStyle w:val="SingleTxtG"/>
        <w:spacing w:after="240"/>
      </w:pPr>
      <w:r>
        <w:t>La même approche théorique de la sortie que celle exposée ci-dessus a été appliquée pour les portes arrière, ce qui permettra l</w:t>
      </w:r>
      <w:r w:rsidR="000B09D4">
        <w:t>’</w:t>
      </w:r>
      <w:r>
        <w:t>utilisation de systèmes dans lesquels la porte arrière ne peut s</w:t>
      </w:r>
      <w:r w:rsidR="000B09D4">
        <w:t>’</w:t>
      </w:r>
      <w:r>
        <w:t>ouvrir que lorsque le véhicule est à l</w:t>
      </w:r>
      <w:r w:rsidR="000B09D4">
        <w:t>’</w:t>
      </w:r>
      <w:r>
        <w:t>arrêt. Lorsqu</w:t>
      </w:r>
      <w:r w:rsidR="000B09D4">
        <w:t>’</w:t>
      </w:r>
      <w:r>
        <w:t>un véhicule est à l</w:t>
      </w:r>
      <w:r w:rsidR="000B09D4">
        <w:t>’</w:t>
      </w:r>
      <w:r>
        <w:t>arrêt, une seule manœuvre permettra l</w:t>
      </w:r>
      <w:r w:rsidR="000B09D4">
        <w:t>’</w:t>
      </w:r>
      <w:r>
        <w:t>ouverture des portes arrière, évitant ainsi “le risque d</w:t>
      </w:r>
      <w:r w:rsidR="000B09D4">
        <w:t>’</w:t>
      </w:r>
      <w:r>
        <w:t>expulser accidentellement” un passager d</w:t>
      </w:r>
      <w:r w:rsidR="000B09D4">
        <w:t>’</w:t>
      </w:r>
      <w:r>
        <w:t>un véhicule en mouvement.</w:t>
      </w:r>
      <w:r w:rsidR="00D87A05">
        <w:t> </w:t>
      </w:r>
      <w:r>
        <w:t>».</w:t>
      </w:r>
    </w:p>
    <w:p w:rsidR="00A40253" w:rsidRPr="00D66EBF" w:rsidRDefault="00A40253" w:rsidP="00A40253">
      <w:pPr>
        <w:pStyle w:val="SingleTxtG"/>
        <w:rPr>
          <w:i/>
        </w:rPr>
      </w:pPr>
      <w:r>
        <w:rPr>
          <w:i/>
        </w:rPr>
        <w:t>Partie B, titre</w:t>
      </w:r>
      <w:r>
        <w:t>, lire</w:t>
      </w:r>
      <w:r w:rsidR="00D87A05">
        <w:t> </w:t>
      </w:r>
      <w:r>
        <w:t>:</w:t>
      </w:r>
    </w:p>
    <w:p w:rsidR="00A40253" w:rsidRPr="00244306" w:rsidRDefault="00A40253" w:rsidP="00D87A05">
      <w:pPr>
        <w:pStyle w:val="HChG"/>
      </w:pPr>
      <w:r>
        <w:tab/>
      </w:r>
      <w:r w:rsidRPr="00D87A05">
        <w:rPr>
          <w:b w:val="0"/>
          <w:sz w:val="20"/>
        </w:rPr>
        <w:t>«</w:t>
      </w:r>
      <w:r w:rsidR="00E432FE">
        <w:rPr>
          <w:b w:val="0"/>
          <w:sz w:val="20"/>
        </w:rPr>
        <w:t> </w:t>
      </w:r>
      <w:r>
        <w:t>II.</w:t>
      </w:r>
      <w:r>
        <w:tab/>
        <w:t>Texte du Règlement technique mondial</w:t>
      </w:r>
      <w:r w:rsidR="00E432FE" w:rsidRPr="00E41B35">
        <w:rPr>
          <w:b w:val="0"/>
          <w:sz w:val="20"/>
        </w:rPr>
        <w:t> </w:t>
      </w:r>
      <w:r w:rsidRPr="00D87A05">
        <w:rPr>
          <w:b w:val="0"/>
          <w:sz w:val="20"/>
        </w:rPr>
        <w:t>»</w:t>
      </w:r>
    </w:p>
    <w:p w:rsidR="00A40253" w:rsidRPr="00D66EBF" w:rsidRDefault="00A40253" w:rsidP="00A40253">
      <w:pPr>
        <w:pStyle w:val="SingleTxtG"/>
        <w:rPr>
          <w:i/>
        </w:rPr>
      </w:pPr>
      <w:r>
        <w:rPr>
          <w:i/>
        </w:rPr>
        <w:t xml:space="preserve">Partie II (anciennement </w:t>
      </w:r>
      <w:r w:rsidR="00E41B35">
        <w:rPr>
          <w:i/>
        </w:rPr>
        <w:t>p</w:t>
      </w:r>
      <w:r>
        <w:rPr>
          <w:i/>
        </w:rPr>
        <w:t>artie B),</w:t>
      </w:r>
    </w:p>
    <w:p w:rsidR="00A40253" w:rsidRPr="00D66EBF" w:rsidRDefault="00A40253" w:rsidP="00A40253">
      <w:pPr>
        <w:pStyle w:val="SingleTxtG"/>
      </w:pPr>
      <w:r>
        <w:rPr>
          <w:i/>
        </w:rPr>
        <w:t>Ajouter un nouveau paragraphe 5.3.3.1</w:t>
      </w:r>
      <w:r>
        <w:t>, libellé comme suit</w:t>
      </w:r>
      <w:r w:rsidR="00D87A05">
        <w:t> </w:t>
      </w:r>
      <w:r>
        <w:t>:</w:t>
      </w:r>
    </w:p>
    <w:p w:rsidR="00A40253" w:rsidRPr="00D66EBF" w:rsidRDefault="00A40253" w:rsidP="00D87A05">
      <w:pPr>
        <w:pStyle w:val="SingleTxtG"/>
      </w:pPr>
      <w:r>
        <w:t>« 5.3.3.1</w:t>
      </w:r>
      <w:r w:rsidR="0001564F">
        <w:tab/>
      </w:r>
      <w:r>
        <w:t>Le dispositif de verrouillage peut être</w:t>
      </w:r>
      <w:r w:rsidR="00D87A05">
        <w:t> </w:t>
      </w:r>
      <w:r>
        <w:t>:</w:t>
      </w:r>
    </w:p>
    <w:p w:rsidR="00A40253" w:rsidRPr="00D66EBF" w:rsidRDefault="00A40253" w:rsidP="00D87A05">
      <w:pPr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>Un système de verrouillage de sécurité pour enfants</w:t>
      </w:r>
      <w:r w:rsidR="00D87A05">
        <w:t> </w:t>
      </w:r>
      <w:r>
        <w:t>;</w:t>
      </w:r>
    </w:p>
    <w:p w:rsidR="00A40253" w:rsidRPr="00D66EBF" w:rsidRDefault="00A40253" w:rsidP="00D87A05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Un dispositif de verrouillage/déverrouillage situé à l</w:t>
      </w:r>
      <w:r w:rsidR="000B09D4">
        <w:t>’</w:t>
      </w:r>
      <w:r>
        <w:t>intérieur du véhicule et facilement accessible</w:t>
      </w:r>
      <w:r w:rsidR="00D87A05">
        <w:t> </w:t>
      </w:r>
      <w:r>
        <w:t>; ou</w:t>
      </w:r>
    </w:p>
    <w:p w:rsidR="00A40253" w:rsidRPr="00D66EBF" w:rsidRDefault="00A40253" w:rsidP="00D87A05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>Un système qui rend la poignée intérieure ou toute autre commande intérieure d</w:t>
      </w:r>
      <w:r w:rsidR="000B09D4">
        <w:t>’</w:t>
      </w:r>
      <w:r>
        <w:t>ouverture de cette porte inopérante lorsque la vitesse du véhicule atteint ou dépasse 4</w:t>
      </w:r>
      <w:r w:rsidR="00D87A05">
        <w:t> </w:t>
      </w:r>
      <w:r>
        <w:t>km/h</w:t>
      </w:r>
      <w:r w:rsidR="00D87A05">
        <w:t> </w:t>
      </w:r>
      <w:r>
        <w:t>; ou</w:t>
      </w:r>
    </w:p>
    <w:p w:rsidR="00DD37BA" w:rsidRDefault="00A40253" w:rsidP="00D87A05">
      <w:pPr>
        <w:spacing w:after="120"/>
        <w:ind w:left="2835" w:right="1134" w:hanging="567"/>
        <w:jc w:val="both"/>
      </w:pPr>
      <w:r>
        <w:t>d)</w:t>
      </w:r>
      <w:r>
        <w:tab/>
        <w:t>Toute combinaison des éléments a), b) ou c) ci-dessus.</w:t>
      </w:r>
      <w:r w:rsidR="00D87A05">
        <w:t> </w:t>
      </w:r>
      <w:r>
        <w:t>».</w:t>
      </w:r>
    </w:p>
    <w:p w:rsidR="0001564F" w:rsidRPr="0001564F" w:rsidRDefault="0001564F" w:rsidP="000156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564F" w:rsidRPr="0001564F" w:rsidSect="00827E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58" w:rsidRDefault="00131758" w:rsidP="00F95C08">
      <w:pPr>
        <w:spacing w:line="240" w:lineRule="auto"/>
      </w:pPr>
    </w:p>
  </w:endnote>
  <w:endnote w:type="continuationSeparator" w:id="0">
    <w:p w:rsidR="00131758" w:rsidRPr="00AC3823" w:rsidRDefault="00131758" w:rsidP="00AC3823">
      <w:pPr>
        <w:pStyle w:val="Footer"/>
      </w:pPr>
    </w:p>
  </w:endnote>
  <w:endnote w:type="continuationNotice" w:id="1">
    <w:p w:rsidR="00131758" w:rsidRDefault="001317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EB" w:rsidRPr="00827EEB" w:rsidRDefault="00827EEB" w:rsidP="00827EEB">
    <w:pPr>
      <w:pStyle w:val="Footer"/>
      <w:tabs>
        <w:tab w:val="right" w:pos="9638"/>
      </w:tabs>
    </w:pPr>
    <w:r w:rsidRPr="00827EEB">
      <w:rPr>
        <w:b/>
        <w:sz w:val="18"/>
      </w:rPr>
      <w:fldChar w:fldCharType="begin"/>
    </w:r>
    <w:r w:rsidRPr="00827EEB">
      <w:rPr>
        <w:b/>
        <w:sz w:val="18"/>
      </w:rPr>
      <w:instrText xml:space="preserve"> PAGE  \* MERGEFORMAT </w:instrText>
    </w:r>
    <w:r w:rsidRPr="00827EEB">
      <w:rPr>
        <w:b/>
        <w:sz w:val="18"/>
      </w:rPr>
      <w:fldChar w:fldCharType="separate"/>
    </w:r>
    <w:r w:rsidR="00944F46">
      <w:rPr>
        <w:b/>
        <w:noProof/>
        <w:sz w:val="18"/>
      </w:rPr>
      <w:t>2</w:t>
    </w:r>
    <w:r w:rsidRPr="00827EEB">
      <w:rPr>
        <w:b/>
        <w:sz w:val="18"/>
      </w:rPr>
      <w:fldChar w:fldCharType="end"/>
    </w:r>
    <w:r>
      <w:rPr>
        <w:b/>
        <w:sz w:val="18"/>
      </w:rPr>
      <w:tab/>
    </w:r>
    <w:r>
      <w:t>GE.17-05618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EB" w:rsidRPr="00827EEB" w:rsidRDefault="00827EEB" w:rsidP="00827EEB">
    <w:pPr>
      <w:pStyle w:val="Footer"/>
      <w:tabs>
        <w:tab w:val="right" w:pos="9638"/>
      </w:tabs>
      <w:rPr>
        <w:b/>
        <w:sz w:val="18"/>
      </w:rPr>
    </w:pPr>
    <w:r>
      <w:t>GE.17-05618</w:t>
    </w:r>
    <w:r>
      <w:tab/>
    </w:r>
    <w:r w:rsidRPr="00827EEB">
      <w:rPr>
        <w:b/>
        <w:sz w:val="18"/>
      </w:rPr>
      <w:fldChar w:fldCharType="begin"/>
    </w:r>
    <w:r w:rsidRPr="00827EEB">
      <w:rPr>
        <w:b/>
        <w:sz w:val="18"/>
      </w:rPr>
      <w:instrText xml:space="preserve"> PAGE  \* MERGEFORMAT </w:instrText>
    </w:r>
    <w:r w:rsidRPr="00827EE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27E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27EEB" w:rsidRDefault="00827EEB" w:rsidP="00827EE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4A92BAD" wp14:editId="28FD538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17-05618  (F)</w:t>
    </w:r>
    <w:r w:rsidR="000B09D4">
      <w:rPr>
        <w:sz w:val="20"/>
      </w:rPr>
      <w:t xml:space="preserve">    020517    090517</w:t>
    </w:r>
    <w:r>
      <w:rPr>
        <w:sz w:val="20"/>
      </w:rPr>
      <w:br/>
    </w:r>
    <w:r w:rsidRPr="00827EEB">
      <w:rPr>
        <w:rFonts w:ascii="C39T30Lfz" w:hAnsi="C39T30Lfz"/>
        <w:sz w:val="56"/>
      </w:rPr>
      <w:t></w:t>
    </w:r>
    <w:r w:rsidRPr="00827EEB">
      <w:rPr>
        <w:rFonts w:ascii="C39T30Lfz" w:hAnsi="C39T30Lfz"/>
        <w:sz w:val="56"/>
      </w:rPr>
      <w:t></w:t>
    </w:r>
    <w:r w:rsidRPr="00827EEB">
      <w:rPr>
        <w:rFonts w:ascii="C39T30Lfz" w:hAnsi="C39T30Lfz"/>
        <w:sz w:val="56"/>
      </w:rPr>
      <w:t></w:t>
    </w:r>
    <w:r w:rsidRPr="00827EEB">
      <w:rPr>
        <w:rFonts w:ascii="C39T30Lfz" w:hAnsi="C39T30Lfz"/>
        <w:sz w:val="56"/>
      </w:rPr>
      <w:t></w:t>
    </w:r>
    <w:r w:rsidRPr="00827EEB">
      <w:rPr>
        <w:rFonts w:ascii="C39T30Lfz" w:hAnsi="C39T30Lfz"/>
        <w:sz w:val="56"/>
      </w:rPr>
      <w:t></w:t>
    </w:r>
    <w:r w:rsidRPr="00827EEB">
      <w:rPr>
        <w:rFonts w:ascii="C39T30Lfz" w:hAnsi="C39T30Lfz"/>
        <w:sz w:val="56"/>
      </w:rPr>
      <w:t></w:t>
    </w:r>
    <w:r w:rsidRPr="00827EEB">
      <w:rPr>
        <w:rFonts w:ascii="C39T30Lfz" w:hAnsi="C39T30Lfz"/>
        <w:sz w:val="56"/>
      </w:rPr>
      <w:t></w:t>
    </w:r>
    <w:r w:rsidRPr="00827EEB">
      <w:rPr>
        <w:rFonts w:ascii="C39T30Lfz" w:hAnsi="C39T30Lfz"/>
        <w:sz w:val="56"/>
      </w:rPr>
      <w:t></w:t>
    </w:r>
    <w:r w:rsidRPr="00827EE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9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58" w:rsidRPr="00AC3823" w:rsidRDefault="0013175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1758" w:rsidRPr="00AC3823" w:rsidRDefault="0013175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1758" w:rsidRPr="00AC3823" w:rsidRDefault="00131758">
      <w:pPr>
        <w:spacing w:line="240" w:lineRule="auto"/>
        <w:rPr>
          <w:sz w:val="2"/>
          <w:szCs w:val="2"/>
        </w:rPr>
      </w:pPr>
    </w:p>
  </w:footnote>
  <w:footnote w:id="2">
    <w:p w:rsidR="00C00364" w:rsidRPr="00C00364" w:rsidRDefault="00C00364">
      <w:pPr>
        <w:pStyle w:val="FootnoteText"/>
      </w:pPr>
      <w:r>
        <w:rPr>
          <w:rStyle w:val="FootnoteReference"/>
        </w:rPr>
        <w:tab/>
      </w:r>
      <w:r w:rsidRPr="00C0036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00364">
        <w:rPr>
          <w:spacing w:val="-2"/>
        </w:rPr>
        <w:t>Conformément au programme de travail du Comité des transports intérieurs pour la période 2016</w:t>
      </w:r>
      <w:r w:rsidRPr="00C00364">
        <w:rPr>
          <w:spacing w:val="-2"/>
        </w:rPr>
        <w:noBreakHyphen/>
        <w:t>2017</w:t>
      </w:r>
      <w:r>
        <w:t xml:space="preserve"> (ECE/TRANS/254, par.</w:t>
      </w:r>
      <w:r w:rsidR="000B09D4">
        <w:t> </w:t>
      </w:r>
      <w:r>
        <w:t>159, et ECE/TRANS/2016/28/Add.1, module 3.1), le Forum mondial a pour mission d</w:t>
      </w:r>
      <w:r w:rsidR="000B09D4">
        <w:t>’</w:t>
      </w:r>
      <w:r>
        <w:t>élaborer, d</w:t>
      </w:r>
      <w:r w:rsidR="000B09D4">
        <w:t>’</w:t>
      </w:r>
      <w:r>
        <w:t>harmoniser et de mettre à jour les Règlements en vue d</w:t>
      </w:r>
      <w:r w:rsidR="000B09D4">
        <w:t>’</w:t>
      </w:r>
      <w:r>
        <w:t>améliorer les caractéristiques fonctionnelles des véhicules. Le présent document est soumis en vertu de ce mandat</w:t>
      </w:r>
      <w:r w:rsidR="000B09D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EB" w:rsidRPr="00827EEB" w:rsidRDefault="00944F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609D">
      <w:t>ECE/TRANS/WP.29/2017/97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EB" w:rsidRPr="00827EEB" w:rsidRDefault="00944F46" w:rsidP="00827EE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609D">
      <w:t>ECE/TRANS/WP.29/2017/97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58"/>
    <w:rsid w:val="0001564F"/>
    <w:rsid w:val="00017F94"/>
    <w:rsid w:val="00023842"/>
    <w:rsid w:val="000334F9"/>
    <w:rsid w:val="00045FEB"/>
    <w:rsid w:val="0007796D"/>
    <w:rsid w:val="000B09D4"/>
    <w:rsid w:val="000B7790"/>
    <w:rsid w:val="00111F2F"/>
    <w:rsid w:val="00131758"/>
    <w:rsid w:val="0014365E"/>
    <w:rsid w:val="00143C66"/>
    <w:rsid w:val="00176178"/>
    <w:rsid w:val="001A404B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858A4"/>
    <w:rsid w:val="006E734F"/>
    <w:rsid w:val="006F609D"/>
    <w:rsid w:val="0071601D"/>
    <w:rsid w:val="007A62E6"/>
    <w:rsid w:val="007F20FA"/>
    <w:rsid w:val="0080684C"/>
    <w:rsid w:val="00827EEB"/>
    <w:rsid w:val="00871C75"/>
    <w:rsid w:val="008776DC"/>
    <w:rsid w:val="009446C0"/>
    <w:rsid w:val="00944F46"/>
    <w:rsid w:val="009705C8"/>
    <w:rsid w:val="009C1CF4"/>
    <w:rsid w:val="009F6B74"/>
    <w:rsid w:val="00A30353"/>
    <w:rsid w:val="00A40253"/>
    <w:rsid w:val="00AC3823"/>
    <w:rsid w:val="00AE323C"/>
    <w:rsid w:val="00AF0CB5"/>
    <w:rsid w:val="00B00181"/>
    <w:rsid w:val="00B00B0D"/>
    <w:rsid w:val="00B149B4"/>
    <w:rsid w:val="00B326CA"/>
    <w:rsid w:val="00B765F7"/>
    <w:rsid w:val="00BA0CA9"/>
    <w:rsid w:val="00C00364"/>
    <w:rsid w:val="00C02897"/>
    <w:rsid w:val="00C97039"/>
    <w:rsid w:val="00D3439C"/>
    <w:rsid w:val="00D71869"/>
    <w:rsid w:val="00D87A05"/>
    <w:rsid w:val="00DB1831"/>
    <w:rsid w:val="00DD37BA"/>
    <w:rsid w:val="00DD3BFD"/>
    <w:rsid w:val="00DF6678"/>
    <w:rsid w:val="00E41B35"/>
    <w:rsid w:val="00E432FE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D37BA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A40253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D37BA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A40253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5272-2A75-48B7-9768-76ABEEB4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ECE/TRANS/WP.29/2017/97</vt:lpstr>
      <vt:lpstr>ECE/TRANS/WP.29/2017/97</vt:lpstr>
    </vt:vector>
  </TitlesOfParts>
  <Company>DCM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ECE/TRANS/WP.29/2017/97</dc:title>
  <dc:creator>Robert Corinne</dc:creator>
  <cp:lastModifiedBy>Benedicte Boudol</cp:lastModifiedBy>
  <cp:revision>2</cp:revision>
  <cp:lastPrinted>2017-05-09T08:58:00Z</cp:lastPrinted>
  <dcterms:created xsi:type="dcterms:W3CDTF">2017-05-10T13:25:00Z</dcterms:created>
  <dcterms:modified xsi:type="dcterms:W3CDTF">2017-05-10T13:25:00Z</dcterms:modified>
</cp:coreProperties>
</file>