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71C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71C3E" w:rsidP="00071C3E">
            <w:pPr>
              <w:jc w:val="right"/>
            </w:pPr>
            <w:r w:rsidRPr="00071C3E">
              <w:rPr>
                <w:sz w:val="40"/>
              </w:rPr>
              <w:t>ECE</w:t>
            </w:r>
            <w:r>
              <w:t>/TRANS/WP.29/2017/76</w:t>
            </w:r>
          </w:p>
        </w:tc>
      </w:tr>
      <w:tr w:rsidR="002D5AAC" w:rsidRPr="00071C3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71C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71C3E" w:rsidRDefault="00071C3E" w:rsidP="00071C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April 2017</w:t>
            </w:r>
          </w:p>
          <w:p w:rsidR="00071C3E" w:rsidRDefault="00071C3E" w:rsidP="00071C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71C3E" w:rsidRPr="008D53B6" w:rsidRDefault="00071C3E" w:rsidP="00071C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71C3E" w:rsidRPr="00071C3E" w:rsidRDefault="00071C3E" w:rsidP="00071C3E">
      <w:pPr>
        <w:spacing w:before="120"/>
        <w:rPr>
          <w:sz w:val="28"/>
          <w:szCs w:val="28"/>
        </w:rPr>
      </w:pPr>
      <w:r w:rsidRPr="00071C3E">
        <w:rPr>
          <w:sz w:val="28"/>
          <w:szCs w:val="28"/>
        </w:rPr>
        <w:t>Комитет по внутреннему транспорту</w:t>
      </w:r>
    </w:p>
    <w:p w:rsidR="00071C3E" w:rsidRPr="00071C3E" w:rsidRDefault="00071C3E" w:rsidP="00071C3E">
      <w:pPr>
        <w:spacing w:before="120"/>
        <w:rPr>
          <w:b/>
          <w:bCs/>
          <w:sz w:val="24"/>
          <w:szCs w:val="24"/>
        </w:rPr>
      </w:pPr>
      <w:r w:rsidRPr="00071C3E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71C3E">
        <w:rPr>
          <w:b/>
          <w:bCs/>
          <w:sz w:val="24"/>
          <w:szCs w:val="24"/>
        </w:rPr>
        <w:br/>
        <w:t>в области транспортных средств</w:t>
      </w:r>
    </w:p>
    <w:p w:rsidR="00071C3E" w:rsidRPr="00071C3E" w:rsidRDefault="00071C3E" w:rsidP="00071C3E">
      <w:pPr>
        <w:spacing w:before="120"/>
        <w:rPr>
          <w:b/>
          <w:bCs/>
        </w:rPr>
      </w:pPr>
      <w:r w:rsidRPr="00071C3E">
        <w:rPr>
          <w:b/>
          <w:bCs/>
        </w:rPr>
        <w:t>172-я сессия</w:t>
      </w:r>
    </w:p>
    <w:p w:rsidR="00071C3E" w:rsidRPr="00071C3E" w:rsidRDefault="00071C3E" w:rsidP="00071C3E">
      <w:r w:rsidRPr="00071C3E">
        <w:t>Женева, 20–23 июня 2017 года</w:t>
      </w:r>
    </w:p>
    <w:p w:rsidR="00071C3E" w:rsidRPr="00071C3E" w:rsidRDefault="00071C3E" w:rsidP="00071C3E">
      <w:r w:rsidRPr="00071C3E">
        <w:t>Пункт 4.10.5 предварительной повестки дня</w:t>
      </w:r>
    </w:p>
    <w:p w:rsidR="00071C3E" w:rsidRPr="00071C3E" w:rsidRDefault="00071C3E" w:rsidP="00071C3E">
      <w:pPr>
        <w:rPr>
          <w:b/>
          <w:bCs/>
        </w:rPr>
      </w:pPr>
      <w:r w:rsidRPr="00071C3E">
        <w:rPr>
          <w:b/>
          <w:bCs/>
        </w:rPr>
        <w:t>Соглашение 1958 года: Рассмотрение проектов поправок</w:t>
      </w:r>
      <w:r w:rsidR="00345D4E" w:rsidRPr="00345D4E">
        <w:rPr>
          <w:b/>
          <w:bCs/>
        </w:rPr>
        <w:br/>
      </w:r>
      <w:r w:rsidRPr="00071C3E">
        <w:rPr>
          <w:b/>
          <w:bCs/>
        </w:rPr>
        <w:t>к существующим правилам, представленных GRE</w:t>
      </w:r>
    </w:p>
    <w:p w:rsidR="00071C3E" w:rsidRPr="00071C3E" w:rsidRDefault="00071C3E" w:rsidP="00345D4E">
      <w:pPr>
        <w:pStyle w:val="HChGR"/>
      </w:pPr>
      <w:r w:rsidRPr="00071C3E">
        <w:tab/>
      </w:r>
      <w:r w:rsidRPr="00071C3E">
        <w:tab/>
        <w:t xml:space="preserve">Предложение по дополнению 10 к поправкам серии 04 к Правилам № 19 (передние противотуманные фары) </w:t>
      </w:r>
    </w:p>
    <w:p w:rsidR="00071C3E" w:rsidRPr="00071C3E" w:rsidRDefault="00071C3E" w:rsidP="00345D4E">
      <w:pPr>
        <w:pStyle w:val="H1GR"/>
      </w:pPr>
      <w:r w:rsidRPr="00071C3E">
        <w:tab/>
      </w:r>
      <w:r w:rsidRPr="00071C3E">
        <w:tab/>
        <w:t xml:space="preserve">Представлено Рабочей группой по вопросам освещения </w:t>
      </w:r>
      <w:r w:rsidRPr="00071C3E">
        <w:br/>
        <w:t>и световой сигнализации</w:t>
      </w:r>
      <w:r w:rsidR="00345D4E" w:rsidRPr="00345D4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071C3E" w:rsidRPr="00071C3E" w:rsidRDefault="00071C3E" w:rsidP="00345D4E">
      <w:pPr>
        <w:pStyle w:val="SingleTxtGR"/>
      </w:pPr>
      <w:r w:rsidRPr="00071C3E">
        <w:tab/>
        <w:t xml:space="preserve"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документе </w:t>
      </w:r>
      <w:r w:rsidRPr="00071C3E">
        <w:rPr>
          <w:lang w:val="en-GB"/>
        </w:rPr>
        <w:t>ECE</w:t>
      </w:r>
      <w:r w:rsidRPr="00071C3E">
        <w:t>/</w:t>
      </w:r>
      <w:r w:rsidRPr="00071C3E">
        <w:rPr>
          <w:lang w:val="en-GB"/>
        </w:rPr>
        <w:t>TRANS</w:t>
      </w:r>
      <w:r w:rsidRPr="00071C3E">
        <w:t>/</w:t>
      </w:r>
      <w:r w:rsidRPr="00071C3E">
        <w:rPr>
          <w:lang w:val="en-GB"/>
        </w:rPr>
        <w:t>WP</w:t>
      </w:r>
      <w:r w:rsidRPr="00071C3E">
        <w:t>.29/</w:t>
      </w:r>
      <w:r w:rsidR="00345D4E" w:rsidRPr="00345D4E">
        <w:br/>
      </w:r>
      <w:r w:rsidRPr="00071C3E">
        <w:rPr>
          <w:lang w:val="en-GB"/>
        </w:rPr>
        <w:t>GRE</w:t>
      </w:r>
      <w:r w:rsidRPr="00071C3E">
        <w:t xml:space="preserve">/2017/7 и приложении </w:t>
      </w:r>
      <w:r w:rsidRPr="00071C3E">
        <w:rPr>
          <w:lang w:val="en-GB"/>
        </w:rPr>
        <w:t>IV</w:t>
      </w:r>
      <w:r w:rsidRPr="00071C3E">
        <w:t xml:space="preserve"> к докладу</w:t>
      </w:r>
      <w:r w:rsidRPr="00071C3E">
        <w:rPr>
          <w:lang w:val="en-US"/>
        </w:rPr>
        <w:t> </w:t>
      </w:r>
      <w:r w:rsidRPr="00071C3E">
        <w:t>ECE/TRANS/WP.29/GRE/77. Этот те</w:t>
      </w:r>
      <w:proofErr w:type="gramStart"/>
      <w:r w:rsidRPr="00071C3E">
        <w:t>кст пр</w:t>
      </w:r>
      <w:proofErr w:type="gramEnd"/>
      <w:r w:rsidRPr="00071C3E">
        <w:t>едставляется Всемирному форуму для согласования правил в области тран</w:t>
      </w:r>
      <w:r w:rsidRPr="00071C3E">
        <w:t>с</w:t>
      </w:r>
      <w:r w:rsidRPr="00071C3E">
        <w:t>портных средств (WP.29) и Административному комитету АС.1 для рассмотр</w:t>
      </w:r>
      <w:r w:rsidRPr="00071C3E">
        <w:t>е</w:t>
      </w:r>
      <w:r w:rsidRPr="00071C3E">
        <w:t>ния на их сессиях в июне 2017 года.</w:t>
      </w:r>
    </w:p>
    <w:p w:rsidR="00071C3E" w:rsidRPr="00071C3E" w:rsidRDefault="00071C3E" w:rsidP="00345D4E">
      <w:pPr>
        <w:pStyle w:val="HChGR"/>
      </w:pPr>
      <w:r w:rsidRPr="00071C3E">
        <w:br w:type="page"/>
      </w:r>
      <w:r w:rsidRPr="00071C3E">
        <w:lastRenderedPageBreak/>
        <w:tab/>
      </w:r>
      <w:r w:rsidRPr="00071C3E">
        <w:tab/>
        <w:t>Дополнение 10 к поправкам серии 04</w:t>
      </w:r>
      <w:r w:rsidR="00345D4E">
        <w:t xml:space="preserve"> </w:t>
      </w:r>
      <w:r w:rsidR="00345D4E" w:rsidRPr="00345D4E">
        <w:br/>
      </w:r>
      <w:r w:rsidR="00345D4E">
        <w:t>к Правилам №</w:t>
      </w:r>
      <w:r w:rsidR="00345D4E">
        <w:rPr>
          <w:lang w:val="en-US"/>
        </w:rPr>
        <w:t> </w:t>
      </w:r>
      <w:r w:rsidRPr="00071C3E">
        <w:t xml:space="preserve">19 (передние противотуманные </w:t>
      </w:r>
      <w:r w:rsidR="00345D4E" w:rsidRPr="00345D4E">
        <w:br/>
      </w:r>
      <w:r w:rsidRPr="00071C3E">
        <w:t xml:space="preserve">фары) </w:t>
      </w:r>
    </w:p>
    <w:p w:rsidR="00071C3E" w:rsidRPr="00071C3E" w:rsidRDefault="00071C3E" w:rsidP="00345D4E">
      <w:pPr>
        <w:pStyle w:val="SingleTxtGR"/>
      </w:pPr>
      <w:r w:rsidRPr="00071C3E">
        <w:rPr>
          <w:i/>
          <w:iCs/>
        </w:rPr>
        <w:t>Пункт 5.6</w:t>
      </w:r>
      <w:r w:rsidRPr="00071C3E">
        <w:t xml:space="preserve"> изменить следующим образом:</w:t>
      </w:r>
    </w:p>
    <w:p w:rsidR="00071C3E" w:rsidRPr="00071C3E" w:rsidRDefault="00071C3E" w:rsidP="00345D4E">
      <w:pPr>
        <w:pStyle w:val="SingleTxtGR"/>
        <w:ind w:left="2268" w:hanging="1134"/>
      </w:pPr>
      <w:r w:rsidRPr="00071C3E">
        <w:t>«5.6</w:t>
      </w:r>
      <w:proofErr w:type="gramStart"/>
      <w:r w:rsidRPr="00071C3E">
        <w:tab/>
      </w:r>
      <w:r w:rsidRPr="00071C3E">
        <w:tab/>
        <w:t>В</w:t>
      </w:r>
      <w:proofErr w:type="gramEnd"/>
      <w:r w:rsidRPr="00071C3E">
        <w:t xml:space="preserve"> случае класса В передняя противотуманная фара должна быть оснащена только одним источником света с нитью накала, офиц</w:t>
      </w:r>
      <w:r w:rsidRPr="00071C3E">
        <w:t>и</w:t>
      </w:r>
      <w:r w:rsidRPr="00071C3E">
        <w:t>ально утвержденным на основании Правил № 37, даже если этот источник света с нитью накала является несменным. Может и</w:t>
      </w:r>
      <w:r w:rsidRPr="00071C3E">
        <w:t>с</w:t>
      </w:r>
      <w:r w:rsidRPr="00071C3E">
        <w:t>пользоваться любой источник света с нитью накала, официально утвержденный на основании Правил № 37, при условии, что:</w:t>
      </w:r>
    </w:p>
    <w:p w:rsidR="00071C3E" w:rsidRPr="00071C3E" w:rsidRDefault="00071C3E" w:rsidP="00345D4E">
      <w:pPr>
        <w:pStyle w:val="SingleTxtGR"/>
        <w:ind w:left="2835" w:hanging="1701"/>
      </w:pPr>
      <w:r w:rsidRPr="00071C3E">
        <w:tab/>
      </w:r>
      <w:r w:rsidRPr="00071C3E">
        <w:tab/>
        <w:t>a)</w:t>
      </w:r>
      <w:r w:rsidRPr="00071C3E">
        <w:tab/>
        <w:t xml:space="preserve">его номинальный световой поток не превышает 2 000 </w:t>
      </w:r>
      <w:proofErr w:type="spellStart"/>
      <w:r w:rsidRPr="00071C3E">
        <w:t>л</w:t>
      </w:r>
      <w:proofErr w:type="gramStart"/>
      <w:r w:rsidRPr="00071C3E">
        <w:t>ю</w:t>
      </w:r>
      <w:proofErr w:type="spellEnd"/>
      <w:r w:rsidR="0000341D" w:rsidRPr="0000341D">
        <w:t>-</w:t>
      </w:r>
      <w:proofErr w:type="gramEnd"/>
      <w:r w:rsidR="0000341D" w:rsidRPr="0000341D">
        <w:br/>
      </w:r>
      <w:r w:rsidRPr="00071C3E">
        <w:t>мен и</w:t>
      </w:r>
    </w:p>
    <w:p w:rsidR="00071C3E" w:rsidRPr="00071C3E" w:rsidRDefault="00071C3E" w:rsidP="00345D4E">
      <w:pPr>
        <w:pStyle w:val="SingleTxtGR"/>
        <w:ind w:left="2835" w:hanging="1701"/>
      </w:pPr>
      <w:r w:rsidRPr="00071C3E">
        <w:tab/>
      </w:r>
      <w:r w:rsidRPr="00071C3E">
        <w:tab/>
        <w:t>b)</w:t>
      </w:r>
      <w:r w:rsidRPr="00071C3E">
        <w:tab/>
        <w:t>в Правилах № 37 и в сериях</w:t>
      </w:r>
      <w:r w:rsidR="0000341D" w:rsidRPr="0000341D">
        <w:t xml:space="preserve"> </w:t>
      </w:r>
      <w:r w:rsidRPr="00071C3E">
        <w:t>поправок к ним, действующих на момент подачи заявки на официальное утверждение типа, не предусмотрено никаких ограничений на его использов</w:t>
      </w:r>
      <w:r w:rsidRPr="00071C3E">
        <w:t>а</w:t>
      </w:r>
      <w:r w:rsidRPr="00071C3E">
        <w:t>ние.</w:t>
      </w:r>
    </w:p>
    <w:p w:rsidR="00071C3E" w:rsidRPr="00071C3E" w:rsidRDefault="00071C3E" w:rsidP="00345D4E">
      <w:pPr>
        <w:pStyle w:val="SingleTxtGR"/>
        <w:ind w:left="2268" w:hanging="1134"/>
        <w:rPr>
          <w:bCs/>
        </w:rPr>
      </w:pPr>
      <w:r w:rsidRPr="00071C3E">
        <w:t>5.6.1</w:t>
      </w:r>
      <w:proofErr w:type="gramStart"/>
      <w:r w:rsidRPr="00071C3E">
        <w:tab/>
      </w:r>
      <w:r w:rsidRPr="00071C3E">
        <w:tab/>
        <w:t>Д</w:t>
      </w:r>
      <w:proofErr w:type="gramEnd"/>
      <w:r w:rsidRPr="00071C3E">
        <w:t>аже если этот источник света с нитью накала является несме</w:t>
      </w:r>
      <w:r w:rsidRPr="00071C3E">
        <w:t>н</w:t>
      </w:r>
      <w:r w:rsidRPr="00071C3E">
        <w:t xml:space="preserve">ным, он должен соответствовать требованиям, содержащимся в пункте 5.6 выше». </w:t>
      </w:r>
    </w:p>
    <w:p w:rsidR="00071C3E" w:rsidRPr="00071C3E" w:rsidRDefault="00071C3E" w:rsidP="00345D4E">
      <w:pPr>
        <w:pStyle w:val="SingleTxtGR"/>
        <w:ind w:left="2268" w:hanging="1134"/>
        <w:rPr>
          <w:bCs/>
        </w:rPr>
      </w:pPr>
      <w:r w:rsidRPr="00071C3E">
        <w:rPr>
          <w:i/>
          <w:iCs/>
        </w:rPr>
        <w:t>Пункт 5.7</w:t>
      </w:r>
      <w:r w:rsidRPr="00071C3E">
        <w:t xml:space="preserve"> изменить следующим образом:</w:t>
      </w:r>
    </w:p>
    <w:p w:rsidR="00071C3E" w:rsidRPr="00071C3E" w:rsidRDefault="00071C3E" w:rsidP="00345D4E">
      <w:pPr>
        <w:pStyle w:val="SingleTxtGR"/>
        <w:ind w:left="2268" w:hanging="1134"/>
      </w:pPr>
      <w:r w:rsidRPr="00071C3E">
        <w:t>«5.7</w:t>
      </w:r>
      <w:proofErr w:type="gramStart"/>
      <w:r w:rsidRPr="00071C3E">
        <w:tab/>
      </w:r>
      <w:r w:rsidRPr="00071C3E">
        <w:tab/>
        <w:t>В</w:t>
      </w:r>
      <w:proofErr w:type="gramEnd"/>
      <w:r w:rsidRPr="00071C3E">
        <w:t xml:space="preserve"> случае класса </w:t>
      </w:r>
      <w:r w:rsidRPr="00071C3E">
        <w:rPr>
          <w:lang w:val="en-US"/>
        </w:rPr>
        <w:t>F</w:t>
      </w:r>
      <w:r w:rsidRPr="00071C3E">
        <w:t>3, независимо от того, являются источники света сменными или нет, передняя противотуманная фара должна быть оснащена только:</w:t>
      </w:r>
    </w:p>
    <w:p w:rsidR="00071C3E" w:rsidRPr="00071C3E" w:rsidRDefault="00071C3E" w:rsidP="00345D4E">
      <w:pPr>
        <w:pStyle w:val="SingleTxtGR"/>
        <w:ind w:left="2268" w:hanging="1134"/>
      </w:pPr>
      <w:r w:rsidRPr="00071C3E">
        <w:t>5.7.1</w:t>
      </w:r>
      <w:r w:rsidRPr="00071C3E">
        <w:tab/>
      </w:r>
      <w:r w:rsidRPr="00071C3E">
        <w:tab/>
        <w:t>одним или более источниками света, официально утвержденными на основании:</w:t>
      </w:r>
    </w:p>
    <w:p w:rsidR="00071C3E" w:rsidRPr="00071C3E" w:rsidRDefault="00071C3E" w:rsidP="00345D4E">
      <w:pPr>
        <w:pStyle w:val="SingleTxtGR"/>
        <w:ind w:left="2268" w:hanging="1134"/>
      </w:pPr>
      <w:r w:rsidRPr="00071C3E">
        <w:t>5.7.1.1</w:t>
      </w:r>
      <w:r w:rsidRPr="00071C3E">
        <w:tab/>
        <w:t>Правил № 37 и серий поправок к ним, действующих на момент п</w:t>
      </w:r>
      <w:r w:rsidRPr="00071C3E">
        <w:t>о</w:t>
      </w:r>
      <w:r w:rsidRPr="00071C3E">
        <w:t>дачи заявки на официальное утверждение типа, при условии, что не предусмотрено никаких ограничений на их использование;</w:t>
      </w:r>
    </w:p>
    <w:p w:rsidR="00071C3E" w:rsidRPr="00071C3E" w:rsidRDefault="00071C3E" w:rsidP="00345D4E">
      <w:pPr>
        <w:pStyle w:val="SingleTxtGR"/>
        <w:ind w:left="2268" w:hanging="1134"/>
      </w:pPr>
      <w:r w:rsidRPr="00071C3E">
        <w:t>5.7.1.2</w:t>
      </w:r>
      <w:r w:rsidRPr="00071C3E">
        <w:tab/>
        <w:t>или Правил № 99 и серий поправок к ним, действующих на момент подачи заявки на официальное утверждение типа;</w:t>
      </w:r>
    </w:p>
    <w:p w:rsidR="00E12C5F" w:rsidRDefault="00071C3E" w:rsidP="00345D4E">
      <w:pPr>
        <w:pStyle w:val="SingleTxtGR"/>
        <w:ind w:left="2268" w:hanging="1134"/>
        <w:rPr>
          <w:lang w:val="en-US"/>
        </w:rPr>
      </w:pPr>
      <w:r w:rsidRPr="00071C3E">
        <w:t>5.7.2</w:t>
      </w:r>
      <w:r w:rsidRPr="00071C3E">
        <w:tab/>
      </w:r>
      <w:r w:rsidRPr="00071C3E">
        <w:tab/>
        <w:t>и/или одним или более модулями СИД, к которым применяются требования приложения 12 к настоящим Правилам; соответствие этим требованиям проверяется путем испытаний».</w:t>
      </w:r>
    </w:p>
    <w:p w:rsidR="00071C3E" w:rsidRPr="00071C3E" w:rsidRDefault="00071C3E" w:rsidP="00071C3E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071C3E" w:rsidRPr="00071C3E" w:rsidSect="00071C3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4C" w:rsidRPr="00A312BC" w:rsidRDefault="006A294C" w:rsidP="00A312BC"/>
  </w:endnote>
  <w:endnote w:type="continuationSeparator" w:id="0">
    <w:p w:rsidR="006A294C" w:rsidRPr="00A312BC" w:rsidRDefault="006A294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E" w:rsidRPr="00071C3E" w:rsidRDefault="00071C3E">
    <w:pPr>
      <w:pStyle w:val="Footer"/>
    </w:pPr>
    <w:r w:rsidRPr="00071C3E">
      <w:rPr>
        <w:b/>
        <w:sz w:val="18"/>
      </w:rPr>
      <w:fldChar w:fldCharType="begin"/>
    </w:r>
    <w:r w:rsidRPr="00071C3E">
      <w:rPr>
        <w:b/>
        <w:sz w:val="18"/>
      </w:rPr>
      <w:instrText xml:space="preserve"> PAGE  \* MERGEFORMAT </w:instrText>
    </w:r>
    <w:r w:rsidRPr="00071C3E">
      <w:rPr>
        <w:b/>
        <w:sz w:val="18"/>
      </w:rPr>
      <w:fldChar w:fldCharType="separate"/>
    </w:r>
    <w:r w:rsidR="007A206B">
      <w:rPr>
        <w:b/>
        <w:noProof/>
        <w:sz w:val="18"/>
      </w:rPr>
      <w:t>2</w:t>
    </w:r>
    <w:r w:rsidRPr="00071C3E">
      <w:rPr>
        <w:b/>
        <w:sz w:val="18"/>
      </w:rPr>
      <w:fldChar w:fldCharType="end"/>
    </w:r>
    <w:r>
      <w:rPr>
        <w:b/>
        <w:sz w:val="18"/>
      </w:rPr>
      <w:tab/>
    </w:r>
    <w:r>
      <w:t>GE.17-05783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E" w:rsidRPr="00071C3E" w:rsidRDefault="00071C3E" w:rsidP="00071C3E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GE.17-05783</w:t>
    </w:r>
    <w:r>
      <w:tab/>
    </w:r>
    <w:r w:rsidRPr="00071C3E">
      <w:rPr>
        <w:b/>
        <w:sz w:val="18"/>
      </w:rPr>
      <w:fldChar w:fldCharType="begin"/>
    </w:r>
    <w:r w:rsidRPr="00071C3E">
      <w:rPr>
        <w:b/>
        <w:sz w:val="18"/>
      </w:rPr>
      <w:instrText xml:space="preserve"> PAGE  \* MERGEFORMAT </w:instrText>
    </w:r>
    <w:r w:rsidRPr="00071C3E">
      <w:rPr>
        <w:b/>
        <w:sz w:val="18"/>
      </w:rPr>
      <w:fldChar w:fldCharType="separate"/>
    </w:r>
    <w:r>
      <w:rPr>
        <w:b/>
        <w:noProof/>
        <w:sz w:val="18"/>
      </w:rPr>
      <w:t>5</w:t>
    </w:r>
    <w:r w:rsidRPr="00071C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071C3E" w:rsidRDefault="00071C3E" w:rsidP="00071C3E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57AF975" wp14:editId="49C0C9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17-05783  (R)</w:t>
    </w:r>
    <w:r>
      <w:rPr>
        <w:lang w:val="en-US"/>
      </w:rPr>
      <w:t xml:space="preserve">  270417  270417</w:t>
    </w:r>
    <w:r>
      <w:br/>
    </w:r>
    <w:r w:rsidRPr="00071C3E">
      <w:rPr>
        <w:rFonts w:ascii="C39T30Lfz" w:hAnsi="C39T30Lfz"/>
        <w:spacing w:val="0"/>
        <w:w w:val="100"/>
        <w:sz w:val="56"/>
      </w:rPr>
      <w:t></w:t>
    </w:r>
    <w:r w:rsidRPr="00071C3E">
      <w:rPr>
        <w:rFonts w:ascii="C39T30Lfz" w:hAnsi="C39T30Lfz"/>
        <w:spacing w:val="0"/>
        <w:w w:val="100"/>
        <w:sz w:val="56"/>
      </w:rPr>
      <w:t></w:t>
    </w:r>
    <w:r w:rsidRPr="00071C3E">
      <w:rPr>
        <w:rFonts w:ascii="C39T30Lfz" w:hAnsi="C39T30Lfz"/>
        <w:spacing w:val="0"/>
        <w:w w:val="100"/>
        <w:sz w:val="56"/>
      </w:rPr>
      <w:t></w:t>
    </w:r>
    <w:r w:rsidRPr="00071C3E">
      <w:rPr>
        <w:rFonts w:ascii="C39T30Lfz" w:hAnsi="C39T30Lfz"/>
        <w:spacing w:val="0"/>
        <w:w w:val="100"/>
        <w:sz w:val="56"/>
      </w:rPr>
      <w:t></w:t>
    </w:r>
    <w:r w:rsidRPr="00071C3E">
      <w:rPr>
        <w:rFonts w:ascii="C39T30Lfz" w:hAnsi="C39T30Lfz"/>
        <w:spacing w:val="0"/>
        <w:w w:val="100"/>
        <w:sz w:val="56"/>
      </w:rPr>
      <w:t></w:t>
    </w:r>
    <w:r w:rsidRPr="00071C3E">
      <w:rPr>
        <w:rFonts w:ascii="C39T30Lfz" w:hAnsi="C39T30Lfz"/>
        <w:spacing w:val="0"/>
        <w:w w:val="100"/>
        <w:sz w:val="56"/>
      </w:rPr>
      <w:t></w:t>
    </w:r>
    <w:r w:rsidRPr="00071C3E">
      <w:rPr>
        <w:rFonts w:ascii="C39T30Lfz" w:hAnsi="C39T30Lfz"/>
        <w:spacing w:val="0"/>
        <w:w w:val="100"/>
        <w:sz w:val="56"/>
      </w:rPr>
      <w:t></w:t>
    </w:r>
    <w:r w:rsidRPr="00071C3E">
      <w:rPr>
        <w:rFonts w:ascii="C39T30Lfz" w:hAnsi="C39T30Lfz"/>
        <w:spacing w:val="0"/>
        <w:w w:val="100"/>
        <w:sz w:val="56"/>
      </w:rPr>
      <w:t></w:t>
    </w:r>
    <w:r w:rsidRPr="00071C3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7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7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4C" w:rsidRPr="001075E9" w:rsidRDefault="006A294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A294C" w:rsidRDefault="006A294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45D4E" w:rsidRPr="00345D4E" w:rsidRDefault="00345D4E" w:rsidP="00A74467">
      <w:pPr>
        <w:pStyle w:val="FootnoteText"/>
        <w:rPr>
          <w:sz w:val="20"/>
          <w:lang w:val="en-US"/>
        </w:rPr>
      </w:pPr>
      <w:r>
        <w:tab/>
      </w:r>
      <w:r w:rsidRPr="00345D4E">
        <w:rPr>
          <w:rStyle w:val="FootnoteReference"/>
          <w:sz w:val="20"/>
          <w:vertAlign w:val="baseline"/>
          <w:lang w:val="ru-RU"/>
        </w:rPr>
        <w:t>*</w:t>
      </w:r>
      <w:r w:rsidRPr="00345D4E">
        <w:rPr>
          <w:rStyle w:val="FootnoteReference"/>
          <w:vertAlign w:val="baseline"/>
          <w:lang w:val="ru-RU"/>
        </w:rPr>
        <w:tab/>
      </w:r>
      <w:r w:rsidRPr="00345D4E">
        <w:rPr>
          <w:lang w:val="ru-RU"/>
        </w:rPr>
        <w:t xml:space="preserve">В соответствии с программой работы Комитета по внутреннему транспорту </w:t>
      </w:r>
      <w:r w:rsidRPr="00345D4E">
        <w:rPr>
          <w:lang w:val="ru-RU"/>
        </w:rPr>
        <w:br/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E" w:rsidRPr="00071C3E" w:rsidRDefault="007A206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411F8">
      <w:t>ECE/TRANS/WP.29/2017/76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3E" w:rsidRPr="00071C3E" w:rsidRDefault="007A206B" w:rsidP="00071C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411F8">
      <w:t>ECE/TRANS/WP.29/2017/76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4C"/>
    <w:rsid w:val="0000341D"/>
    <w:rsid w:val="00033EE1"/>
    <w:rsid w:val="00042B72"/>
    <w:rsid w:val="000558BD"/>
    <w:rsid w:val="00071C3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D4E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39B"/>
    <w:rsid w:val="005D7914"/>
    <w:rsid w:val="005E2B41"/>
    <w:rsid w:val="005F0B42"/>
    <w:rsid w:val="006345DB"/>
    <w:rsid w:val="00640F49"/>
    <w:rsid w:val="00680D03"/>
    <w:rsid w:val="00681A10"/>
    <w:rsid w:val="006A1ED8"/>
    <w:rsid w:val="006A294C"/>
    <w:rsid w:val="006C2031"/>
    <w:rsid w:val="006D461A"/>
    <w:rsid w:val="006F35EE"/>
    <w:rsid w:val="007021FF"/>
    <w:rsid w:val="00712895"/>
    <w:rsid w:val="00734ACB"/>
    <w:rsid w:val="00757357"/>
    <w:rsid w:val="00792497"/>
    <w:rsid w:val="007A206B"/>
    <w:rsid w:val="00806737"/>
    <w:rsid w:val="00807142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4CB2"/>
    <w:rsid w:val="009A24AC"/>
    <w:rsid w:val="009C6FE6"/>
    <w:rsid w:val="00A14DA8"/>
    <w:rsid w:val="00A312BC"/>
    <w:rsid w:val="00A74467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11F8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ECE/TRANS/WP.29/2017/76</vt:lpstr>
      <vt:lpstr>ECE/TRANS/WP.29/2017/76</vt:lpstr>
      <vt:lpstr>A/</vt:lpstr>
    </vt:vector>
  </TitlesOfParts>
  <Company>DCM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ECE/TRANS/WP.29/2017/76</dc:title>
  <dc:creator>Izotova Elena</dc:creator>
  <cp:lastModifiedBy>Benedicte Boudol</cp:lastModifiedBy>
  <cp:revision>2</cp:revision>
  <cp:lastPrinted>2017-04-27T09:12:00Z</cp:lastPrinted>
  <dcterms:created xsi:type="dcterms:W3CDTF">2017-05-03T15:57:00Z</dcterms:created>
  <dcterms:modified xsi:type="dcterms:W3CDTF">2017-05-03T15:57:00Z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