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776A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776A5" w:rsidP="008776A5">
            <w:pPr>
              <w:jc w:val="right"/>
            </w:pPr>
            <w:r w:rsidRPr="008776A5">
              <w:rPr>
                <w:sz w:val="40"/>
              </w:rPr>
              <w:t>ECE</w:t>
            </w:r>
            <w:r>
              <w:t>/TRANS/WP.29/2017/62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776A5" w:rsidP="00C97039">
            <w:pPr>
              <w:spacing w:before="240"/>
            </w:pPr>
            <w:proofErr w:type="spellStart"/>
            <w:r>
              <w:t>Distr</w:t>
            </w:r>
            <w:proofErr w:type="spellEnd"/>
            <w:r>
              <w:t>. générale</w:t>
            </w:r>
          </w:p>
          <w:p w:rsidR="008776A5" w:rsidRDefault="008776A5" w:rsidP="008776A5">
            <w:pPr>
              <w:spacing w:line="240" w:lineRule="exact"/>
            </w:pPr>
            <w:r>
              <w:t>5 avril 2017</w:t>
            </w:r>
          </w:p>
          <w:p w:rsidR="008776A5" w:rsidRDefault="008776A5" w:rsidP="008776A5">
            <w:pPr>
              <w:spacing w:line="240" w:lineRule="exact"/>
            </w:pPr>
            <w:r>
              <w:t>Français</w:t>
            </w:r>
          </w:p>
          <w:p w:rsidR="008776A5" w:rsidRPr="00DB58B5" w:rsidRDefault="008776A5" w:rsidP="008776A5">
            <w:pPr>
              <w:spacing w:line="240" w:lineRule="exact"/>
            </w:pPr>
            <w:r>
              <w:t>Original</w:t>
            </w:r>
            <w:r w:rsidR="001140A3">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A0726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F3F99" w:rsidRDefault="006F3F99" w:rsidP="00AF0CB5">
      <w:pPr>
        <w:spacing w:before="120"/>
        <w:rPr>
          <w:b/>
          <w:sz w:val="24"/>
          <w:szCs w:val="24"/>
        </w:rPr>
      </w:pPr>
      <w:r w:rsidRPr="00685843">
        <w:rPr>
          <w:b/>
          <w:sz w:val="24"/>
          <w:szCs w:val="24"/>
        </w:rPr>
        <w:t>Forum mondial de l</w:t>
      </w:r>
      <w:r w:rsidR="00A0726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F3F99" w:rsidRPr="007F1786" w:rsidRDefault="006F3F99" w:rsidP="006F3F99">
      <w:pPr>
        <w:spacing w:before="120" w:line="240" w:lineRule="exact"/>
        <w:rPr>
          <w:b/>
        </w:rPr>
      </w:pPr>
      <w:r w:rsidRPr="007F1786">
        <w:rPr>
          <w:b/>
        </w:rPr>
        <w:t>172</w:t>
      </w:r>
      <w:r w:rsidRPr="007F1786">
        <w:rPr>
          <w:b/>
          <w:vertAlign w:val="superscript"/>
        </w:rPr>
        <w:t>e</w:t>
      </w:r>
      <w:r w:rsidRPr="007F1786">
        <w:rPr>
          <w:b/>
        </w:rPr>
        <w:t xml:space="preserve"> session</w:t>
      </w:r>
    </w:p>
    <w:p w:rsidR="006F3F99" w:rsidRPr="007F1786" w:rsidRDefault="006F3F99" w:rsidP="006F3F99">
      <w:pPr>
        <w:spacing w:line="240" w:lineRule="exact"/>
      </w:pPr>
      <w:r w:rsidRPr="007F1786">
        <w:t>Genève, 20-23 juin 2017</w:t>
      </w:r>
    </w:p>
    <w:p w:rsidR="006F3F99" w:rsidRPr="007F1786" w:rsidRDefault="006F3F99" w:rsidP="006F3F99">
      <w:pPr>
        <w:spacing w:line="240" w:lineRule="exact"/>
      </w:pPr>
      <w:r w:rsidRPr="007F1786">
        <w:t>Point 4.</w:t>
      </w:r>
      <w:r>
        <w:t>6.5</w:t>
      </w:r>
      <w:r w:rsidRPr="007F1786">
        <w:t xml:space="preserve"> de l</w:t>
      </w:r>
      <w:r w:rsidR="00A07264">
        <w:t>’</w:t>
      </w:r>
      <w:r w:rsidRPr="007F1786">
        <w:t>ordre du jour provisoire</w:t>
      </w:r>
    </w:p>
    <w:p w:rsidR="006F3F99" w:rsidRPr="002F6A7D" w:rsidRDefault="006F3F99" w:rsidP="006F3F99">
      <w:pPr>
        <w:rPr>
          <w:b/>
        </w:rPr>
      </w:pPr>
      <w:r w:rsidRPr="002F6A7D">
        <w:rPr>
          <w:b/>
        </w:rPr>
        <w:t>Accord de 1958</w:t>
      </w:r>
      <w:r w:rsidR="001140A3">
        <w:rPr>
          <w:b/>
        </w:rPr>
        <w:t> :</w:t>
      </w:r>
      <w:r w:rsidRPr="002F6A7D">
        <w:rPr>
          <w:b/>
        </w:rPr>
        <w:t xml:space="preserve"> Examen de projets d</w:t>
      </w:r>
      <w:r w:rsidR="00A07264">
        <w:rPr>
          <w:b/>
        </w:rPr>
        <w:t>’</w:t>
      </w:r>
      <w:r w:rsidRPr="002F6A7D">
        <w:rPr>
          <w:b/>
        </w:rPr>
        <w:t>amendements</w:t>
      </w:r>
      <w:r w:rsidRPr="002F6A7D">
        <w:rPr>
          <w:b/>
        </w:rPr>
        <w:br/>
        <w:t xml:space="preserve">à des Règlements existants, soumis par le </w:t>
      </w:r>
      <w:r>
        <w:rPr>
          <w:b/>
        </w:rPr>
        <w:t>GRSP</w:t>
      </w:r>
    </w:p>
    <w:p w:rsidR="00B15577" w:rsidRPr="00A90EA8" w:rsidRDefault="00E53A2A" w:rsidP="00E53A2A">
      <w:pPr>
        <w:pStyle w:val="HChG"/>
      </w:pPr>
      <w:r>
        <w:rPr>
          <w:lang w:val="fr-FR"/>
        </w:rPr>
        <w:tab/>
      </w:r>
      <w:r>
        <w:rPr>
          <w:lang w:val="fr-FR"/>
        </w:rPr>
        <w:tab/>
      </w:r>
      <w:r w:rsidR="00B15577">
        <w:rPr>
          <w:lang w:val="fr-FR"/>
        </w:rPr>
        <w:t>Proposition de complément 2 à la série 01 d</w:t>
      </w:r>
      <w:r w:rsidR="00A07264">
        <w:rPr>
          <w:lang w:val="fr-FR"/>
        </w:rPr>
        <w:t>’</w:t>
      </w:r>
      <w:r w:rsidR="00B15577">
        <w:rPr>
          <w:lang w:val="fr-FR"/>
        </w:rPr>
        <w:t xml:space="preserve">amendements </w:t>
      </w:r>
      <w:r>
        <w:rPr>
          <w:lang w:val="fr-FR"/>
        </w:rPr>
        <w:br/>
      </w:r>
      <w:r w:rsidR="00B15577">
        <w:rPr>
          <w:lang w:val="fr-FR"/>
        </w:rPr>
        <w:t xml:space="preserve">au Règlement </w:t>
      </w:r>
      <w:r w:rsidRPr="00E53A2A">
        <w:rPr>
          <w:rFonts w:eastAsia="MS Mincho"/>
          <w:lang w:val="fr-FR"/>
        </w:rPr>
        <w:t>n</w:t>
      </w:r>
      <w:r w:rsidRPr="00E53A2A">
        <w:rPr>
          <w:rFonts w:eastAsia="MS Mincho"/>
          <w:vertAlign w:val="superscript"/>
          <w:lang w:val="fr-FR"/>
        </w:rPr>
        <w:t>o</w:t>
      </w:r>
      <w:r>
        <w:rPr>
          <w:lang w:val="fr-FR"/>
        </w:rPr>
        <w:t> </w:t>
      </w:r>
      <w:r w:rsidR="00B15577">
        <w:rPr>
          <w:lang w:val="fr-FR"/>
        </w:rPr>
        <w:t xml:space="preserve">129 (Dispositifs améliorés de retenue </w:t>
      </w:r>
      <w:r>
        <w:rPr>
          <w:lang w:val="fr-FR"/>
        </w:rPr>
        <w:br/>
      </w:r>
      <w:r w:rsidR="00B15577">
        <w:rPr>
          <w:lang w:val="fr-FR"/>
        </w:rPr>
        <w:t>pour enfants)</w:t>
      </w:r>
    </w:p>
    <w:p w:rsidR="00B15577" w:rsidRPr="00A90EA8" w:rsidRDefault="00E53A2A" w:rsidP="00E53A2A">
      <w:pPr>
        <w:pStyle w:val="H1G"/>
      </w:pPr>
      <w:r>
        <w:rPr>
          <w:lang w:val="fr-FR"/>
        </w:rPr>
        <w:tab/>
      </w:r>
      <w:r>
        <w:rPr>
          <w:lang w:val="fr-FR"/>
        </w:rPr>
        <w:tab/>
      </w:r>
      <w:r w:rsidR="00B15577" w:rsidRPr="00D21970">
        <w:rPr>
          <w:lang w:val="fr-FR"/>
        </w:rPr>
        <w:t>Communication du Groupe de travail de la sécurité passive</w:t>
      </w:r>
      <w:r w:rsidR="00B15577" w:rsidRPr="00E53A2A">
        <w:rPr>
          <w:b w:val="0"/>
          <w:sz w:val="20"/>
          <w:lang w:val="fr-FR"/>
        </w:rPr>
        <w:footnoteReference w:customMarkFollows="1" w:id="2"/>
        <w:t>*</w:t>
      </w:r>
    </w:p>
    <w:p w:rsidR="00B15577" w:rsidRPr="00D21970" w:rsidRDefault="00B15577" w:rsidP="00E53A2A">
      <w:pPr>
        <w:pStyle w:val="SingleTxtG"/>
        <w:ind w:firstLine="567"/>
      </w:pPr>
      <w:r w:rsidRPr="00D21970">
        <w:rPr>
          <w:lang w:val="fr-FR"/>
        </w:rPr>
        <w:t>Le texte reproduit ci-dessous a été adopté par le Groupe de travail de la sécurité passive (GRSP) à sa soixantième session</w:t>
      </w:r>
      <w:r w:rsidR="00E53A2A">
        <w:rPr>
          <w:lang w:val="fr-FR"/>
        </w:rPr>
        <w:t xml:space="preserve"> (ECE/TRANS/WP.29/GRSP/60, par. </w:t>
      </w:r>
      <w:r w:rsidRPr="00D21970">
        <w:rPr>
          <w:lang w:val="fr-FR"/>
        </w:rPr>
        <w:t>36). Il a été établi sur la base du document ECE/TRANS/WP.29/GRSP/2016/2</w:t>
      </w:r>
      <w:r w:rsidR="00E53A2A">
        <w:rPr>
          <w:lang w:val="fr-FR"/>
        </w:rPr>
        <w:t>2, tel que modifié par l</w:t>
      </w:r>
      <w:r w:rsidR="00A07264">
        <w:rPr>
          <w:lang w:val="fr-FR"/>
        </w:rPr>
        <w:t>’</w:t>
      </w:r>
      <w:r w:rsidR="00E53A2A">
        <w:rPr>
          <w:lang w:val="fr-FR"/>
        </w:rPr>
        <w:t>annexe </w:t>
      </w:r>
      <w:r w:rsidRPr="00D21970">
        <w:rPr>
          <w:lang w:val="fr-FR"/>
        </w:rPr>
        <w:t>V au rapport. Il est soumis au Forum mondial de l</w:t>
      </w:r>
      <w:r w:rsidR="00A07264">
        <w:rPr>
          <w:lang w:val="fr-FR"/>
        </w:rPr>
        <w:t>’</w:t>
      </w:r>
      <w:r w:rsidRPr="00D21970">
        <w:rPr>
          <w:lang w:val="fr-FR"/>
        </w:rPr>
        <w:t>harmonisation des Règlements concernant les véhicules (WP.29) et au Comité d</w:t>
      </w:r>
      <w:r w:rsidR="00A07264">
        <w:rPr>
          <w:lang w:val="fr-FR"/>
        </w:rPr>
        <w:t>’</w:t>
      </w:r>
      <w:r w:rsidRPr="00D21970">
        <w:rPr>
          <w:lang w:val="fr-FR"/>
        </w:rPr>
        <w:t>administration (AC.1) pour examen à leurs sessions de juin 2017.</w:t>
      </w:r>
    </w:p>
    <w:p w:rsidR="00B15577" w:rsidRDefault="00B15577" w:rsidP="00E53A2A">
      <w:pPr>
        <w:pStyle w:val="HChG"/>
      </w:pPr>
      <w:r w:rsidRPr="00F02935">
        <w:br w:type="page"/>
      </w:r>
      <w:r w:rsidR="00E53A2A">
        <w:lastRenderedPageBreak/>
        <w:tab/>
      </w:r>
      <w:r w:rsidR="00E53A2A">
        <w:tab/>
      </w:r>
      <w:r>
        <w:rPr>
          <w:lang w:val="fr-FR"/>
        </w:rPr>
        <w:t xml:space="preserve">Complément </w:t>
      </w:r>
      <w:r w:rsidR="00E53A2A">
        <w:rPr>
          <w:lang w:val="fr-FR"/>
        </w:rPr>
        <w:t>2</w:t>
      </w:r>
      <w:r>
        <w:rPr>
          <w:lang w:val="fr-FR"/>
        </w:rPr>
        <w:t xml:space="preserve"> à la série 01 d</w:t>
      </w:r>
      <w:r w:rsidR="00A07264">
        <w:rPr>
          <w:lang w:val="fr-FR"/>
        </w:rPr>
        <w:t>’</w:t>
      </w:r>
      <w:r>
        <w:rPr>
          <w:lang w:val="fr-FR"/>
        </w:rPr>
        <w:t xml:space="preserve">amendements </w:t>
      </w:r>
      <w:r w:rsidR="00E53A2A">
        <w:rPr>
          <w:lang w:val="fr-FR"/>
        </w:rPr>
        <w:br/>
      </w:r>
      <w:r>
        <w:rPr>
          <w:lang w:val="fr-FR"/>
        </w:rPr>
        <w:t xml:space="preserve">au Règlement </w:t>
      </w:r>
      <w:r w:rsidR="00E53A2A" w:rsidRPr="00E53A2A">
        <w:rPr>
          <w:rFonts w:eastAsia="MS Mincho"/>
          <w:lang w:val="fr-FR"/>
        </w:rPr>
        <w:t>n</w:t>
      </w:r>
      <w:r w:rsidR="00E53A2A" w:rsidRPr="00E53A2A">
        <w:rPr>
          <w:rFonts w:eastAsia="MS Mincho"/>
          <w:vertAlign w:val="superscript"/>
          <w:lang w:val="fr-FR"/>
        </w:rPr>
        <w:t>o</w:t>
      </w:r>
      <w:r w:rsidR="00E53A2A">
        <w:rPr>
          <w:lang w:val="fr-FR"/>
        </w:rPr>
        <w:t> </w:t>
      </w:r>
      <w:r>
        <w:rPr>
          <w:lang w:val="fr-FR"/>
        </w:rPr>
        <w:t xml:space="preserve">129 (Dispositifs améliorés </w:t>
      </w:r>
      <w:r w:rsidR="00E53A2A">
        <w:rPr>
          <w:lang w:val="fr-FR"/>
        </w:rPr>
        <w:br/>
      </w:r>
      <w:r>
        <w:rPr>
          <w:lang w:val="fr-FR"/>
        </w:rPr>
        <w:t>de retenue pour enfants)</w:t>
      </w:r>
    </w:p>
    <w:p w:rsidR="00B15577" w:rsidRPr="00E53A2A" w:rsidRDefault="00B15577" w:rsidP="00935753">
      <w:pPr>
        <w:pStyle w:val="SingleTxtG"/>
        <w:keepNext/>
      </w:pPr>
      <w:r w:rsidRPr="00E53A2A">
        <w:rPr>
          <w:i/>
          <w:iCs/>
          <w:lang w:val="fr-FR"/>
        </w:rPr>
        <w:t>Paragraphe 2.6</w:t>
      </w:r>
      <w:r w:rsidRPr="00E53A2A">
        <w:rPr>
          <w:lang w:val="fr-FR"/>
        </w:rPr>
        <w:t>, modifier comme suit</w:t>
      </w:r>
      <w:r w:rsidR="001140A3">
        <w:rPr>
          <w:lang w:val="fr-FR"/>
        </w:rPr>
        <w:t> :</w:t>
      </w:r>
    </w:p>
    <w:p w:rsidR="00B15577" w:rsidRPr="00E53A2A" w:rsidRDefault="00B15577" w:rsidP="00847E82">
      <w:pPr>
        <w:pStyle w:val="SingleTxtG"/>
        <w:ind w:left="2268" w:hanging="1134"/>
      </w:pPr>
      <w:r w:rsidRPr="00E53A2A">
        <w:rPr>
          <w:lang w:val="fr-FR"/>
        </w:rPr>
        <w:t>«</w:t>
      </w:r>
      <w:r w:rsidR="001140A3">
        <w:rPr>
          <w:lang w:val="fr-FR"/>
        </w:rPr>
        <w:t> 2.6</w:t>
      </w:r>
      <w:r w:rsidRPr="00E53A2A">
        <w:rPr>
          <w:lang w:val="fr-FR"/>
        </w:rPr>
        <w:t xml:space="preserve"> </w:t>
      </w:r>
      <w:r w:rsidRPr="00E53A2A">
        <w:rPr>
          <w:lang w:val="fr-FR"/>
        </w:rPr>
        <w:tab/>
      </w:r>
      <w:r w:rsidR="001140A3" w:rsidRPr="001140A3">
        <w:rPr>
          <w:iCs/>
        </w:rPr>
        <w:t>“</w:t>
      </w:r>
      <w:r w:rsidRPr="00E53A2A">
        <w:rPr>
          <w:i/>
          <w:iCs/>
          <w:lang w:val="fr-FR"/>
        </w:rPr>
        <w:t>Système ISOFIX universel intégral</w:t>
      </w:r>
      <w:r w:rsidR="00CE6642" w:rsidRPr="00CE6642">
        <w:t>”</w:t>
      </w:r>
      <w:r w:rsidRPr="00E53A2A">
        <w:rPr>
          <w:lang w:val="fr-FR"/>
        </w:rPr>
        <w:t>, un dispositif amélioré de retenue pour enfants ISOFIX</w:t>
      </w:r>
      <w:r w:rsidR="00060C39">
        <w:rPr>
          <w:lang w:val="fr-FR"/>
        </w:rPr>
        <w:t xml:space="preserve"> </w:t>
      </w:r>
      <w:r w:rsidRPr="00E53A2A">
        <w:rPr>
          <w:lang w:val="fr-FR"/>
        </w:rPr>
        <w:t>comprenant soit une attache supérieure soit une jambe de force, qui sert à limiter la rotation du dispositif amélioré de retenue pour enfants, fixée au véhicule ou soutenue par lui.</w:t>
      </w:r>
      <w:r w:rsidR="00CE6642">
        <w:rPr>
          <w:lang w:val="fr-FR"/>
        </w:rPr>
        <w:t> </w:t>
      </w:r>
      <w:r w:rsidRPr="00E53A2A">
        <w:rPr>
          <w:lang w:val="fr-FR"/>
        </w:rPr>
        <w:t xml:space="preserve">». </w:t>
      </w:r>
    </w:p>
    <w:p w:rsidR="00B15577" w:rsidRPr="00E53A2A" w:rsidRDefault="00B15577" w:rsidP="00935753">
      <w:pPr>
        <w:pStyle w:val="SingleTxtG"/>
        <w:keepNext/>
      </w:pPr>
      <w:r w:rsidRPr="00E53A2A">
        <w:rPr>
          <w:i/>
          <w:iCs/>
          <w:lang w:val="fr-FR"/>
        </w:rPr>
        <w:t>Paragraphe 2.16</w:t>
      </w:r>
      <w:r w:rsidRPr="00CE6642">
        <w:rPr>
          <w:iCs/>
          <w:lang w:val="fr-FR"/>
        </w:rPr>
        <w:t>,</w:t>
      </w:r>
      <w:r w:rsidRPr="00E53A2A">
        <w:rPr>
          <w:lang w:val="fr-FR"/>
        </w:rPr>
        <w:t xml:space="preserve"> modifier comme suit</w:t>
      </w:r>
      <w:r w:rsidR="001140A3">
        <w:rPr>
          <w:lang w:val="fr-FR"/>
        </w:rPr>
        <w:t> :</w:t>
      </w:r>
    </w:p>
    <w:p w:rsidR="00B15577" w:rsidRPr="00E53A2A" w:rsidRDefault="00B15577" w:rsidP="00847E82">
      <w:pPr>
        <w:pStyle w:val="SingleTxtG"/>
        <w:ind w:left="2268" w:hanging="1134"/>
      </w:pPr>
      <w:r w:rsidRPr="00E53A2A">
        <w:rPr>
          <w:lang w:val="fr-FR"/>
        </w:rPr>
        <w:t>«2.16</w:t>
      </w:r>
      <w:r w:rsidRPr="00E53A2A">
        <w:rPr>
          <w:lang w:val="fr-FR"/>
        </w:rPr>
        <w:tab/>
        <w:t>“</w:t>
      </w:r>
      <w:r w:rsidRPr="00935753">
        <w:rPr>
          <w:i/>
          <w:lang w:val="fr-FR"/>
        </w:rPr>
        <w:t>Angle de tangage du gabarit</w:t>
      </w:r>
      <w:r w:rsidRPr="00E53A2A">
        <w:rPr>
          <w:lang w:val="fr-FR"/>
        </w:rPr>
        <w:t>”, l</w:t>
      </w:r>
      <w:r w:rsidR="00A07264">
        <w:rPr>
          <w:lang w:val="fr-FR"/>
        </w:rPr>
        <w:t>’</w:t>
      </w:r>
      <w:r w:rsidRPr="00E53A2A">
        <w:rPr>
          <w:lang w:val="fr-FR"/>
        </w:rPr>
        <w:t>angle que forment la surf</w:t>
      </w:r>
      <w:r w:rsidR="007F4B13">
        <w:rPr>
          <w:lang w:val="fr-FR"/>
        </w:rPr>
        <w:t>ace inférieure du gabarit ISO/F2</w:t>
      </w:r>
      <w:r w:rsidRPr="00E53A2A">
        <w:rPr>
          <w:lang w:val="fr-FR"/>
        </w:rPr>
        <w:t>, tel qu</w:t>
      </w:r>
      <w:r w:rsidR="00A07264">
        <w:rPr>
          <w:lang w:val="fr-FR"/>
        </w:rPr>
        <w:t>’</w:t>
      </w:r>
      <w:r w:rsidRPr="00E53A2A">
        <w:rPr>
          <w:lang w:val="fr-FR"/>
        </w:rPr>
        <w:t xml:space="preserve">il est défini dans le Règlement </w:t>
      </w:r>
      <w:r w:rsidR="00935753" w:rsidRPr="00935753">
        <w:rPr>
          <w:rFonts w:eastAsia="MS Mincho"/>
          <w:lang w:val="fr-FR"/>
        </w:rPr>
        <w:t>n</w:t>
      </w:r>
      <w:r w:rsidR="00935753" w:rsidRPr="00935753">
        <w:rPr>
          <w:rFonts w:eastAsia="MS Mincho"/>
          <w:vertAlign w:val="superscript"/>
          <w:lang w:val="fr-FR"/>
        </w:rPr>
        <w:t>o</w:t>
      </w:r>
      <w:r w:rsidR="00935753">
        <w:rPr>
          <w:lang w:val="fr-FR"/>
        </w:rPr>
        <w:t> 16 (annexe </w:t>
      </w:r>
      <w:r w:rsidRPr="00E53A2A">
        <w:rPr>
          <w:lang w:val="fr-FR"/>
        </w:rPr>
        <w:t>17, ap</w:t>
      </w:r>
      <w:r w:rsidR="00935753">
        <w:rPr>
          <w:lang w:val="fr-FR"/>
        </w:rPr>
        <w:t>pendice </w:t>
      </w:r>
      <w:r w:rsidRPr="00E53A2A">
        <w:rPr>
          <w:lang w:val="fr-FR"/>
        </w:rPr>
        <w:t>2, fig. 2), et le plan horizontal Z du véhicule, tel qu</w:t>
      </w:r>
      <w:r w:rsidR="00A07264">
        <w:rPr>
          <w:lang w:val="fr-FR"/>
        </w:rPr>
        <w:t>’</w:t>
      </w:r>
      <w:r w:rsidRPr="00E53A2A">
        <w:rPr>
          <w:lang w:val="fr-FR"/>
        </w:rPr>
        <w:t xml:space="preserve">il est défini dans le Règlement </w:t>
      </w:r>
      <w:r w:rsidR="00935753" w:rsidRPr="00935753">
        <w:rPr>
          <w:rFonts w:eastAsia="MS Mincho"/>
          <w:lang w:val="fr-FR"/>
        </w:rPr>
        <w:t>n</w:t>
      </w:r>
      <w:r w:rsidR="00935753" w:rsidRPr="00935753">
        <w:rPr>
          <w:rFonts w:eastAsia="MS Mincho"/>
          <w:vertAlign w:val="superscript"/>
          <w:lang w:val="fr-FR"/>
        </w:rPr>
        <w:t>o</w:t>
      </w:r>
      <w:r w:rsidR="00935753">
        <w:rPr>
          <w:lang w:val="fr-FR"/>
        </w:rPr>
        <w:t> </w:t>
      </w:r>
      <w:r w:rsidRPr="00E53A2A">
        <w:rPr>
          <w:lang w:val="fr-FR"/>
        </w:rPr>
        <w:t>14 (annexe 4, appendice 2), le gabarit étant installé dans</w:t>
      </w:r>
      <w:r w:rsidR="00935753">
        <w:rPr>
          <w:lang w:val="fr-FR"/>
        </w:rPr>
        <w:t> </w:t>
      </w:r>
      <w:r w:rsidRPr="00E53A2A">
        <w:rPr>
          <w:lang w:val="fr-FR"/>
        </w:rPr>
        <w:t xml:space="preserve">le véhicule comme prescrit dans le Règlement </w:t>
      </w:r>
      <w:r w:rsidR="00935753" w:rsidRPr="00935753">
        <w:rPr>
          <w:rFonts w:eastAsia="MS Mincho"/>
          <w:lang w:val="fr-FR"/>
        </w:rPr>
        <w:t>n</w:t>
      </w:r>
      <w:r w:rsidR="00935753" w:rsidRPr="00935753">
        <w:rPr>
          <w:rFonts w:eastAsia="MS Mincho"/>
          <w:vertAlign w:val="superscript"/>
          <w:lang w:val="fr-FR"/>
        </w:rPr>
        <w:t>o</w:t>
      </w:r>
      <w:r w:rsidR="00935753">
        <w:rPr>
          <w:lang w:val="fr-FR"/>
        </w:rPr>
        <w:t> 16 (annexe 17, appendice </w:t>
      </w:r>
      <w:r w:rsidRPr="00E53A2A">
        <w:rPr>
          <w:lang w:val="fr-FR"/>
        </w:rPr>
        <w:t>2).</w:t>
      </w:r>
      <w:r w:rsidR="00935753">
        <w:rPr>
          <w:lang w:val="fr-FR"/>
        </w:rPr>
        <w:t> </w:t>
      </w:r>
      <w:r w:rsidRPr="00E53A2A">
        <w:rPr>
          <w:lang w:val="fr-FR"/>
        </w:rPr>
        <w:t>».</w:t>
      </w:r>
    </w:p>
    <w:p w:rsidR="00B15577" w:rsidRPr="00E53A2A" w:rsidRDefault="00B15577" w:rsidP="00935753">
      <w:pPr>
        <w:pStyle w:val="SingleTxtG"/>
        <w:keepNext/>
      </w:pPr>
      <w:r w:rsidRPr="00E53A2A">
        <w:rPr>
          <w:i/>
          <w:iCs/>
          <w:lang w:val="fr-FR"/>
        </w:rPr>
        <w:t>Paragraphe 2.17.1</w:t>
      </w:r>
      <w:r w:rsidRPr="007F4B13">
        <w:rPr>
          <w:iCs/>
          <w:lang w:val="fr-FR"/>
        </w:rPr>
        <w:t>,</w:t>
      </w:r>
      <w:r w:rsidRPr="007F4B13">
        <w:rPr>
          <w:lang w:val="fr-FR"/>
        </w:rPr>
        <w:t xml:space="preserve"> </w:t>
      </w:r>
      <w:r w:rsidRPr="00E53A2A">
        <w:rPr>
          <w:lang w:val="fr-FR"/>
        </w:rPr>
        <w:t>modifier comme suit</w:t>
      </w:r>
      <w:r w:rsidR="001140A3">
        <w:rPr>
          <w:lang w:val="fr-FR"/>
        </w:rPr>
        <w:t> :</w:t>
      </w:r>
    </w:p>
    <w:p w:rsidR="00B15577" w:rsidRPr="00E53A2A" w:rsidRDefault="00B15577" w:rsidP="00847E82">
      <w:pPr>
        <w:pStyle w:val="SingleTxtG"/>
        <w:ind w:left="2268" w:hanging="1134"/>
      </w:pPr>
      <w:r w:rsidRPr="00E53A2A">
        <w:t>«</w:t>
      </w:r>
      <w:r w:rsidR="00DF01E4">
        <w:t> </w:t>
      </w:r>
      <w:r w:rsidRPr="00E53A2A">
        <w:rPr>
          <w:lang w:val="fr-FR"/>
        </w:rPr>
        <w:t xml:space="preserve">2.17.1 </w:t>
      </w:r>
      <w:r w:rsidRPr="00E53A2A">
        <w:rPr>
          <w:lang w:val="fr-FR"/>
        </w:rPr>
        <w:tab/>
        <w:t>“</w:t>
      </w:r>
      <w:r w:rsidRPr="007F4B13">
        <w:rPr>
          <w:i/>
          <w:lang w:val="fr-FR"/>
        </w:rPr>
        <w:t>Gabarit ISOFIX du siège du véhicule</w:t>
      </w:r>
      <w:r w:rsidRPr="00E53A2A">
        <w:rPr>
          <w:lang w:val="fr-FR"/>
        </w:rPr>
        <w:t>”, un gabarit correspondant aux enveloppes ISOFIX dont les dimensions sont données aux figures 1 à 7 de l</w:t>
      </w:r>
      <w:r w:rsidR="00A07264">
        <w:rPr>
          <w:lang w:val="fr-FR"/>
        </w:rPr>
        <w:t>’</w:t>
      </w:r>
      <w:r w:rsidRPr="00E53A2A">
        <w:rPr>
          <w:lang w:val="fr-FR"/>
        </w:rPr>
        <w:t>appendice 2 de l</w:t>
      </w:r>
      <w:r w:rsidR="00A07264">
        <w:rPr>
          <w:lang w:val="fr-FR"/>
        </w:rPr>
        <w:t>’</w:t>
      </w:r>
      <w:r w:rsidRPr="00E53A2A">
        <w:rPr>
          <w:lang w:val="fr-FR"/>
        </w:rPr>
        <w:t xml:space="preserve">annexe 17 du Règlement </w:t>
      </w:r>
      <w:r w:rsidR="00DF01E4" w:rsidRPr="00935753">
        <w:rPr>
          <w:rFonts w:eastAsia="MS Mincho"/>
          <w:lang w:val="fr-FR"/>
        </w:rPr>
        <w:t>n</w:t>
      </w:r>
      <w:r w:rsidR="00DF01E4" w:rsidRPr="00935753">
        <w:rPr>
          <w:rFonts w:eastAsia="MS Mincho"/>
          <w:vertAlign w:val="superscript"/>
          <w:lang w:val="fr-FR"/>
        </w:rPr>
        <w:t>o</w:t>
      </w:r>
      <w:r w:rsidR="00DF01E4">
        <w:rPr>
          <w:lang w:val="fr-FR"/>
        </w:rPr>
        <w:t> </w:t>
      </w:r>
      <w:r w:rsidRPr="00E53A2A">
        <w:rPr>
          <w:lang w:val="fr-FR"/>
        </w:rPr>
        <w:t>16, utilisé par le fabricant du dispositif amélioré de retenue pour enfants pour déterminer les dimensions appropriées d</w:t>
      </w:r>
      <w:r w:rsidR="00A07264">
        <w:rPr>
          <w:lang w:val="fr-FR"/>
        </w:rPr>
        <w:t>’</w:t>
      </w:r>
      <w:r w:rsidRPr="00E53A2A">
        <w:rPr>
          <w:lang w:val="fr-FR"/>
        </w:rPr>
        <w:t>un dispositif amélioré de retenue pour enfants ISOFIX et l</w:t>
      </w:r>
      <w:r w:rsidR="00A07264">
        <w:rPr>
          <w:lang w:val="fr-FR"/>
        </w:rPr>
        <w:t>’</w:t>
      </w:r>
      <w:r w:rsidRPr="00E53A2A">
        <w:rPr>
          <w:lang w:val="fr-FR"/>
        </w:rPr>
        <w:t>empl</w:t>
      </w:r>
      <w:r w:rsidR="00DF01E4">
        <w:rPr>
          <w:lang w:val="fr-FR"/>
        </w:rPr>
        <w:t>acement de ses attaches ISOFIX. </w:t>
      </w:r>
      <w:r w:rsidRPr="00E53A2A">
        <w:rPr>
          <w:lang w:val="fr-FR"/>
        </w:rPr>
        <w:t>».</w:t>
      </w:r>
    </w:p>
    <w:p w:rsidR="00DF01E4" w:rsidRDefault="00DF01E4" w:rsidP="00935753">
      <w:pPr>
        <w:pStyle w:val="SingleTxtG"/>
        <w:keepNext/>
        <w:rPr>
          <w:lang w:val="fr-FR"/>
        </w:rPr>
      </w:pPr>
      <w:r>
        <w:rPr>
          <w:i/>
          <w:iCs/>
          <w:lang w:val="fr-FR"/>
        </w:rPr>
        <w:t>Paragraphe 2.</w:t>
      </w:r>
      <w:r w:rsidR="00B15577" w:rsidRPr="00E53A2A">
        <w:rPr>
          <w:i/>
          <w:iCs/>
          <w:lang w:val="fr-FR"/>
        </w:rPr>
        <w:t>56</w:t>
      </w:r>
      <w:r w:rsidR="00B15577" w:rsidRPr="00CE6642">
        <w:rPr>
          <w:iCs/>
          <w:lang w:val="fr-FR"/>
        </w:rPr>
        <w:t>,</w:t>
      </w:r>
      <w:r w:rsidR="00B15577" w:rsidRPr="00E53A2A">
        <w:rPr>
          <w:i/>
          <w:iCs/>
          <w:lang w:val="fr-FR"/>
        </w:rPr>
        <w:t xml:space="preserve"> </w:t>
      </w:r>
      <w:r>
        <w:rPr>
          <w:lang w:val="fr-FR"/>
        </w:rPr>
        <w:t>modifier comme suit :</w:t>
      </w:r>
    </w:p>
    <w:p w:rsidR="00B15577" w:rsidRPr="00E53A2A" w:rsidRDefault="00DF01E4" w:rsidP="007F4B13">
      <w:pPr>
        <w:pStyle w:val="SingleTxtG"/>
        <w:ind w:left="2268"/>
      </w:pPr>
      <w:r>
        <w:rPr>
          <w:lang w:val="fr-FR"/>
        </w:rPr>
        <w:t>Sans objet en français.</w:t>
      </w:r>
    </w:p>
    <w:p w:rsidR="00B15577" w:rsidRPr="00E53A2A" w:rsidRDefault="00B15577" w:rsidP="00DF01E4">
      <w:pPr>
        <w:pStyle w:val="SingleTxtG"/>
        <w:keepNext/>
      </w:pPr>
      <w:r w:rsidRPr="00E53A2A">
        <w:rPr>
          <w:i/>
          <w:iCs/>
          <w:lang w:val="fr-FR"/>
        </w:rPr>
        <w:t>Paragraphe 4.6</w:t>
      </w:r>
      <w:r w:rsidRPr="00DF01E4">
        <w:rPr>
          <w:iCs/>
          <w:lang w:val="fr-FR"/>
        </w:rPr>
        <w:t>,</w:t>
      </w:r>
      <w:r w:rsidRPr="00E53A2A">
        <w:rPr>
          <w:lang w:val="fr-FR"/>
        </w:rPr>
        <w:t xml:space="preserve"> modifier comme suit</w:t>
      </w:r>
      <w:r w:rsidR="001140A3">
        <w:rPr>
          <w:lang w:val="fr-FR"/>
        </w:rPr>
        <w:t> :</w:t>
      </w:r>
    </w:p>
    <w:p w:rsidR="00B15577" w:rsidRPr="00E53A2A" w:rsidRDefault="00B15577" w:rsidP="00847E82">
      <w:pPr>
        <w:pStyle w:val="SingleTxtG"/>
        <w:ind w:left="2268" w:hanging="1134"/>
      </w:pPr>
      <w:r w:rsidRPr="00E53A2A">
        <w:rPr>
          <w:lang w:val="fr-FR"/>
        </w:rPr>
        <w:t>«</w:t>
      </w:r>
      <w:r w:rsidR="00DF01E4">
        <w:rPr>
          <w:lang w:val="fr-FR"/>
        </w:rPr>
        <w:t> </w:t>
      </w:r>
      <w:r w:rsidRPr="00E53A2A">
        <w:rPr>
          <w:lang w:val="fr-FR"/>
        </w:rPr>
        <w:t>4.6</w:t>
      </w:r>
      <w:r w:rsidRPr="00E53A2A">
        <w:rPr>
          <w:lang w:val="fr-FR"/>
        </w:rPr>
        <w:tab/>
        <w:t>Marquage pour un DARE intégral comprenant des attaches ISOFIX</w:t>
      </w:r>
      <w:r w:rsidR="00A7798B">
        <w:rPr>
          <w:lang w:val="fr-FR"/>
        </w:rPr>
        <w:t xml:space="preserve">. </w:t>
      </w:r>
      <w:r w:rsidRPr="00E53A2A">
        <w:rPr>
          <w:lang w:val="fr-FR"/>
        </w:rPr>
        <w:t xml:space="preserve">Le marquage doit être situé sur la partie du DARE </w:t>
      </w:r>
      <w:r w:rsidR="00537AC0">
        <w:rPr>
          <w:lang w:val="fr-FR"/>
        </w:rPr>
        <w:t>où sont placées</w:t>
      </w:r>
      <w:r w:rsidRPr="00E53A2A">
        <w:rPr>
          <w:lang w:val="fr-FR"/>
        </w:rPr>
        <w:t xml:space="preserve"> les attaches ISOFIX.</w:t>
      </w:r>
    </w:p>
    <w:p w:rsidR="00B15577" w:rsidRPr="00E53A2A" w:rsidRDefault="00B15577" w:rsidP="007C1DA0">
      <w:pPr>
        <w:pStyle w:val="SingleTxtG"/>
        <w:ind w:left="2268"/>
      </w:pPr>
      <w:r w:rsidRPr="00E53A2A">
        <w:rPr>
          <w:lang w:val="fr-FR"/>
        </w:rPr>
        <w:t>L</w:t>
      </w:r>
      <w:r w:rsidR="00A07264">
        <w:rPr>
          <w:lang w:val="fr-FR"/>
        </w:rPr>
        <w:t>’</w:t>
      </w:r>
      <w:r w:rsidRPr="00E53A2A">
        <w:rPr>
          <w:lang w:val="fr-FR"/>
        </w:rPr>
        <w:t>une des étiquettes d</w:t>
      </w:r>
      <w:r w:rsidR="00A07264">
        <w:rPr>
          <w:lang w:val="fr-FR"/>
        </w:rPr>
        <w:t>’</w:t>
      </w:r>
      <w:r w:rsidR="00537AC0">
        <w:rPr>
          <w:lang w:val="fr-FR"/>
        </w:rPr>
        <w:t>information</w:t>
      </w:r>
      <w:r w:rsidRPr="00E53A2A">
        <w:rPr>
          <w:lang w:val="fr-FR"/>
        </w:rPr>
        <w:t xml:space="preserve"> suivantes doi</w:t>
      </w:r>
      <w:r w:rsidR="00537AC0">
        <w:rPr>
          <w:lang w:val="fr-FR"/>
        </w:rPr>
        <w:t>t être visible</w:t>
      </w:r>
      <w:r w:rsidRPr="00E53A2A">
        <w:rPr>
          <w:lang w:val="fr-FR"/>
        </w:rPr>
        <w:t xml:space="preserve"> de façon permanente par toute personne installant le dispositif amélioré de retenue dans un véhicule</w:t>
      </w:r>
      <w:r w:rsidR="001140A3">
        <w:rPr>
          <w:lang w:val="fr-FR"/>
        </w:rPr>
        <w:t> :</w:t>
      </w:r>
      <w:r w:rsidRPr="00E53A2A">
        <w:rPr>
          <w:lang w:val="fr-FR"/>
        </w:rPr>
        <w:t xml:space="preserve"> »</w:t>
      </w:r>
      <w:r w:rsidR="007C1DA0">
        <w:rPr>
          <w:lang w:val="fr-FR"/>
        </w:rPr>
        <w:t>.</w:t>
      </w:r>
    </w:p>
    <w:p w:rsidR="00B15577" w:rsidRPr="00E53A2A" w:rsidRDefault="00B15577" w:rsidP="00DF01E4">
      <w:pPr>
        <w:pStyle w:val="SingleTxtG"/>
        <w:keepNext/>
      </w:pPr>
      <w:r w:rsidRPr="00E53A2A">
        <w:rPr>
          <w:i/>
          <w:iCs/>
          <w:lang w:val="fr-FR"/>
        </w:rPr>
        <w:t>Paragraphe 4.6.2,</w:t>
      </w:r>
      <w:r w:rsidRPr="00E53A2A">
        <w:rPr>
          <w:lang w:val="fr-FR"/>
        </w:rPr>
        <w:t xml:space="preserve"> modifier comme suit</w:t>
      </w:r>
      <w:r w:rsidR="001140A3">
        <w:rPr>
          <w:lang w:val="fr-FR"/>
        </w:rPr>
        <w:t> :</w:t>
      </w:r>
    </w:p>
    <w:p w:rsidR="00B15577" w:rsidRPr="00E53A2A" w:rsidRDefault="00B15577" w:rsidP="00044B6A">
      <w:pPr>
        <w:pStyle w:val="SingleTxtG"/>
        <w:ind w:left="2268" w:hanging="1134"/>
      </w:pPr>
      <w:r w:rsidRPr="00E53A2A">
        <w:rPr>
          <w:lang w:val="fr-FR"/>
        </w:rPr>
        <w:t xml:space="preserve">« 4.6.2 </w:t>
      </w:r>
      <w:r w:rsidRPr="00E53A2A">
        <w:rPr>
          <w:lang w:val="fr-FR"/>
        </w:rPr>
        <w:tab/>
        <w:t>DARE ISOFIX spécifique à un véhicule. Si le produit inclut les attaches ISOFIX, les informations suivantes doivent être visibles de façon permanente par toute personne installant le dispositif amélioré de retenue dans un véhicule</w:t>
      </w:r>
      <w:r w:rsidR="001140A3">
        <w:rPr>
          <w:lang w:val="fr-FR"/>
        </w:rPr>
        <w:t> :</w:t>
      </w:r>
    </w:p>
    <w:p w:rsidR="00B15577" w:rsidRPr="00E53A2A" w:rsidRDefault="00B15577" w:rsidP="007C1DA0">
      <w:pPr>
        <w:pStyle w:val="SingleTxtG"/>
        <w:ind w:left="2268"/>
        <w:rPr>
          <w:lang w:val="fr-FR"/>
        </w:rPr>
      </w:pPr>
      <w:r w:rsidRPr="00E53A2A">
        <w:rPr>
          <w:lang w:val="fr-FR"/>
        </w:rPr>
        <w:t xml:space="preserve">Le logo ISO </w:t>
      </w:r>
      <w:r w:rsidR="00DF01E4">
        <w:rPr>
          <w:lang w:val="fr-FR"/>
        </w:rPr>
        <w:t>−</w:t>
      </w:r>
      <w:r w:rsidRPr="00E53A2A">
        <w:rPr>
          <w:lang w:val="fr-FR"/>
        </w:rPr>
        <w:t xml:space="preserve"> ISOFIX </w:t>
      </w:r>
      <w:r w:rsidR="00DF01E4">
        <w:rPr>
          <w:lang w:val="fr-FR"/>
        </w:rPr>
        <w:t>−</w:t>
      </w:r>
      <w:r w:rsidR="00537AC0">
        <w:rPr>
          <w:lang w:val="fr-FR"/>
        </w:rPr>
        <w:t xml:space="preserve"> suivi de la ou des </w:t>
      </w:r>
      <w:r w:rsidRPr="00E53A2A">
        <w:rPr>
          <w:lang w:val="fr-FR"/>
        </w:rPr>
        <w:t xml:space="preserve">référence(s) identifiant le </w:t>
      </w:r>
      <w:r w:rsidR="00537AC0">
        <w:rPr>
          <w:lang w:val="fr-FR"/>
        </w:rPr>
        <w:t>ou les</w:t>
      </w:r>
      <w:r w:rsidRPr="00E53A2A">
        <w:rPr>
          <w:lang w:val="fr-FR"/>
        </w:rPr>
        <w:t xml:space="preserve"> gabarit(s) de taille ISOFIX à laquelle appartient le produit. Au minimum, un symbole consistant en un cercle de 13</w:t>
      </w:r>
      <w:r w:rsidR="00DF01E4">
        <w:rPr>
          <w:lang w:val="fr-FR"/>
        </w:rPr>
        <w:t> </w:t>
      </w:r>
      <w:r w:rsidRPr="00E53A2A">
        <w:rPr>
          <w:lang w:val="fr-FR"/>
        </w:rPr>
        <w:t>mm de diamètre minimum et contenant un pictogramme, le pictogramme devant contraster avec le fond du cercle. Le</w:t>
      </w:r>
      <w:r w:rsidR="00DF01E4">
        <w:rPr>
          <w:lang w:val="fr-FR"/>
        </w:rPr>
        <w:t> </w:t>
      </w:r>
      <w:r w:rsidRPr="00E53A2A">
        <w:rPr>
          <w:lang w:val="fr-FR"/>
        </w:rPr>
        <w:t>pictogramme doit être clairement visible, soit grâce à des couleurs contrastées soit parce qu</w:t>
      </w:r>
      <w:r w:rsidR="00A07264">
        <w:rPr>
          <w:lang w:val="fr-FR"/>
        </w:rPr>
        <w:t>’</w:t>
      </w:r>
      <w:r w:rsidRPr="00E53A2A">
        <w:rPr>
          <w:lang w:val="fr-FR"/>
        </w:rPr>
        <w:t>il est moulé ou marqué en relief.</w:t>
      </w:r>
    </w:p>
    <w:p w:rsidR="00B15577" w:rsidRPr="00DF01E4" w:rsidRDefault="00B15577" w:rsidP="00DF01E4">
      <w:pPr>
        <w:pStyle w:val="para"/>
        <w:ind w:firstLine="0"/>
        <w:rPr>
          <w:lang w:val="fr-FR"/>
        </w:rPr>
      </w:pPr>
      <w:r w:rsidRPr="00E53A2A">
        <w:rPr>
          <w:i/>
          <w:iCs/>
          <w:noProof/>
          <w:lang w:eastAsia="en-GB"/>
        </w:rPr>
        <w:drawing>
          <wp:inline distT="0" distB="0" distL="0" distR="0" wp14:anchorId="09FAF698" wp14:editId="7BD2CF40">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rsidR="00DF01E4" w:rsidRPr="00DF01E4">
        <w:rPr>
          <w:lang w:val="fr-FR"/>
        </w:rPr>
        <w:t xml:space="preserve"> </w:t>
      </w:r>
      <w:r w:rsidR="00DF01E4" w:rsidRPr="00E53A2A">
        <w:rPr>
          <w:lang w:val="fr-FR"/>
        </w:rPr>
        <w:tab/>
        <w:t>ISO/F2, ISO/R3 et ISO/L1</w:t>
      </w:r>
    </w:p>
    <w:p w:rsidR="00B15577" w:rsidRPr="00E53A2A" w:rsidRDefault="00B15577" w:rsidP="00304DFA">
      <w:pPr>
        <w:pStyle w:val="SingleTxtG"/>
        <w:ind w:left="2268"/>
      </w:pPr>
      <w:r w:rsidRPr="00E53A2A">
        <w:rPr>
          <w:lang w:val="fr-FR"/>
        </w:rPr>
        <w:lastRenderedPageBreak/>
        <w:t>Le dispositif amélioré de retenue pour enfants ISOFIX spécifique à un véhicule doit comporter, fixée de manière permanente, une étiquette visible par toute personne installant le dispositif amélioré de retenue dans un véhicule, portant l</w:t>
      </w:r>
      <w:r w:rsidR="00A07264">
        <w:rPr>
          <w:lang w:val="fr-FR"/>
        </w:rPr>
        <w:t>’</w:t>
      </w:r>
      <w:r w:rsidRPr="00E53A2A">
        <w:rPr>
          <w:lang w:val="fr-FR"/>
        </w:rPr>
        <w:t>inscription suivante</w:t>
      </w:r>
      <w:r w:rsidR="001140A3">
        <w:rPr>
          <w:lang w:val="fr-FR"/>
        </w:rPr>
        <w:t> :</w:t>
      </w:r>
    </w:p>
    <w:p w:rsidR="00B15577" w:rsidRPr="00E53A2A" w:rsidRDefault="00B15577" w:rsidP="00304DFA">
      <w:pPr>
        <w:pStyle w:val="SingleTxtG"/>
        <w:ind w:left="2268"/>
        <w:rPr>
          <w:lang w:val="fr-FR"/>
        </w:rPr>
      </w:pPr>
      <w:r w:rsidRPr="00E53A2A">
        <w:rPr>
          <w:lang w:val="fr-FR"/>
        </w:rPr>
        <w:t>IS</w:t>
      </w:r>
      <w:r w:rsidR="00F752CD">
        <w:rPr>
          <w:lang w:val="fr-FR"/>
        </w:rPr>
        <w:t>OFIX spécifique à un véhicule</w:t>
      </w:r>
      <w:r w:rsidR="00060C39">
        <w:rPr>
          <w:lang w:val="fr-FR"/>
        </w:rPr>
        <w:t xml:space="preserve"> </w:t>
      </w:r>
      <w:r w:rsidRPr="00E53A2A">
        <w:rPr>
          <w:lang w:val="fr-FR"/>
        </w:rPr>
        <w:t xml:space="preserve">  </w:t>
      </w:r>
      <w:r w:rsidRPr="00E53A2A">
        <w:rPr>
          <w:i/>
          <w:iCs/>
          <w:noProof/>
          <w:lang w:val="en-GB" w:eastAsia="en-GB"/>
        </w:rPr>
        <w:drawing>
          <wp:inline distT="0" distB="0" distL="0" distR="0" wp14:anchorId="6165C6A1" wp14:editId="1881FC69">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rsidR="00F752CD">
        <w:rPr>
          <w:lang w:val="fr-FR"/>
        </w:rPr>
        <w:t> </w:t>
      </w:r>
      <w:r w:rsidRPr="00E53A2A">
        <w:rPr>
          <w:lang w:val="fr-FR"/>
        </w:rPr>
        <w:t>»</w:t>
      </w:r>
      <w:r w:rsidR="00F752CD">
        <w:rPr>
          <w:lang w:val="fr-FR"/>
        </w:rPr>
        <w:t>.</w:t>
      </w:r>
    </w:p>
    <w:p w:rsidR="00B15577" w:rsidRPr="00E53A2A" w:rsidRDefault="00B15577" w:rsidP="00E53A2A">
      <w:pPr>
        <w:pStyle w:val="para"/>
        <w:ind w:firstLine="0"/>
        <w:jc w:val="center"/>
        <w:rPr>
          <w:lang w:val="fr-CH"/>
        </w:rPr>
      </w:pPr>
    </w:p>
    <w:p w:rsidR="00B15577" w:rsidRPr="00E53A2A" w:rsidRDefault="00B15577" w:rsidP="00F752CD">
      <w:pPr>
        <w:pStyle w:val="SingleTxtG"/>
        <w:keepNext/>
      </w:pPr>
      <w:r w:rsidRPr="00E53A2A">
        <w:rPr>
          <w:i/>
          <w:iCs/>
          <w:lang w:val="fr-FR"/>
        </w:rPr>
        <w:t>Paragraphe 4.6.3</w:t>
      </w:r>
      <w:r w:rsidRPr="00C82743">
        <w:rPr>
          <w:iCs/>
          <w:lang w:val="fr-FR"/>
        </w:rPr>
        <w:t>,</w:t>
      </w:r>
      <w:r w:rsidRPr="00C82743">
        <w:rPr>
          <w:lang w:val="fr-FR"/>
        </w:rPr>
        <w:t xml:space="preserve"> </w:t>
      </w:r>
      <w:r w:rsidRPr="00E53A2A">
        <w:rPr>
          <w:lang w:val="fr-FR"/>
        </w:rPr>
        <w:t>modifier comme suit</w:t>
      </w:r>
      <w:r w:rsidR="00C82743">
        <w:rPr>
          <w:lang w:val="fr-FR"/>
        </w:rPr>
        <w:t> :</w:t>
      </w:r>
    </w:p>
    <w:p w:rsidR="00C82743" w:rsidRPr="00E53A2A" w:rsidRDefault="00C82743" w:rsidP="007F4B13">
      <w:pPr>
        <w:pStyle w:val="SingleTxtG"/>
        <w:ind w:left="2268"/>
      </w:pPr>
      <w:r>
        <w:rPr>
          <w:lang w:val="fr-FR"/>
        </w:rPr>
        <w:t>Sans objet en français.</w:t>
      </w:r>
    </w:p>
    <w:p w:rsidR="00B15577" w:rsidRPr="00E53A2A" w:rsidRDefault="00B15577" w:rsidP="00F752CD">
      <w:pPr>
        <w:pStyle w:val="SingleTxtG"/>
        <w:keepNext/>
      </w:pPr>
      <w:r w:rsidRPr="00E53A2A">
        <w:rPr>
          <w:i/>
          <w:iCs/>
          <w:lang w:val="fr-FR"/>
        </w:rPr>
        <w:t>Paragraphe 5.4.3.1</w:t>
      </w:r>
      <w:r w:rsidRPr="00C82743">
        <w:rPr>
          <w:iCs/>
          <w:lang w:val="fr-FR"/>
        </w:rPr>
        <w:t>,</w:t>
      </w:r>
      <w:r w:rsidR="00C82743">
        <w:rPr>
          <w:lang w:val="fr-FR"/>
        </w:rPr>
        <w:t xml:space="preserve"> modifier comme suit :</w:t>
      </w:r>
    </w:p>
    <w:p w:rsidR="00B15577" w:rsidRPr="00E53A2A" w:rsidRDefault="00C82743" w:rsidP="007F4B13">
      <w:pPr>
        <w:pStyle w:val="SingleTxtG"/>
        <w:ind w:left="2268"/>
      </w:pPr>
      <w:r>
        <w:rPr>
          <w:lang w:val="fr-FR"/>
        </w:rPr>
        <w:t>Sans objet en français.</w:t>
      </w:r>
    </w:p>
    <w:p w:rsidR="00B15577" w:rsidRPr="00E53A2A" w:rsidRDefault="00B15577" w:rsidP="00F752CD">
      <w:pPr>
        <w:pStyle w:val="SingleTxtG"/>
        <w:keepNext/>
      </w:pPr>
      <w:r w:rsidRPr="00E53A2A">
        <w:rPr>
          <w:i/>
          <w:iCs/>
          <w:lang w:val="fr-FR"/>
        </w:rPr>
        <w:t>Paragraphe 6.3.2.1</w:t>
      </w:r>
      <w:r w:rsidRPr="00C82743">
        <w:rPr>
          <w:iCs/>
          <w:lang w:val="fr-FR"/>
        </w:rPr>
        <w:t>,</w:t>
      </w:r>
      <w:r w:rsidRPr="00E53A2A">
        <w:rPr>
          <w:lang w:val="fr-FR"/>
        </w:rPr>
        <w:t xml:space="preserve"> modifier comme suit</w:t>
      </w:r>
      <w:r w:rsidR="001140A3">
        <w:rPr>
          <w:lang w:val="fr-FR"/>
        </w:rPr>
        <w:t> :</w:t>
      </w:r>
    </w:p>
    <w:p w:rsidR="00B15577" w:rsidRPr="00E53A2A" w:rsidRDefault="00B15577" w:rsidP="00C82743">
      <w:pPr>
        <w:pStyle w:val="SingleTxtG"/>
        <w:keepNext/>
        <w:ind w:left="2268" w:hanging="1134"/>
        <w:jc w:val="left"/>
      </w:pPr>
      <w:r w:rsidRPr="00E53A2A">
        <w:rPr>
          <w:lang w:val="fr-FR"/>
        </w:rPr>
        <w:t>«</w:t>
      </w:r>
      <w:r w:rsidR="00C82743">
        <w:rPr>
          <w:lang w:val="fr-FR"/>
        </w:rPr>
        <w:t> 6.3.2.1</w:t>
      </w:r>
      <w:r w:rsidRPr="00E53A2A">
        <w:rPr>
          <w:lang w:val="fr-FR"/>
        </w:rPr>
        <w:t xml:space="preserve"> </w:t>
      </w:r>
      <w:r w:rsidRPr="00E53A2A">
        <w:rPr>
          <w:lang w:val="fr-FR"/>
        </w:rPr>
        <w:tab/>
        <w:t>Dimensions internes</w:t>
      </w:r>
    </w:p>
    <w:p w:rsidR="00B15577" w:rsidRPr="00E53A2A" w:rsidRDefault="00B15577" w:rsidP="00C82743">
      <w:pPr>
        <w:pStyle w:val="SingleTxtG"/>
        <w:ind w:left="2268"/>
      </w:pPr>
      <w:r w:rsidRPr="00E53A2A">
        <w:rPr>
          <w:lang w:val="fr-FR"/>
        </w:rPr>
        <w:t>Le service technique chargé des essais d</w:t>
      </w:r>
      <w:r w:rsidR="00A07264">
        <w:rPr>
          <w:lang w:val="fr-FR"/>
        </w:rPr>
        <w:t>’</w:t>
      </w:r>
      <w:r w:rsidRPr="00E53A2A">
        <w:rPr>
          <w:lang w:val="fr-FR"/>
        </w:rPr>
        <w:t>homologation doit vérifier que les dimensions internes des dispositifs améliorés de retenue pour enfants satisfont aux prescriptions de l</w:t>
      </w:r>
      <w:r w:rsidR="00A07264">
        <w:rPr>
          <w:lang w:val="fr-FR"/>
        </w:rPr>
        <w:t>’</w:t>
      </w:r>
      <w:r w:rsidR="00A20A23">
        <w:rPr>
          <w:lang w:val="fr-FR"/>
        </w:rPr>
        <w:t>annexe </w:t>
      </w:r>
      <w:r w:rsidRPr="00E53A2A">
        <w:rPr>
          <w:lang w:val="fr-FR"/>
        </w:rPr>
        <w:t>18. Les dimensions minimales concernant la largeur des épaules, la largeur des hanches, et la hauteur en position assise doivent être respectées simultanément pour toutes les tailles comprises dans la gamme déclarée par le fabricant. Les dispositifs améliorés de retenue pour enfants de classe intégrale doivent aussi respecter les dimensions minimale et maximale de la hauteur des épaules, pour toutes les tailles comprises dans la gamme déclarée par le fabricant.</w:t>
      </w:r>
    </w:p>
    <w:p w:rsidR="00B15577" w:rsidRPr="00E53A2A" w:rsidRDefault="00B15577" w:rsidP="00C82743">
      <w:pPr>
        <w:pStyle w:val="SingleTxtG"/>
        <w:ind w:left="2268"/>
      </w:pPr>
      <w:r w:rsidRPr="00E53A2A">
        <w:rPr>
          <w:lang w:val="fr-FR"/>
        </w:rPr>
        <w:t>Les dispositifs améliorés de retenue pour enfants de classe non intégrale doivent aussi respecter les dimensions maximales de la hauteur des épaules, pour toutes les tailles comprises dans la gamme déclarée par le fabricant.</w:t>
      </w:r>
      <w:r w:rsidR="00312599">
        <w:rPr>
          <w:lang w:val="fr-FR"/>
        </w:rPr>
        <w:t> </w:t>
      </w:r>
      <w:r w:rsidRPr="00E53A2A">
        <w:rPr>
          <w:lang w:val="fr-FR"/>
        </w:rPr>
        <w:t>».</w:t>
      </w:r>
    </w:p>
    <w:p w:rsidR="00B15577" w:rsidRPr="00E53A2A" w:rsidRDefault="00B15577" w:rsidP="00F752CD">
      <w:pPr>
        <w:pStyle w:val="SingleTxtG"/>
        <w:keepNext/>
      </w:pPr>
      <w:r w:rsidRPr="00E53A2A">
        <w:rPr>
          <w:i/>
          <w:iCs/>
          <w:lang w:val="fr-FR"/>
        </w:rPr>
        <w:t>Paragraphe 6.3.2.2.1</w:t>
      </w:r>
      <w:r w:rsidRPr="00A7798B">
        <w:rPr>
          <w:iCs/>
          <w:lang w:val="fr-FR"/>
        </w:rPr>
        <w:t>,</w:t>
      </w:r>
      <w:r w:rsidRPr="00A7798B">
        <w:rPr>
          <w:lang w:val="fr-FR"/>
        </w:rPr>
        <w:t xml:space="preserve"> </w:t>
      </w:r>
      <w:r w:rsidRPr="00E53A2A">
        <w:rPr>
          <w:lang w:val="fr-FR"/>
        </w:rPr>
        <w:t>modifier comme suit</w:t>
      </w:r>
      <w:r w:rsidR="001140A3">
        <w:rPr>
          <w:lang w:val="fr-FR"/>
        </w:rPr>
        <w:t> :</w:t>
      </w:r>
    </w:p>
    <w:p w:rsidR="00B15577" w:rsidRPr="00944913" w:rsidRDefault="00312599" w:rsidP="00944913">
      <w:pPr>
        <w:pStyle w:val="SingleTxtG"/>
        <w:keepNext/>
        <w:ind w:left="2268" w:hanging="1134"/>
        <w:jc w:val="left"/>
        <w:rPr>
          <w:lang w:val="fr-FR"/>
        </w:rPr>
      </w:pPr>
      <w:r>
        <w:rPr>
          <w:lang w:val="fr-FR"/>
        </w:rPr>
        <w:t>« 6.3.2.2.1</w:t>
      </w:r>
      <w:r w:rsidR="00B15577" w:rsidRPr="00E53A2A">
        <w:rPr>
          <w:lang w:val="fr-FR"/>
        </w:rPr>
        <w:t xml:space="preserve"> </w:t>
      </w:r>
      <w:r w:rsidR="00B15577" w:rsidRPr="00E53A2A">
        <w:rPr>
          <w:lang w:val="fr-FR"/>
        </w:rPr>
        <w:tab/>
        <w:t>Dispositifs améliorés de retenue pour enfants de classe intégrale</w:t>
      </w:r>
    </w:p>
    <w:p w:rsidR="00B15577" w:rsidRPr="00E53A2A" w:rsidRDefault="00B15577" w:rsidP="00C82743">
      <w:pPr>
        <w:pStyle w:val="SingleTxtG"/>
        <w:ind w:left="2268"/>
      </w:pPr>
      <w:r w:rsidRPr="00E53A2A">
        <w:rPr>
          <w:lang w:val="fr-FR"/>
        </w:rPr>
        <w:t>Les dimensions maximales en largeur, hauteur et profondeur du dispositif amélioré de retenue pour enfants et les emplacements des ancrages ISOFIX dans lesquels doivent s</w:t>
      </w:r>
      <w:r w:rsidR="00A07264">
        <w:rPr>
          <w:lang w:val="fr-FR"/>
        </w:rPr>
        <w:t>’</w:t>
      </w:r>
      <w:r w:rsidRPr="00E53A2A">
        <w:rPr>
          <w:lang w:val="fr-FR"/>
        </w:rPr>
        <w:t>enclencher les attaches sont définis par le gabarit du siège du véhicule, défini au paragra</w:t>
      </w:r>
      <w:r w:rsidR="00A7798B">
        <w:rPr>
          <w:lang w:val="fr-FR"/>
        </w:rPr>
        <w:t>phe 2.17.1 du présent Règlement :</w:t>
      </w:r>
    </w:p>
    <w:p w:rsidR="00B15577" w:rsidRPr="00E53A2A" w:rsidRDefault="00B15577" w:rsidP="00A07264">
      <w:pPr>
        <w:pStyle w:val="SingleTxtG"/>
        <w:ind w:left="2835" w:hanging="567"/>
      </w:pPr>
      <w:r w:rsidRPr="00E53A2A">
        <w:rPr>
          <w:lang w:val="fr-FR"/>
        </w:rPr>
        <w:t xml:space="preserve">a) </w:t>
      </w:r>
      <w:r w:rsidRPr="00E53A2A">
        <w:rPr>
          <w:lang w:val="fr-FR"/>
        </w:rPr>
        <w:tab/>
        <w:t>Les dispositifs améliorés de retenue pour enfants faisant face vers l</w:t>
      </w:r>
      <w:r w:rsidR="00A07264">
        <w:rPr>
          <w:lang w:val="fr-FR"/>
        </w:rPr>
        <w:t>’</w:t>
      </w:r>
      <w:r w:rsidRPr="00E53A2A">
        <w:rPr>
          <w:lang w:val="fr-FR"/>
        </w:rPr>
        <w:t xml:space="preserve">avant de type </w:t>
      </w:r>
      <w:proofErr w:type="spellStart"/>
      <w:r w:rsidRPr="00E53A2A">
        <w:rPr>
          <w:lang w:val="fr-FR"/>
        </w:rPr>
        <w:t>i-Size</w:t>
      </w:r>
      <w:proofErr w:type="spellEnd"/>
      <w:r w:rsidRPr="00E53A2A">
        <w:rPr>
          <w:lang w:val="fr-FR"/>
        </w:rPr>
        <w:t xml:space="preserve"> doivent pouvoir rentrer dans une enveloppe ISO/F2X (dispositif de retenue pour </w:t>
      </w:r>
      <w:r w:rsidR="00726C50">
        <w:rPr>
          <w:lang w:val="fr-FR"/>
        </w:rPr>
        <w:t>tout-petits</w:t>
      </w:r>
      <w:r w:rsidRPr="00E53A2A">
        <w:rPr>
          <w:lang w:val="fr-FR"/>
        </w:rPr>
        <w:t xml:space="preserve"> enfants faisant face vers l</w:t>
      </w:r>
      <w:r w:rsidR="00A07264">
        <w:rPr>
          <w:lang w:val="fr-FR"/>
        </w:rPr>
        <w:t>’</w:t>
      </w:r>
      <w:r w:rsidRPr="00E53A2A">
        <w:rPr>
          <w:lang w:val="fr-FR"/>
        </w:rPr>
        <w:t>avant et de hauteur réduite)</w:t>
      </w:r>
      <w:r w:rsidR="001140A3">
        <w:rPr>
          <w:lang w:val="fr-FR"/>
        </w:rPr>
        <w:t> ;</w:t>
      </w:r>
    </w:p>
    <w:p w:rsidR="00B15577" w:rsidRPr="00E53A2A" w:rsidRDefault="00B15577" w:rsidP="00A07264">
      <w:pPr>
        <w:pStyle w:val="SingleTxtG"/>
        <w:ind w:left="2835" w:hanging="567"/>
      </w:pPr>
      <w:r w:rsidRPr="00E53A2A">
        <w:t xml:space="preserve">b) </w:t>
      </w:r>
      <w:r w:rsidRPr="00E53A2A">
        <w:tab/>
        <w:t>Les dispositifs améliorés de retenue pour enfants faisant face vers l</w:t>
      </w:r>
      <w:r w:rsidR="00A07264">
        <w:t>’</w:t>
      </w:r>
      <w:r w:rsidRPr="00E53A2A">
        <w:t xml:space="preserve">arrière de type </w:t>
      </w:r>
      <w:proofErr w:type="spellStart"/>
      <w:r w:rsidRPr="00E53A2A">
        <w:t>i-Size</w:t>
      </w:r>
      <w:proofErr w:type="spellEnd"/>
      <w:r w:rsidRPr="00E53A2A">
        <w:t xml:space="preserve"> doivent pouvoir rentrer dans une enveloppe ISO/R2 (dispositif de retenue pour </w:t>
      </w:r>
      <w:r w:rsidR="00726C50">
        <w:rPr>
          <w:lang w:val="fr-FR"/>
        </w:rPr>
        <w:t>tout-petits</w:t>
      </w:r>
      <w:r w:rsidR="00726C50" w:rsidRPr="00E53A2A">
        <w:rPr>
          <w:lang w:val="fr-FR"/>
        </w:rPr>
        <w:t xml:space="preserve"> </w:t>
      </w:r>
      <w:r w:rsidRPr="00E53A2A">
        <w:t>enfants faisant face vers l</w:t>
      </w:r>
      <w:r w:rsidR="00A07264">
        <w:t>’</w:t>
      </w:r>
      <w:r w:rsidRPr="00E53A2A">
        <w:t>arrière et de taille réduite)</w:t>
      </w:r>
      <w:r w:rsidR="001140A3">
        <w:t> ;</w:t>
      </w:r>
    </w:p>
    <w:p w:rsidR="00B15577" w:rsidRPr="00E53A2A" w:rsidRDefault="00B15577" w:rsidP="00A07264">
      <w:pPr>
        <w:pStyle w:val="SingleTxtG"/>
        <w:ind w:left="2835" w:hanging="567"/>
      </w:pPr>
      <w:r w:rsidRPr="00A07264">
        <w:t xml:space="preserve">c) </w:t>
      </w:r>
      <w:r w:rsidRPr="00A07264">
        <w:tab/>
        <w:t>Les dispositifs améliorés de retenue pour enfants ISOFIX spécifiques à un véhicule doivent pouvoir</w:t>
      </w:r>
      <w:r w:rsidR="001140A3" w:rsidRPr="00A07264">
        <w:t> :</w:t>
      </w:r>
    </w:p>
    <w:p w:rsidR="00B15577" w:rsidRPr="00E53A2A" w:rsidRDefault="00B15577" w:rsidP="00A07264">
      <w:pPr>
        <w:pStyle w:val="SingleTxtG"/>
        <w:ind w:left="3402" w:hanging="567"/>
      </w:pPr>
      <w:r w:rsidRPr="00E53A2A">
        <w:rPr>
          <w:lang w:val="fr-FR"/>
        </w:rPr>
        <w:t>i)</w:t>
      </w:r>
      <w:r w:rsidRPr="00E53A2A">
        <w:rPr>
          <w:lang w:val="fr-FR"/>
        </w:rPr>
        <w:tab/>
      </w:r>
      <w:r w:rsidR="00A07264">
        <w:rPr>
          <w:lang w:val="fr-FR"/>
        </w:rPr>
        <w:t>Ê</w:t>
      </w:r>
      <w:r w:rsidRPr="00E53A2A">
        <w:rPr>
          <w:lang w:val="fr-FR"/>
        </w:rPr>
        <w:t>tre</w:t>
      </w:r>
      <w:r w:rsidR="00B62F33">
        <w:rPr>
          <w:lang w:val="fr-FR"/>
        </w:rPr>
        <w:t xml:space="preserve"> installés dans un ou plusieurs</w:t>
      </w:r>
      <w:r w:rsidRPr="00E53A2A">
        <w:rPr>
          <w:lang w:val="fr-FR"/>
        </w:rPr>
        <w:t xml:space="preserve"> véhicules figurant sur une liste</w:t>
      </w:r>
      <w:r w:rsidR="001140A3">
        <w:rPr>
          <w:lang w:val="fr-FR"/>
        </w:rPr>
        <w:t> ;</w:t>
      </w:r>
      <w:r w:rsidRPr="00E53A2A">
        <w:rPr>
          <w:lang w:val="fr-FR"/>
        </w:rPr>
        <w:t xml:space="preserve"> ou </w:t>
      </w:r>
    </w:p>
    <w:p w:rsidR="00B15577" w:rsidRPr="00E53A2A" w:rsidRDefault="00B15577" w:rsidP="00B62F33">
      <w:pPr>
        <w:pStyle w:val="SingleTxtG"/>
        <w:ind w:left="3402" w:hanging="567"/>
      </w:pPr>
      <w:r w:rsidRPr="00E53A2A">
        <w:rPr>
          <w:lang w:val="fr-FR"/>
        </w:rPr>
        <w:t>ii)</w:t>
      </w:r>
      <w:r w:rsidRPr="00E53A2A">
        <w:rPr>
          <w:lang w:val="fr-FR"/>
        </w:rPr>
        <w:tab/>
        <w:t xml:space="preserve">Rentrer dans au moins une des enveloppes ISO (R1, </w:t>
      </w:r>
      <w:r w:rsidR="001E58AA" w:rsidRPr="00E53A2A">
        <w:rPr>
          <w:lang w:val="fr-FR"/>
        </w:rPr>
        <w:t>R2</w:t>
      </w:r>
      <w:r w:rsidR="001E58AA">
        <w:rPr>
          <w:lang w:val="fr-FR"/>
        </w:rPr>
        <w:t>X</w:t>
      </w:r>
      <w:r w:rsidR="001E58AA" w:rsidRPr="00E53A2A">
        <w:rPr>
          <w:lang w:val="fr-FR"/>
        </w:rPr>
        <w:t>,</w:t>
      </w:r>
      <w:r w:rsidR="001E58AA" w:rsidRPr="001E58AA">
        <w:rPr>
          <w:lang w:val="fr-FR"/>
        </w:rPr>
        <w:t xml:space="preserve"> </w:t>
      </w:r>
      <w:r w:rsidR="001E58AA" w:rsidRPr="00E53A2A">
        <w:rPr>
          <w:lang w:val="fr-FR"/>
        </w:rPr>
        <w:t>R2,</w:t>
      </w:r>
      <w:r w:rsidRPr="00E53A2A">
        <w:rPr>
          <w:lang w:val="fr-FR"/>
        </w:rPr>
        <w:t xml:space="preserve"> R3, F2X, </w:t>
      </w:r>
      <w:r w:rsidR="001E58AA" w:rsidRPr="00E53A2A">
        <w:rPr>
          <w:lang w:val="fr-FR"/>
        </w:rPr>
        <w:t xml:space="preserve">F2, </w:t>
      </w:r>
      <w:r w:rsidRPr="00E53A2A">
        <w:rPr>
          <w:lang w:val="fr-FR"/>
        </w:rPr>
        <w:t>F3, L1</w:t>
      </w:r>
      <w:r w:rsidR="001E58AA">
        <w:rPr>
          <w:lang w:val="fr-FR"/>
        </w:rPr>
        <w:t xml:space="preserve"> ou</w:t>
      </w:r>
      <w:r w:rsidRPr="00E53A2A">
        <w:rPr>
          <w:lang w:val="fr-FR"/>
        </w:rPr>
        <w:t xml:space="preserve"> L2) décrites à l</w:t>
      </w:r>
      <w:r w:rsidR="00A07264">
        <w:rPr>
          <w:lang w:val="fr-FR"/>
        </w:rPr>
        <w:t>’</w:t>
      </w:r>
      <w:r w:rsidRPr="00E53A2A">
        <w:rPr>
          <w:lang w:val="fr-FR"/>
        </w:rPr>
        <w:t>appendice 2 de l</w:t>
      </w:r>
      <w:r w:rsidR="00A07264">
        <w:rPr>
          <w:lang w:val="fr-FR"/>
        </w:rPr>
        <w:t>’</w:t>
      </w:r>
      <w:r w:rsidRPr="00E53A2A">
        <w:rPr>
          <w:lang w:val="fr-FR"/>
        </w:rPr>
        <w:t>annexe</w:t>
      </w:r>
      <w:r w:rsidR="00B62F33">
        <w:rPr>
          <w:lang w:val="fr-FR"/>
        </w:rPr>
        <w:t> </w:t>
      </w:r>
      <w:r w:rsidRPr="00E53A2A">
        <w:rPr>
          <w:lang w:val="fr-FR"/>
        </w:rPr>
        <w:t xml:space="preserve">17 du Règlement </w:t>
      </w:r>
      <w:r w:rsidR="00B62F33" w:rsidRPr="00B62F33">
        <w:rPr>
          <w:rFonts w:eastAsia="MS Mincho"/>
          <w:lang w:val="fr-FR"/>
        </w:rPr>
        <w:t>n</w:t>
      </w:r>
      <w:r w:rsidR="00B62F33" w:rsidRPr="00B62F33">
        <w:rPr>
          <w:rFonts w:eastAsia="MS Mincho"/>
          <w:vertAlign w:val="superscript"/>
          <w:lang w:val="fr-FR"/>
        </w:rPr>
        <w:t>o</w:t>
      </w:r>
      <w:r w:rsidR="00B62F33">
        <w:rPr>
          <w:lang w:val="fr-FR"/>
        </w:rPr>
        <w:t> 16 ;</w:t>
      </w:r>
    </w:p>
    <w:p w:rsidR="00B15577" w:rsidRPr="00E53A2A" w:rsidRDefault="00B15577" w:rsidP="00A07264">
      <w:pPr>
        <w:pStyle w:val="SingleTxtG"/>
        <w:ind w:left="2835" w:hanging="567"/>
      </w:pPr>
      <w:r w:rsidRPr="00A07264">
        <w:t>d)</w:t>
      </w:r>
      <w:r w:rsidRPr="00A07264">
        <w:tab/>
        <w:t>Doivent pouvoir rentrer dans au moins une des enveloppes ISO (R1, R2, R3, F2, F2X, F3, L1</w:t>
      </w:r>
      <w:r w:rsidR="001E58AA">
        <w:t xml:space="preserve"> ou</w:t>
      </w:r>
      <w:r w:rsidRPr="00A07264">
        <w:t xml:space="preserve"> L2) décrites à l</w:t>
      </w:r>
      <w:r w:rsidR="00A07264">
        <w:t>’</w:t>
      </w:r>
      <w:r w:rsidRPr="00A07264">
        <w:t>appendice 2 de l</w:t>
      </w:r>
      <w:r w:rsidR="00A07264">
        <w:t>’</w:t>
      </w:r>
      <w:r w:rsidRPr="00A07264">
        <w:t>annexe</w:t>
      </w:r>
      <w:r w:rsidR="00A07264">
        <w:t> </w:t>
      </w:r>
      <w:r w:rsidRPr="00A07264">
        <w:t xml:space="preserve">17 du Règlement </w:t>
      </w:r>
      <w:r w:rsidR="00A07264">
        <w:rPr>
          <w:rFonts w:eastAsia="MS Mincho"/>
        </w:rPr>
        <w:t>n</w:t>
      </w:r>
      <w:r w:rsidR="00A07264">
        <w:rPr>
          <w:rFonts w:eastAsia="MS Mincho"/>
          <w:vertAlign w:val="superscript"/>
        </w:rPr>
        <w:t>o</w:t>
      </w:r>
      <w:r w:rsidR="00A07264">
        <w:t> </w:t>
      </w:r>
      <w:r w:rsidR="0055494C">
        <w:t>16. </w:t>
      </w:r>
      <w:r w:rsidRPr="00A07264">
        <w:t>».</w:t>
      </w:r>
    </w:p>
    <w:p w:rsidR="00B15577" w:rsidRPr="00E53A2A" w:rsidRDefault="00B15577" w:rsidP="00F752CD">
      <w:pPr>
        <w:pStyle w:val="SingleTxtG"/>
        <w:keepNext/>
        <w:rPr>
          <w:i/>
          <w:snapToGrid w:val="0"/>
        </w:rPr>
      </w:pPr>
      <w:r w:rsidRPr="00512804">
        <w:rPr>
          <w:i/>
          <w:iCs/>
          <w:lang w:val="fr-FR"/>
        </w:rPr>
        <w:t>Paragraphe 6.3.5.1</w:t>
      </w:r>
      <w:r w:rsidRPr="00512804">
        <w:rPr>
          <w:iCs/>
          <w:lang w:val="fr-FR"/>
        </w:rPr>
        <w:t>,</w:t>
      </w:r>
      <w:r w:rsidRPr="00512804">
        <w:rPr>
          <w:lang w:val="fr-FR"/>
        </w:rPr>
        <w:t xml:space="preserve"> modifier comme suit</w:t>
      </w:r>
      <w:r w:rsidR="001140A3" w:rsidRPr="00512804">
        <w:rPr>
          <w:lang w:val="fr-FR"/>
        </w:rPr>
        <w:t> :</w:t>
      </w:r>
    </w:p>
    <w:p w:rsidR="00B15577" w:rsidRPr="00A20A23" w:rsidRDefault="00512804" w:rsidP="00A20A23">
      <w:pPr>
        <w:pStyle w:val="SingleTxtG"/>
        <w:keepNext/>
        <w:ind w:left="2268" w:hanging="1134"/>
        <w:jc w:val="left"/>
        <w:rPr>
          <w:lang w:val="fr-FR"/>
        </w:rPr>
      </w:pPr>
      <w:r>
        <w:rPr>
          <w:lang w:val="fr-FR"/>
        </w:rPr>
        <w:t>« 6.3.5.1</w:t>
      </w:r>
      <w:r w:rsidR="00B15577" w:rsidRPr="00E53A2A">
        <w:rPr>
          <w:lang w:val="fr-FR"/>
        </w:rPr>
        <w:tab/>
        <w:t xml:space="preserve">Prescriptions géométriques </w:t>
      </w:r>
      <w:r w:rsidR="00B15577" w:rsidRPr="00A20A23">
        <w:t>applicables</w:t>
      </w:r>
      <w:r w:rsidR="00B15577" w:rsidRPr="00E53A2A">
        <w:rPr>
          <w:lang w:val="fr-FR"/>
        </w:rPr>
        <w:t xml:space="preserve"> à la jambe de force </w:t>
      </w:r>
      <w:r>
        <w:rPr>
          <w:lang w:val="fr-FR"/>
        </w:rPr>
        <w:br/>
      </w:r>
      <w:r w:rsidR="00B15577" w:rsidRPr="00E53A2A">
        <w:rPr>
          <w:lang w:val="fr-FR"/>
        </w:rPr>
        <w:t>et au socle de la jambe de force</w:t>
      </w:r>
    </w:p>
    <w:p w:rsidR="00B15577" w:rsidRPr="00E53A2A" w:rsidRDefault="00B15577" w:rsidP="00A20A23">
      <w:pPr>
        <w:pStyle w:val="SingleTxtG"/>
        <w:ind w:left="2268"/>
        <w:rPr>
          <w:snapToGrid w:val="0"/>
        </w:rPr>
      </w:pPr>
      <w:r w:rsidRPr="00E53A2A">
        <w:rPr>
          <w:lang w:val="fr-FR"/>
        </w:rPr>
        <w:t>La jambe de force, y compris son attache au dispositif amélioré de retenue pour enfants, et le socle de la jambe de force doivent s</w:t>
      </w:r>
      <w:r w:rsidR="00A07264">
        <w:rPr>
          <w:lang w:val="fr-FR"/>
        </w:rPr>
        <w:t>’</w:t>
      </w:r>
      <w:r w:rsidRPr="00E53A2A">
        <w:rPr>
          <w:lang w:val="fr-FR"/>
        </w:rPr>
        <w:t>inscrire intégralement dans le volume imparti aux dimensions de la jambe de force (voir aussi les figures 1 et 2 de l</w:t>
      </w:r>
      <w:r w:rsidR="00A07264">
        <w:rPr>
          <w:lang w:val="fr-FR"/>
        </w:rPr>
        <w:t>’</w:t>
      </w:r>
      <w:r w:rsidRPr="00E53A2A">
        <w:rPr>
          <w:lang w:val="fr-FR"/>
        </w:rPr>
        <w:t>annexe 19 du présent Règlement), qui est défini comme suit</w:t>
      </w:r>
      <w:r w:rsidR="001140A3">
        <w:rPr>
          <w:lang w:val="fr-FR"/>
        </w:rPr>
        <w:t> :</w:t>
      </w:r>
    </w:p>
    <w:p w:rsidR="00B15577" w:rsidRPr="00E53A2A" w:rsidRDefault="00B15577" w:rsidP="00EE205E">
      <w:pPr>
        <w:pStyle w:val="SingleTxtG"/>
        <w:ind w:left="2835" w:hanging="567"/>
        <w:rPr>
          <w:snapToGrid w:val="0"/>
        </w:rPr>
      </w:pPr>
      <w:r w:rsidRPr="00E53A2A">
        <w:rPr>
          <w:lang w:val="fr-FR"/>
        </w:rPr>
        <w:t xml:space="preserve">a) </w:t>
      </w:r>
      <w:r w:rsidRPr="00E53A2A">
        <w:rPr>
          <w:lang w:val="fr-FR"/>
        </w:rPr>
        <w:tab/>
        <w:t>En largeur, par deux plans parallèles au plan X</w:t>
      </w:r>
      <w:r w:rsidR="00333C8A">
        <w:rPr>
          <w:lang w:val="fr-FR"/>
        </w:rPr>
        <w:sym w:font="Symbol" w:char="F0A2"/>
      </w:r>
      <w:r w:rsidRPr="00E53A2A">
        <w:rPr>
          <w:lang w:val="fr-FR"/>
        </w:rPr>
        <w:t>-Z</w:t>
      </w:r>
      <w:r w:rsidR="00333C8A">
        <w:rPr>
          <w:lang w:val="fr-FR"/>
        </w:rPr>
        <w:sym w:font="Symbol" w:char="F0A2"/>
      </w:r>
      <w:r w:rsidRPr="00E53A2A">
        <w:rPr>
          <w:lang w:val="fr-FR"/>
        </w:rPr>
        <w:t>, séparés de 200 mm et centrés sur l</w:t>
      </w:r>
      <w:r w:rsidR="00A07264">
        <w:rPr>
          <w:lang w:val="fr-FR"/>
        </w:rPr>
        <w:t>’</w:t>
      </w:r>
      <w:r w:rsidRPr="00E53A2A">
        <w:rPr>
          <w:lang w:val="fr-FR"/>
        </w:rPr>
        <w:t>origine</w:t>
      </w:r>
      <w:r w:rsidR="001140A3">
        <w:rPr>
          <w:lang w:val="fr-FR"/>
        </w:rPr>
        <w:t> ;</w:t>
      </w:r>
      <w:r w:rsidRPr="00E53A2A">
        <w:rPr>
          <w:lang w:val="fr-FR"/>
        </w:rPr>
        <w:t xml:space="preserve"> et</w:t>
      </w:r>
    </w:p>
    <w:p w:rsidR="00B15577" w:rsidRPr="00E53A2A" w:rsidRDefault="00B15577" w:rsidP="00EE205E">
      <w:pPr>
        <w:pStyle w:val="SingleTxtG"/>
        <w:ind w:left="2835" w:hanging="567"/>
        <w:rPr>
          <w:snapToGrid w:val="0"/>
        </w:rPr>
      </w:pPr>
      <w:r w:rsidRPr="00E53A2A">
        <w:rPr>
          <w:lang w:val="fr-FR"/>
        </w:rPr>
        <w:t xml:space="preserve">b) </w:t>
      </w:r>
      <w:r w:rsidRPr="00E53A2A">
        <w:rPr>
          <w:lang w:val="fr-FR"/>
        </w:rPr>
        <w:tab/>
        <w:t>En longueur, par deux plans parallèles au plan Z</w:t>
      </w:r>
      <w:r w:rsidR="00333C8A">
        <w:rPr>
          <w:lang w:val="fr-FR"/>
        </w:rPr>
        <w:sym w:font="Symbol" w:char="F0A2"/>
      </w:r>
      <w:r w:rsidRPr="00E53A2A">
        <w:rPr>
          <w:lang w:val="fr-FR"/>
        </w:rPr>
        <w:t>-Y</w:t>
      </w:r>
      <w:r w:rsidR="00333C8A">
        <w:rPr>
          <w:lang w:val="fr-FR"/>
        </w:rPr>
        <w:sym w:font="Symbol" w:char="F0A2"/>
      </w:r>
      <w:r w:rsidRPr="00E53A2A">
        <w:rPr>
          <w:lang w:val="fr-FR"/>
        </w:rPr>
        <w:t>, respectivement à 585 mm et 695 mm vers l</w:t>
      </w:r>
      <w:r w:rsidR="00A07264">
        <w:rPr>
          <w:lang w:val="fr-FR"/>
        </w:rPr>
        <w:t>’</w:t>
      </w:r>
      <w:r w:rsidRPr="00E53A2A">
        <w:rPr>
          <w:lang w:val="fr-FR"/>
        </w:rPr>
        <w:t>avant, par rapport à l</w:t>
      </w:r>
      <w:r w:rsidR="00A07264">
        <w:rPr>
          <w:lang w:val="fr-FR"/>
        </w:rPr>
        <w:t>’</w:t>
      </w:r>
      <w:r w:rsidRPr="00E53A2A">
        <w:rPr>
          <w:lang w:val="fr-FR"/>
        </w:rPr>
        <w:t>origine située le long de l</w:t>
      </w:r>
      <w:r w:rsidR="00A07264">
        <w:rPr>
          <w:lang w:val="fr-FR"/>
        </w:rPr>
        <w:t>’</w:t>
      </w:r>
      <w:r w:rsidRPr="00E53A2A">
        <w:rPr>
          <w:lang w:val="fr-FR"/>
        </w:rPr>
        <w:t>axe des X</w:t>
      </w:r>
      <w:r w:rsidR="00333C8A">
        <w:rPr>
          <w:lang w:val="fr-FR"/>
        </w:rPr>
        <w:sym w:font="Symbol" w:char="F0A2"/>
      </w:r>
      <w:r w:rsidR="001140A3">
        <w:rPr>
          <w:lang w:val="fr-FR"/>
        </w:rPr>
        <w:t> ;</w:t>
      </w:r>
      <w:r w:rsidRPr="00E53A2A">
        <w:rPr>
          <w:lang w:val="fr-FR"/>
        </w:rPr>
        <w:t xml:space="preserve"> et</w:t>
      </w:r>
    </w:p>
    <w:p w:rsidR="00B15577" w:rsidRPr="00E53A2A" w:rsidRDefault="00B15577" w:rsidP="00EE205E">
      <w:pPr>
        <w:pStyle w:val="SingleTxtG"/>
        <w:ind w:left="2835" w:hanging="567"/>
        <w:rPr>
          <w:snapToGrid w:val="0"/>
        </w:rPr>
      </w:pPr>
      <w:r w:rsidRPr="00E53A2A">
        <w:rPr>
          <w:lang w:val="fr-FR"/>
        </w:rPr>
        <w:t xml:space="preserve">c) </w:t>
      </w:r>
      <w:r w:rsidRPr="00E53A2A">
        <w:rPr>
          <w:lang w:val="fr-FR"/>
        </w:rPr>
        <w:tab/>
        <w:t>En hauteur, par un plan parallèle au plan X</w:t>
      </w:r>
      <w:r w:rsidR="00333C8A">
        <w:rPr>
          <w:lang w:val="fr-FR"/>
        </w:rPr>
        <w:sym w:font="Symbol" w:char="F0A2"/>
      </w:r>
      <w:r w:rsidRPr="00E53A2A">
        <w:rPr>
          <w:lang w:val="fr-FR"/>
        </w:rPr>
        <w:t>-Y</w:t>
      </w:r>
      <w:r w:rsidR="00333C8A">
        <w:rPr>
          <w:lang w:val="fr-FR"/>
        </w:rPr>
        <w:sym w:font="Symbol" w:char="F0A2"/>
      </w:r>
      <w:r w:rsidRPr="00E53A2A">
        <w:rPr>
          <w:lang w:val="fr-FR"/>
        </w:rPr>
        <w:t>, situé à 70 mm au</w:t>
      </w:r>
      <w:r w:rsidR="00A7798B">
        <w:rPr>
          <w:lang w:val="fr-FR"/>
        </w:rPr>
        <w:noBreakHyphen/>
      </w:r>
      <w:r w:rsidRPr="00E53A2A">
        <w:rPr>
          <w:lang w:val="fr-FR"/>
        </w:rPr>
        <w:t>dessus de l</w:t>
      </w:r>
      <w:r w:rsidR="00A07264">
        <w:rPr>
          <w:lang w:val="fr-FR"/>
        </w:rPr>
        <w:t>’</w:t>
      </w:r>
      <w:r w:rsidRPr="00E53A2A">
        <w:rPr>
          <w:lang w:val="fr-FR"/>
        </w:rPr>
        <w:t>origine et mesuré perpendiculairement au plan X</w:t>
      </w:r>
      <w:r w:rsidR="00333C8A">
        <w:rPr>
          <w:lang w:val="fr-FR"/>
        </w:rPr>
        <w:sym w:font="Symbol" w:char="F0A2"/>
      </w:r>
      <w:r w:rsidRPr="00E53A2A">
        <w:rPr>
          <w:lang w:val="fr-FR"/>
        </w:rPr>
        <w:t>-Y</w:t>
      </w:r>
      <w:r w:rsidR="00333C8A">
        <w:rPr>
          <w:lang w:val="fr-FR"/>
        </w:rPr>
        <w:sym w:font="Symbol" w:char="F0A2"/>
      </w:r>
      <w:r w:rsidRPr="00E53A2A">
        <w:rPr>
          <w:lang w:val="fr-FR"/>
        </w:rPr>
        <w:t>. Les parties rigides, non</w:t>
      </w:r>
      <w:r w:rsidR="00A7798B">
        <w:rPr>
          <w:lang w:val="fr-FR"/>
        </w:rPr>
        <w:t xml:space="preserve"> réglables de la jambe de force, </w:t>
      </w:r>
      <w:r w:rsidRPr="00E53A2A">
        <w:rPr>
          <w:lang w:val="fr-FR"/>
        </w:rPr>
        <w:t>ne dépassent pas un plan parallèle au plan X</w:t>
      </w:r>
      <w:r w:rsidR="00333C8A">
        <w:rPr>
          <w:lang w:val="fr-FR"/>
        </w:rPr>
        <w:sym w:font="Symbol" w:char="F0A2"/>
      </w:r>
      <w:r w:rsidRPr="00E53A2A">
        <w:rPr>
          <w:lang w:val="fr-FR"/>
        </w:rPr>
        <w:t>-Y</w:t>
      </w:r>
      <w:r w:rsidR="00333C8A">
        <w:rPr>
          <w:lang w:val="fr-FR"/>
        </w:rPr>
        <w:sym w:font="Symbol" w:char="F0A2"/>
      </w:r>
      <w:r w:rsidRPr="00E53A2A">
        <w:rPr>
          <w:lang w:val="fr-FR"/>
        </w:rPr>
        <w:t>, situé à 285 mm au-dessous de l</w:t>
      </w:r>
      <w:r w:rsidR="00A07264">
        <w:rPr>
          <w:lang w:val="fr-FR"/>
        </w:rPr>
        <w:t>’</w:t>
      </w:r>
      <w:r w:rsidRPr="00E53A2A">
        <w:rPr>
          <w:lang w:val="fr-FR"/>
        </w:rPr>
        <w:t>origine et perpendiculaire au plan X</w:t>
      </w:r>
      <w:r w:rsidR="00333C8A">
        <w:rPr>
          <w:lang w:val="fr-FR"/>
        </w:rPr>
        <w:sym w:font="Symbol" w:char="F0A2"/>
      </w:r>
      <w:r w:rsidRPr="00E53A2A">
        <w:rPr>
          <w:lang w:val="fr-FR"/>
        </w:rPr>
        <w:t>-Y</w:t>
      </w:r>
      <w:r w:rsidR="00333C8A">
        <w:rPr>
          <w:lang w:val="fr-FR"/>
        </w:rPr>
        <w:sym w:font="Symbol" w:char="F0A2"/>
      </w:r>
      <w:r w:rsidRPr="00E53A2A">
        <w:rPr>
          <w:lang w:val="fr-FR"/>
        </w:rPr>
        <w:t>.</w:t>
      </w:r>
    </w:p>
    <w:p w:rsidR="00B15577" w:rsidRPr="00E53A2A" w:rsidRDefault="00B15577" w:rsidP="00512804">
      <w:pPr>
        <w:pStyle w:val="SingleTxtG"/>
        <w:ind w:left="2268"/>
        <w:rPr>
          <w:snapToGrid w:val="0"/>
        </w:rPr>
      </w:pPr>
      <w:r w:rsidRPr="00E53A2A">
        <w:rPr>
          <w:lang w:val="fr-FR"/>
        </w:rPr>
        <w:t>La jambe de force peut excéder par ses dimensions le volume qui lui est imparti, à condition qu</w:t>
      </w:r>
      <w:r w:rsidR="00A07264">
        <w:rPr>
          <w:lang w:val="fr-FR"/>
        </w:rPr>
        <w:t>’</w:t>
      </w:r>
      <w:r w:rsidRPr="00E53A2A">
        <w:rPr>
          <w:lang w:val="fr-FR"/>
        </w:rPr>
        <w:t>elle ne dépasse pas le volume du dispositif de retenue pour enfants applicable.</w:t>
      </w:r>
      <w:r w:rsidR="00EE205E">
        <w:rPr>
          <w:lang w:val="fr-FR"/>
        </w:rPr>
        <w:t> </w:t>
      </w:r>
      <w:r w:rsidRPr="00E53A2A">
        <w:rPr>
          <w:lang w:val="fr-FR"/>
        </w:rPr>
        <w:t>».</w:t>
      </w:r>
    </w:p>
    <w:p w:rsidR="00B15577" w:rsidRPr="00E53A2A" w:rsidRDefault="00B15577" w:rsidP="00F752CD">
      <w:pPr>
        <w:pStyle w:val="SingleTxtG"/>
        <w:keepNext/>
      </w:pPr>
      <w:r w:rsidRPr="00E53A2A">
        <w:rPr>
          <w:i/>
          <w:iCs/>
          <w:lang w:val="fr-FR"/>
        </w:rPr>
        <w:t>Paragraphe 6.6.4.1.6.2</w:t>
      </w:r>
      <w:r w:rsidRPr="00A7798B">
        <w:rPr>
          <w:iCs/>
          <w:lang w:val="fr-FR"/>
        </w:rPr>
        <w:t>,</w:t>
      </w:r>
      <w:r w:rsidRPr="00A7798B">
        <w:rPr>
          <w:lang w:val="fr-FR"/>
        </w:rPr>
        <w:t xml:space="preserve"> </w:t>
      </w:r>
      <w:r w:rsidRPr="00E53A2A">
        <w:rPr>
          <w:lang w:val="fr-FR"/>
        </w:rPr>
        <w:t>modifier comme suit</w:t>
      </w:r>
      <w:r w:rsidR="001140A3">
        <w:rPr>
          <w:lang w:val="fr-FR"/>
        </w:rPr>
        <w:t> :</w:t>
      </w:r>
    </w:p>
    <w:p w:rsidR="00B15577" w:rsidRPr="00E53A2A" w:rsidRDefault="00EE205E" w:rsidP="00BC711B">
      <w:pPr>
        <w:pStyle w:val="SingleTxtG"/>
        <w:keepNext/>
        <w:ind w:left="2268" w:hanging="1134"/>
        <w:jc w:val="left"/>
      </w:pPr>
      <w:r w:rsidRPr="00EE205E">
        <w:rPr>
          <w:spacing w:val="-4"/>
          <w:lang w:val="fr-FR"/>
        </w:rPr>
        <w:t>« 6.6.4.1.6.1.1</w:t>
      </w:r>
      <w:r>
        <w:rPr>
          <w:spacing w:val="-2"/>
          <w:lang w:val="fr-FR"/>
        </w:rPr>
        <w:tab/>
      </w:r>
      <w:r w:rsidR="00B15577" w:rsidRPr="00E53A2A">
        <w:rPr>
          <w:lang w:val="fr-FR"/>
        </w:rPr>
        <w:t xml:space="preserve">Dispositif </w:t>
      </w:r>
      <w:proofErr w:type="spellStart"/>
      <w:r w:rsidR="00B15577" w:rsidRPr="00E53A2A">
        <w:rPr>
          <w:lang w:val="fr-FR"/>
        </w:rPr>
        <w:t>antirotation</w:t>
      </w:r>
      <w:proofErr w:type="spellEnd"/>
      <w:r w:rsidR="00B15577" w:rsidRPr="00E53A2A">
        <w:rPr>
          <w:lang w:val="fr-FR"/>
        </w:rPr>
        <w:t xml:space="preserve"> hors </w:t>
      </w:r>
      <w:r w:rsidR="00B15577" w:rsidRPr="004B59CD">
        <w:t>fonction</w:t>
      </w:r>
      <w:r w:rsidR="00B15577" w:rsidRPr="00E53A2A">
        <w:rPr>
          <w:lang w:val="fr-FR"/>
        </w:rPr>
        <w:t>, sauf si</w:t>
      </w:r>
      <w:r w:rsidR="001140A3">
        <w:rPr>
          <w:lang w:val="fr-FR"/>
        </w:rPr>
        <w:t> :</w:t>
      </w:r>
    </w:p>
    <w:p w:rsidR="00B15577" w:rsidRPr="00E53A2A" w:rsidRDefault="00B15577" w:rsidP="00EE205E">
      <w:pPr>
        <w:pStyle w:val="SingleTxtG"/>
        <w:ind w:left="2835" w:hanging="567"/>
      </w:pPr>
      <w:r w:rsidRPr="00E53A2A">
        <w:rPr>
          <w:lang w:val="fr-FR"/>
        </w:rPr>
        <w:t>a)</w:t>
      </w:r>
      <w:r w:rsidRPr="00E53A2A">
        <w:rPr>
          <w:lang w:val="fr-FR"/>
        </w:rPr>
        <w:tab/>
      </w:r>
      <w:r w:rsidR="009B4508">
        <w:rPr>
          <w:lang w:val="fr-FR"/>
        </w:rPr>
        <w:t>U</w:t>
      </w:r>
      <w:r w:rsidRPr="00E53A2A">
        <w:rPr>
          <w:lang w:val="fr-FR"/>
        </w:rPr>
        <w:t>n mécanisme</w:t>
      </w:r>
      <w:r w:rsidR="009B4508">
        <w:rPr>
          <w:lang w:val="fr-FR"/>
        </w:rPr>
        <w:t> ;</w:t>
      </w:r>
      <w:r w:rsidRPr="00E53A2A">
        <w:rPr>
          <w:lang w:val="fr-FR"/>
        </w:rPr>
        <w:t xml:space="preserve"> ou</w:t>
      </w:r>
    </w:p>
    <w:p w:rsidR="00B15577" w:rsidRPr="00E53A2A" w:rsidRDefault="00B15577" w:rsidP="00EE205E">
      <w:pPr>
        <w:pStyle w:val="SingleTxtG"/>
        <w:ind w:left="2835" w:hanging="567"/>
      </w:pPr>
      <w:r w:rsidRPr="00E53A2A">
        <w:rPr>
          <w:lang w:val="fr-FR"/>
        </w:rPr>
        <w:t>b)</w:t>
      </w:r>
      <w:r w:rsidRPr="00E53A2A">
        <w:rPr>
          <w:lang w:val="fr-FR"/>
        </w:rPr>
        <w:tab/>
      </w:r>
      <w:r w:rsidR="009B4508">
        <w:rPr>
          <w:lang w:val="fr-FR"/>
        </w:rPr>
        <w:t>U</w:t>
      </w:r>
      <w:r w:rsidRPr="00E53A2A">
        <w:rPr>
          <w:lang w:val="fr-FR"/>
        </w:rPr>
        <w:t>n signal d</w:t>
      </w:r>
      <w:r w:rsidR="00A07264">
        <w:rPr>
          <w:lang w:val="fr-FR"/>
        </w:rPr>
        <w:t>’</w:t>
      </w:r>
      <w:r w:rsidRPr="00E53A2A">
        <w:rPr>
          <w:lang w:val="fr-FR"/>
        </w:rPr>
        <w:t>avertissement optique et acoustique</w:t>
      </w:r>
      <w:r w:rsidR="009B4508">
        <w:rPr>
          <w:lang w:val="fr-FR"/>
        </w:rPr>
        <w:t> ;</w:t>
      </w:r>
    </w:p>
    <w:p w:rsidR="00B15577" w:rsidRPr="00E53A2A" w:rsidRDefault="00B15577" w:rsidP="00333C8A">
      <w:pPr>
        <w:pStyle w:val="SingleTxtG"/>
        <w:ind w:left="2268"/>
      </w:pPr>
      <w:proofErr w:type="gramStart"/>
      <w:r w:rsidRPr="00E53A2A">
        <w:rPr>
          <w:lang w:val="fr-FR"/>
        </w:rPr>
        <w:t>est</w:t>
      </w:r>
      <w:proofErr w:type="gramEnd"/>
      <w:r w:rsidRPr="00E53A2A">
        <w:rPr>
          <w:lang w:val="fr-FR"/>
        </w:rPr>
        <w:t xml:space="preserve"> prévu pour empêcher tout mauvais fonctionnement du dispositif </w:t>
      </w:r>
      <w:proofErr w:type="spellStart"/>
      <w:r w:rsidRPr="00E53A2A">
        <w:rPr>
          <w:lang w:val="fr-FR"/>
        </w:rPr>
        <w:t>antirotation</w:t>
      </w:r>
      <w:proofErr w:type="spellEnd"/>
      <w:r w:rsidRPr="00E53A2A">
        <w:rPr>
          <w:lang w:val="fr-FR"/>
        </w:rPr>
        <w:t>.</w:t>
      </w:r>
    </w:p>
    <w:p w:rsidR="00B15577" w:rsidRPr="00E53A2A" w:rsidRDefault="00B15577" w:rsidP="00BC711B">
      <w:pPr>
        <w:pStyle w:val="SingleTxtG"/>
        <w:keepNext/>
        <w:ind w:left="2268" w:hanging="1134"/>
        <w:jc w:val="left"/>
      </w:pPr>
      <w:r w:rsidRPr="00EE205E">
        <w:rPr>
          <w:spacing w:val="-3"/>
          <w:lang w:val="fr-FR"/>
        </w:rPr>
        <w:t>6.6.4.1.6.1.2</w:t>
      </w:r>
      <w:r w:rsidR="00EE205E">
        <w:rPr>
          <w:spacing w:val="-2"/>
          <w:lang w:val="fr-FR"/>
        </w:rPr>
        <w:tab/>
      </w:r>
      <w:r w:rsidRPr="00E53A2A">
        <w:rPr>
          <w:lang w:val="fr-FR"/>
        </w:rPr>
        <w:t>Positionneur des sangles d</w:t>
      </w:r>
      <w:r w:rsidR="00A07264">
        <w:rPr>
          <w:lang w:val="fr-FR"/>
        </w:rPr>
        <w:t>’</w:t>
      </w:r>
      <w:r w:rsidRPr="00E53A2A">
        <w:rPr>
          <w:lang w:val="fr-FR"/>
        </w:rPr>
        <w:t xml:space="preserve">épaule hors </w:t>
      </w:r>
      <w:r w:rsidRPr="004B59CD">
        <w:t>fonction</w:t>
      </w:r>
      <w:r w:rsidRPr="00E53A2A">
        <w:rPr>
          <w:lang w:val="fr-FR"/>
        </w:rPr>
        <w:t>, sauf si</w:t>
      </w:r>
      <w:r w:rsidR="001140A3">
        <w:rPr>
          <w:lang w:val="fr-FR"/>
        </w:rPr>
        <w:t> :</w:t>
      </w:r>
    </w:p>
    <w:p w:rsidR="00B15577" w:rsidRPr="00E53A2A" w:rsidRDefault="00B15577" w:rsidP="00EE205E">
      <w:pPr>
        <w:pStyle w:val="SingleTxtG"/>
        <w:ind w:left="2835" w:hanging="567"/>
      </w:pPr>
      <w:r w:rsidRPr="00E53A2A">
        <w:rPr>
          <w:lang w:val="fr-FR"/>
        </w:rPr>
        <w:t>a)</w:t>
      </w:r>
      <w:r w:rsidRPr="00E53A2A">
        <w:rPr>
          <w:lang w:val="fr-FR"/>
        </w:rPr>
        <w:tab/>
      </w:r>
      <w:r w:rsidR="009B4508">
        <w:rPr>
          <w:lang w:val="fr-FR"/>
        </w:rPr>
        <w:t>U</w:t>
      </w:r>
      <w:r w:rsidRPr="00E53A2A">
        <w:rPr>
          <w:lang w:val="fr-FR"/>
        </w:rPr>
        <w:t>n mécanisme</w:t>
      </w:r>
      <w:r w:rsidR="009B4508">
        <w:rPr>
          <w:lang w:val="fr-FR"/>
        </w:rPr>
        <w:t> ;</w:t>
      </w:r>
      <w:r w:rsidRPr="00E53A2A">
        <w:rPr>
          <w:lang w:val="fr-FR"/>
        </w:rPr>
        <w:t xml:space="preserve"> ou</w:t>
      </w:r>
    </w:p>
    <w:p w:rsidR="00B15577" w:rsidRPr="00E53A2A" w:rsidRDefault="00B15577" w:rsidP="00EE205E">
      <w:pPr>
        <w:pStyle w:val="SingleTxtG"/>
        <w:ind w:left="2835" w:hanging="567"/>
      </w:pPr>
      <w:r w:rsidRPr="00E53A2A">
        <w:rPr>
          <w:lang w:val="fr-FR"/>
        </w:rPr>
        <w:t>b)</w:t>
      </w:r>
      <w:r w:rsidRPr="00E53A2A">
        <w:rPr>
          <w:lang w:val="fr-FR"/>
        </w:rPr>
        <w:tab/>
      </w:r>
      <w:r w:rsidR="00A7798B">
        <w:rPr>
          <w:lang w:val="fr-FR"/>
        </w:rPr>
        <w:t>U</w:t>
      </w:r>
      <w:r w:rsidRPr="00E53A2A">
        <w:rPr>
          <w:lang w:val="fr-FR"/>
        </w:rPr>
        <w:t>n signal d</w:t>
      </w:r>
      <w:r w:rsidR="00A07264">
        <w:rPr>
          <w:lang w:val="fr-FR"/>
        </w:rPr>
        <w:t>’</w:t>
      </w:r>
      <w:r w:rsidRPr="00E53A2A">
        <w:rPr>
          <w:lang w:val="fr-FR"/>
        </w:rPr>
        <w:t>avertissement optique et acoustique</w:t>
      </w:r>
      <w:r w:rsidR="009B4508">
        <w:rPr>
          <w:lang w:val="fr-FR"/>
        </w:rPr>
        <w:t> ;</w:t>
      </w:r>
    </w:p>
    <w:p w:rsidR="00B15577" w:rsidRPr="00E53A2A" w:rsidRDefault="00B15577" w:rsidP="00333C8A">
      <w:pPr>
        <w:pStyle w:val="SingleTxtG"/>
        <w:ind w:left="2268"/>
      </w:pPr>
      <w:proofErr w:type="gramStart"/>
      <w:r w:rsidRPr="00E53A2A">
        <w:rPr>
          <w:lang w:val="fr-FR"/>
        </w:rPr>
        <w:t>est</w:t>
      </w:r>
      <w:proofErr w:type="gramEnd"/>
      <w:r w:rsidRPr="00E53A2A">
        <w:rPr>
          <w:lang w:val="fr-FR"/>
        </w:rPr>
        <w:t xml:space="preserve"> prévu pour empêcher tout mauvais fonctionnement du positionneur des sangles d</w:t>
      </w:r>
      <w:r w:rsidR="00A07264">
        <w:rPr>
          <w:lang w:val="fr-FR"/>
        </w:rPr>
        <w:t>’</w:t>
      </w:r>
      <w:r w:rsidRPr="00E53A2A">
        <w:rPr>
          <w:lang w:val="fr-FR"/>
        </w:rPr>
        <w:t>épaule.</w:t>
      </w:r>
      <w:r w:rsidR="009B4508">
        <w:rPr>
          <w:lang w:val="fr-FR"/>
        </w:rPr>
        <w:t> </w:t>
      </w:r>
      <w:r w:rsidRPr="00E53A2A">
        <w:rPr>
          <w:lang w:val="fr-FR"/>
        </w:rPr>
        <w:t>».</w:t>
      </w:r>
    </w:p>
    <w:p w:rsidR="00B15577" w:rsidRPr="00E53A2A" w:rsidRDefault="00B15577" w:rsidP="00F752CD">
      <w:pPr>
        <w:pStyle w:val="SingleTxtG"/>
        <w:keepNext/>
      </w:pPr>
      <w:r w:rsidRPr="00E53A2A">
        <w:rPr>
          <w:i/>
          <w:lang w:val="fr-FR"/>
        </w:rPr>
        <w:t>Paragraphe 7.2.8</w:t>
      </w:r>
      <w:r w:rsidRPr="00F55A68">
        <w:rPr>
          <w:lang w:val="fr-FR"/>
        </w:rPr>
        <w:t xml:space="preserve">, </w:t>
      </w:r>
      <w:r w:rsidRPr="00E53A2A">
        <w:rPr>
          <w:lang w:val="fr-FR"/>
        </w:rPr>
        <w:t>modifier comme suit</w:t>
      </w:r>
      <w:r w:rsidR="001140A3">
        <w:rPr>
          <w:lang w:val="fr-FR"/>
        </w:rPr>
        <w:t> :</w:t>
      </w:r>
    </w:p>
    <w:p w:rsidR="00B15577" w:rsidRPr="00E53A2A" w:rsidRDefault="00847E82" w:rsidP="00944913">
      <w:pPr>
        <w:pStyle w:val="SingleTxtG"/>
        <w:ind w:left="2268" w:hanging="1134"/>
      </w:pPr>
      <w:r>
        <w:rPr>
          <w:lang w:val="fr-FR"/>
        </w:rPr>
        <w:t>« 7.2.8</w:t>
      </w:r>
      <w:r w:rsidR="00B15577" w:rsidRPr="00E53A2A">
        <w:rPr>
          <w:lang w:val="fr-FR"/>
        </w:rPr>
        <w:tab/>
        <w:t>S</w:t>
      </w:r>
      <w:r w:rsidR="00A07264">
        <w:rPr>
          <w:lang w:val="fr-FR"/>
        </w:rPr>
        <w:t>’</w:t>
      </w:r>
      <w:r w:rsidR="00B15577" w:rsidRPr="00E53A2A">
        <w:rPr>
          <w:lang w:val="fr-FR"/>
        </w:rPr>
        <w:t>il comporte un bouton d</w:t>
      </w:r>
      <w:r w:rsidR="00A07264">
        <w:rPr>
          <w:lang w:val="fr-FR"/>
        </w:rPr>
        <w:t>’</w:t>
      </w:r>
      <w:r w:rsidR="00B15577" w:rsidRPr="00E53A2A">
        <w:rPr>
          <w:lang w:val="fr-FR"/>
        </w:rPr>
        <w:t>ouverture, le siège complet, ou le composant équipé d</w:t>
      </w:r>
      <w:r w:rsidR="00A07264">
        <w:rPr>
          <w:lang w:val="fr-FR"/>
        </w:rPr>
        <w:t>’</w:t>
      </w:r>
      <w:r w:rsidR="00B15577" w:rsidRPr="00E53A2A">
        <w:rPr>
          <w:lang w:val="fr-FR"/>
        </w:rPr>
        <w:t>attaches ISOFIX (embase ISOFIX, par exemple), est fixé rigidement sur une banquette d</w:t>
      </w:r>
      <w:r w:rsidR="00A07264">
        <w:rPr>
          <w:lang w:val="fr-FR"/>
        </w:rPr>
        <w:t>’</w:t>
      </w:r>
      <w:r w:rsidR="00B15577" w:rsidRPr="00E53A2A">
        <w:rPr>
          <w:lang w:val="fr-FR"/>
        </w:rPr>
        <w:t>essai de telle manière que les attaches ISOFIX soient alignées vertical</w:t>
      </w:r>
      <w:r>
        <w:rPr>
          <w:lang w:val="fr-FR"/>
        </w:rPr>
        <w:t>ement comme le montre la figure </w:t>
      </w:r>
      <w:r w:rsidR="00B15577" w:rsidRPr="00E53A2A">
        <w:rPr>
          <w:lang w:val="fr-FR"/>
        </w:rPr>
        <w:t>3. Un barreau de 6 mm de diamètre et de 350 mm de longueur est fixé aux attaches ISOFIX. Une masse de 5 kg doit être attachée aux extrémités du barreau.</w:t>
      </w:r>
      <w:r>
        <w:rPr>
          <w:lang w:val="fr-FR"/>
        </w:rPr>
        <w:t> </w:t>
      </w:r>
      <w:r w:rsidR="00B15577" w:rsidRPr="00E53A2A">
        <w:rPr>
          <w:lang w:val="fr-FR"/>
        </w:rPr>
        <w:t>».</w:t>
      </w:r>
    </w:p>
    <w:p w:rsidR="00B15577" w:rsidRPr="00E53A2A" w:rsidRDefault="00B15577" w:rsidP="00F752CD">
      <w:pPr>
        <w:pStyle w:val="SingleTxtG"/>
        <w:keepNext/>
      </w:pPr>
      <w:r w:rsidRPr="00E53A2A">
        <w:rPr>
          <w:i/>
          <w:iCs/>
          <w:lang w:val="fr-FR"/>
        </w:rPr>
        <w:t>Paragraphe 7.2.8.2</w:t>
      </w:r>
      <w:r w:rsidRPr="00F55A68">
        <w:rPr>
          <w:iCs/>
          <w:lang w:val="fr-FR"/>
        </w:rPr>
        <w:t>,</w:t>
      </w:r>
      <w:r w:rsidRPr="00E53A2A">
        <w:rPr>
          <w:lang w:val="fr-FR"/>
        </w:rPr>
        <w:t xml:space="preserve"> modifier comme suit</w:t>
      </w:r>
      <w:r w:rsidR="001140A3">
        <w:rPr>
          <w:lang w:val="fr-FR"/>
        </w:rPr>
        <w:t> :</w:t>
      </w:r>
    </w:p>
    <w:p w:rsidR="00B15577" w:rsidRPr="00E53A2A" w:rsidRDefault="00B15577" w:rsidP="00944913">
      <w:pPr>
        <w:pStyle w:val="SingleTxtG"/>
        <w:ind w:left="2268" w:hanging="1134"/>
      </w:pPr>
      <w:r w:rsidRPr="00E53A2A">
        <w:rPr>
          <w:lang w:val="fr-FR"/>
        </w:rPr>
        <w:t>«</w:t>
      </w:r>
      <w:r w:rsidR="00F55A68">
        <w:rPr>
          <w:lang w:val="fr-FR"/>
        </w:rPr>
        <w:t> 7.2.8.2</w:t>
      </w:r>
      <w:r w:rsidRPr="00E53A2A">
        <w:rPr>
          <w:lang w:val="fr-FR"/>
        </w:rPr>
        <w:tab/>
        <w:t>...des attaches ISOFIX … de 25 mm de rayon.</w:t>
      </w:r>
      <w:r w:rsidR="00F55A68">
        <w:rPr>
          <w:lang w:val="fr-FR"/>
        </w:rPr>
        <w:t> </w:t>
      </w:r>
      <w:r w:rsidRPr="00E53A2A">
        <w:rPr>
          <w:lang w:val="fr-FR"/>
        </w:rPr>
        <w:t>».</w:t>
      </w:r>
    </w:p>
    <w:p w:rsidR="00B15577" w:rsidRPr="00E53A2A" w:rsidRDefault="00B15577" w:rsidP="00F752CD">
      <w:pPr>
        <w:pStyle w:val="SingleTxtG"/>
        <w:keepNext/>
      </w:pPr>
      <w:r w:rsidRPr="00E53A2A">
        <w:rPr>
          <w:i/>
          <w:iCs/>
          <w:lang w:val="fr-FR"/>
        </w:rPr>
        <w:t>Paragraphe 7.2.8.4</w:t>
      </w:r>
      <w:r w:rsidRPr="00A7798B">
        <w:rPr>
          <w:iCs/>
          <w:lang w:val="fr-FR"/>
        </w:rPr>
        <w:t>,</w:t>
      </w:r>
      <w:r w:rsidRPr="00A7798B">
        <w:rPr>
          <w:lang w:val="fr-FR"/>
        </w:rPr>
        <w:t xml:space="preserve"> </w:t>
      </w:r>
      <w:r w:rsidRPr="00E53A2A">
        <w:rPr>
          <w:lang w:val="fr-FR"/>
        </w:rPr>
        <w:t>modifier comme suit</w:t>
      </w:r>
      <w:r w:rsidR="001140A3">
        <w:rPr>
          <w:lang w:val="fr-FR"/>
        </w:rPr>
        <w:t> :</w:t>
      </w:r>
    </w:p>
    <w:p w:rsidR="00B15577" w:rsidRPr="00E53A2A" w:rsidRDefault="00B15577" w:rsidP="00944913">
      <w:pPr>
        <w:pStyle w:val="SingleTxtG"/>
        <w:ind w:left="2268" w:hanging="1134"/>
      </w:pPr>
      <w:r w:rsidRPr="00E53A2A">
        <w:rPr>
          <w:lang w:val="fr-FR"/>
        </w:rPr>
        <w:t>«</w:t>
      </w:r>
      <w:r w:rsidR="00F55A68">
        <w:rPr>
          <w:lang w:val="fr-FR"/>
        </w:rPr>
        <w:t> 7.2.8.4</w:t>
      </w:r>
      <w:r w:rsidRPr="00E53A2A">
        <w:rPr>
          <w:lang w:val="fr-FR"/>
        </w:rPr>
        <w:tab/>
        <w:t>La force d</w:t>
      </w:r>
      <w:r w:rsidR="00A07264">
        <w:rPr>
          <w:lang w:val="fr-FR"/>
        </w:rPr>
        <w:t>’</w:t>
      </w:r>
      <w:r w:rsidRPr="00E53A2A">
        <w:rPr>
          <w:lang w:val="fr-FR"/>
        </w:rPr>
        <w:t>ouverture des attaches ISOFIX mesurée est celle qui est nécessaire pour ouvrir la première attache.</w:t>
      </w:r>
      <w:r w:rsidR="00F55A68">
        <w:rPr>
          <w:lang w:val="fr-FR"/>
        </w:rPr>
        <w:t> </w:t>
      </w:r>
      <w:r w:rsidRPr="00E53A2A">
        <w:rPr>
          <w:lang w:val="fr-FR"/>
        </w:rPr>
        <w:t>».</w:t>
      </w:r>
    </w:p>
    <w:p w:rsidR="00B15577" w:rsidRPr="00E53A2A" w:rsidRDefault="00B15577" w:rsidP="00F55A68">
      <w:pPr>
        <w:pStyle w:val="SingleTxtG"/>
        <w:keepNext/>
        <w:rPr>
          <w:snapToGrid w:val="0"/>
        </w:rPr>
      </w:pPr>
      <w:r w:rsidRPr="00F55A68">
        <w:rPr>
          <w:i/>
          <w:lang w:val="fr-FR"/>
        </w:rPr>
        <w:t xml:space="preserve">Annexe 2, </w:t>
      </w:r>
      <w:r w:rsidR="00A7798B">
        <w:rPr>
          <w:i/>
          <w:lang w:val="fr-FR"/>
        </w:rPr>
        <w:t>M</w:t>
      </w:r>
      <w:r w:rsidRPr="00F55A68">
        <w:rPr>
          <w:i/>
          <w:lang w:val="fr-FR"/>
        </w:rPr>
        <w:t>arques de module combinées à une marque d</w:t>
      </w:r>
      <w:r w:rsidR="00A07264" w:rsidRPr="00F55A68">
        <w:rPr>
          <w:i/>
          <w:lang w:val="fr-FR"/>
        </w:rPr>
        <w:t>’</w:t>
      </w:r>
      <w:r w:rsidRPr="00F55A68">
        <w:rPr>
          <w:i/>
          <w:lang w:val="fr-FR"/>
        </w:rPr>
        <w:t>homologation</w:t>
      </w:r>
      <w:r w:rsidRPr="00E53A2A">
        <w:rPr>
          <w:lang w:val="fr-FR"/>
        </w:rPr>
        <w:t xml:space="preserve">, insérer de nouvelles figures, </w:t>
      </w:r>
      <w:r w:rsidR="00254B39">
        <w:rPr>
          <w:lang w:val="fr-FR"/>
        </w:rPr>
        <w:t xml:space="preserve">et </w:t>
      </w:r>
      <w:r w:rsidRPr="00E53A2A">
        <w:rPr>
          <w:lang w:val="fr-FR"/>
        </w:rPr>
        <w:t>lire</w:t>
      </w:r>
      <w:r w:rsidR="001140A3">
        <w:rPr>
          <w:lang w:val="fr-FR"/>
        </w:rPr>
        <w:t> :</w:t>
      </w:r>
    </w:p>
    <w:p w:rsidR="00B15577" w:rsidRDefault="00B15577" w:rsidP="00F55A68">
      <w:pPr>
        <w:keepNext/>
        <w:spacing w:after="120"/>
        <w:ind w:left="1138" w:right="1094"/>
        <w:jc w:val="both"/>
        <w:rPr>
          <w:lang w:val="fr-FR"/>
        </w:rPr>
      </w:pPr>
      <w:r w:rsidRPr="00E53A2A">
        <w:rPr>
          <w:lang w:val="fr-FR"/>
        </w:rPr>
        <w:t>«</w:t>
      </w:r>
      <w:r w:rsidR="00F55A68">
        <w:rPr>
          <w:lang w:val="fr-FR"/>
        </w:rPr>
        <w:t> </w:t>
      </w:r>
      <w:r w:rsidRPr="00E53A2A">
        <w:rPr>
          <w:lang w:val="fr-FR"/>
        </w:rPr>
        <w:t>…</w:t>
      </w:r>
    </w:p>
    <w:p w:rsidR="00997A77" w:rsidRPr="00150DB2" w:rsidRDefault="00997A77" w:rsidP="00997A77">
      <w:pPr>
        <w:pStyle w:val="SingleTxtG"/>
      </w:pPr>
      <w:r>
        <w:rPr>
          <w:noProof/>
          <w:lang w:val="en-GB" w:eastAsia="en-GB"/>
        </w:rPr>
        <mc:AlternateContent>
          <mc:Choice Requires="wps">
            <w:drawing>
              <wp:anchor distT="0" distB="0" distL="114300" distR="114300" simplePos="0" relativeHeight="251659264" behindDoc="0" locked="0" layoutInCell="1" allowOverlap="1" wp14:anchorId="343E9C52" wp14:editId="60FFD64C">
                <wp:simplePos x="0" y="0"/>
                <wp:positionH relativeFrom="column">
                  <wp:posOffset>1068953</wp:posOffset>
                </wp:positionH>
                <wp:positionV relativeFrom="paragraph">
                  <wp:posOffset>120622</wp:posOffset>
                </wp:positionV>
                <wp:extent cx="1245705" cy="423545"/>
                <wp:effectExtent l="0" t="0" r="12065" b="14605"/>
                <wp:wrapNone/>
                <wp:docPr id="15" name="Zone de texte 15"/>
                <wp:cNvGraphicFramePr/>
                <a:graphic xmlns:a="http://schemas.openxmlformats.org/drawingml/2006/main">
                  <a:graphicData uri="http://schemas.microsoft.com/office/word/2010/wordprocessingShape">
                    <wps:wsp>
                      <wps:cNvSpPr txBox="1"/>
                      <wps:spPr>
                        <a:xfrm>
                          <a:off x="0" y="0"/>
                          <a:ext cx="1245705" cy="423545"/>
                        </a:xfrm>
                        <a:prstGeom prst="rect">
                          <a:avLst/>
                        </a:prstGeom>
                        <a:noFill/>
                        <a:ln w="6350">
                          <a:noFill/>
                        </a:ln>
                      </wps:spPr>
                      <wps:txbx>
                        <w:txbxContent>
                          <w:p w:rsidR="00997A77" w:rsidRPr="00B01067" w:rsidRDefault="00997A77" w:rsidP="00997A77">
                            <w:pPr>
                              <w:spacing w:line="240" w:lineRule="auto"/>
                              <w:rPr>
                                <w:sz w:val="18"/>
                                <w:szCs w:val="18"/>
                              </w:rPr>
                            </w:pPr>
                            <w:r>
                              <w:rPr>
                                <w:sz w:val="18"/>
                                <w:szCs w:val="18"/>
                              </w:rPr>
                              <w:t xml:space="preserve">Module </w:t>
                            </w:r>
                            <w:r>
                              <w:rPr>
                                <w:sz w:val="18"/>
                                <w:szCs w:val="18"/>
                              </w:rPr>
                              <w:br/>
                            </w:r>
                            <w:r w:rsidRPr="00B01067">
                              <w:rPr>
                                <w:sz w:val="18"/>
                                <w:szCs w:val="18"/>
                              </w:rPr>
                              <w:t>“</w:t>
                            </w:r>
                            <w:r>
                              <w:rPr>
                                <w:sz w:val="18"/>
                                <w:szCs w:val="18"/>
                              </w:rPr>
                              <w:t>Nom du module</w:t>
                            </w:r>
                            <w:r w:rsidRPr="00B01067">
                              <w:rPr>
                                <w:sz w:val="18"/>
                                <w:szCs w:val="18"/>
                              </w:rPr>
                              <w:t>”</w:t>
                            </w:r>
                            <w:r w:rsidRPr="00B01067">
                              <w:rPr>
                                <w:sz w:val="18"/>
                                <w:szCs w:val="18"/>
                              </w:rPr>
                              <w:br/>
                              <w:t xml:space="preserve">40 cm - 70 cm / </w:t>
                            </w:r>
                            <w:r>
                              <w:rPr>
                                <w:sz w:val="18"/>
                                <w:szCs w:val="18"/>
                              </w:rPr>
                              <w:t>≤ 24 kg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43E9C52" id="_x0000_t202" coordsize="21600,21600" o:spt="202" path="m,l,21600r21600,l21600,xe">
                <v:stroke joinstyle="miter"/>
                <v:path gradientshapeok="t" o:connecttype="rect"/>
              </v:shapetype>
              <v:shape id="Zone de texte 15" o:spid="_x0000_s1026" type="#_x0000_t202" style="position:absolute;left:0;text-align:left;margin-left:84.15pt;margin-top:9.5pt;width:98.1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" filled="f" stroked="f" strokeweight=".5pt">
                <v:textbox inset="0,0,0,0">
                  <w:txbxContent>
                    <w:p w:rsidR="00997A77" w:rsidRPr="00B01067" w:rsidRDefault="00997A77" w:rsidP="00997A77">
                      <w:pPr>
                        <w:spacing w:line="240" w:lineRule="auto"/>
                        <w:rPr>
                          <w:sz w:val="18"/>
                          <w:szCs w:val="18"/>
                        </w:rPr>
                      </w:pPr>
                      <w:r>
                        <w:rPr>
                          <w:sz w:val="18"/>
                          <w:szCs w:val="18"/>
                        </w:rPr>
                        <w:t xml:space="preserve">Module </w:t>
                      </w:r>
                      <w:r>
                        <w:rPr>
                          <w:sz w:val="18"/>
                          <w:szCs w:val="18"/>
                        </w:rPr>
                        <w:br/>
                      </w:r>
                      <w:r w:rsidRPr="00B01067">
                        <w:rPr>
                          <w:sz w:val="18"/>
                          <w:szCs w:val="18"/>
                        </w:rPr>
                        <w:t>“</w:t>
                      </w:r>
                      <w:r>
                        <w:rPr>
                          <w:sz w:val="18"/>
                          <w:szCs w:val="18"/>
                        </w:rPr>
                        <w:t>Nom du module</w:t>
                      </w:r>
                      <w:r w:rsidRPr="00B01067">
                        <w:rPr>
                          <w:sz w:val="18"/>
                          <w:szCs w:val="18"/>
                        </w:rPr>
                        <w:t>”</w:t>
                      </w:r>
                      <w:r w:rsidRPr="00B01067">
                        <w:rPr>
                          <w:sz w:val="18"/>
                          <w:szCs w:val="18"/>
                        </w:rPr>
                        <w:br/>
                        <w:t xml:space="preserve">40 cm - 70 cm / </w:t>
                      </w:r>
                      <w:r>
                        <w:rPr>
                          <w:sz w:val="18"/>
                          <w:szCs w:val="18"/>
                        </w:rPr>
                        <w:t>≤ 24 kg ≤</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1CCF9A6" wp14:editId="3F923F8E">
                <wp:simplePos x="0" y="0"/>
                <wp:positionH relativeFrom="column">
                  <wp:posOffset>2744470</wp:posOffset>
                </wp:positionH>
                <wp:positionV relativeFrom="paragraph">
                  <wp:posOffset>238125</wp:posOffset>
                </wp:positionV>
                <wp:extent cx="1875155" cy="377190"/>
                <wp:effectExtent l="0" t="0" r="10795" b="3810"/>
                <wp:wrapNone/>
                <wp:docPr id="13" name="Zone de texte 13"/>
                <wp:cNvGraphicFramePr/>
                <a:graphic xmlns:a="http://schemas.openxmlformats.org/drawingml/2006/main">
                  <a:graphicData uri="http://schemas.microsoft.com/office/word/2010/wordprocessingShape">
                    <wps:wsp>
                      <wps:cNvSpPr txBox="1"/>
                      <wps:spPr>
                        <a:xfrm>
                          <a:off x="0" y="0"/>
                          <a:ext cx="1875155" cy="377190"/>
                        </a:xfrm>
                        <a:prstGeom prst="rect">
                          <a:avLst/>
                        </a:prstGeom>
                        <a:noFill/>
                        <a:ln w="6350">
                          <a:noFill/>
                        </a:ln>
                      </wps:spPr>
                      <wps:txbx>
                        <w:txbxContent>
                          <w:p w:rsidR="00997A77" w:rsidRPr="00B01067" w:rsidRDefault="00997A77" w:rsidP="00997A77">
                            <w:pPr>
                              <w:spacing w:line="240" w:lineRule="auto"/>
                              <w:rPr>
                                <w:sz w:val="18"/>
                                <w:szCs w:val="18"/>
                              </w:rPr>
                            </w:pPr>
                            <w:r w:rsidRPr="00B01067">
                              <w:rPr>
                                <w:sz w:val="18"/>
                                <w:szCs w:val="18"/>
                              </w:rPr>
                              <w:t xml:space="preserve">R129-022439 </w:t>
                            </w:r>
                            <w:r w:rsidRPr="00B01067">
                              <w:rPr>
                                <w:sz w:val="18"/>
                                <w:szCs w:val="18"/>
                              </w:rPr>
                              <w:br/>
                              <w:t>“N</w:t>
                            </w:r>
                            <w:r>
                              <w:rPr>
                                <w:sz w:val="18"/>
                                <w:szCs w:val="18"/>
                              </w:rPr>
                              <w:t>om commercial</w:t>
                            </w:r>
                            <w:r w:rsidRPr="00B01067">
                              <w:rPr>
                                <w:sz w:val="18"/>
                                <w:szCs w:val="18"/>
                              </w:rPr>
                              <w:t>”, “N</w:t>
                            </w:r>
                            <w:r>
                              <w:rPr>
                                <w:sz w:val="18"/>
                                <w:szCs w:val="18"/>
                              </w:rPr>
                              <w:t>om du modèle</w:t>
                            </w:r>
                            <w:r w:rsidRPr="00B01067">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1CCF9A6" id="Zone de texte 13" o:spid="_x0000_s1027" type="#_x0000_t202" style="position:absolute;left:0;text-align:left;margin-left:216.1pt;margin-top:18.75pt;width:147.65pt;height:29.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" filled="f" stroked="f" strokeweight=".5pt">
                <v:textbox inset="0,0,0,0">
                  <w:txbxContent>
                    <w:p w:rsidR="00997A77" w:rsidRPr="00B01067" w:rsidRDefault="00997A77" w:rsidP="00997A77">
                      <w:pPr>
                        <w:spacing w:line="240" w:lineRule="auto"/>
                        <w:rPr>
                          <w:sz w:val="18"/>
                          <w:szCs w:val="18"/>
                        </w:rPr>
                      </w:pPr>
                      <w:r w:rsidRPr="00B01067">
                        <w:rPr>
                          <w:sz w:val="18"/>
                          <w:szCs w:val="18"/>
                        </w:rPr>
                        <w:t xml:space="preserve">R129-022439 </w:t>
                      </w:r>
                      <w:r w:rsidRPr="00B01067">
                        <w:rPr>
                          <w:sz w:val="18"/>
                          <w:szCs w:val="18"/>
                        </w:rPr>
                        <w:br/>
                        <w:t>“N</w:t>
                      </w:r>
                      <w:r>
                        <w:rPr>
                          <w:sz w:val="18"/>
                          <w:szCs w:val="18"/>
                        </w:rPr>
                        <w:t>om commercial</w:t>
                      </w:r>
                      <w:r w:rsidRPr="00B01067">
                        <w:rPr>
                          <w:sz w:val="18"/>
                          <w:szCs w:val="18"/>
                        </w:rPr>
                        <w:t>”, “N</w:t>
                      </w:r>
                      <w:r>
                        <w:rPr>
                          <w:sz w:val="18"/>
                          <w:szCs w:val="18"/>
                        </w:rPr>
                        <w:t>om du modèle</w:t>
                      </w:r>
                      <w:r w:rsidRPr="00B01067">
                        <w:rPr>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89CF3CA" wp14:editId="684177FA">
                <wp:simplePos x="0" y="0"/>
                <wp:positionH relativeFrom="column">
                  <wp:posOffset>744275</wp:posOffset>
                </wp:positionH>
                <wp:positionV relativeFrom="paragraph">
                  <wp:posOffset>46300</wp:posOffset>
                </wp:positionV>
                <wp:extent cx="4101548" cy="1411356"/>
                <wp:effectExtent l="0" t="0" r="13335" b="17780"/>
                <wp:wrapNone/>
                <wp:docPr id="14" name="Organigramme : Alternative 14"/>
                <wp:cNvGraphicFramePr/>
                <a:graphic xmlns:a="http://schemas.openxmlformats.org/drawingml/2006/main">
                  <a:graphicData uri="http://schemas.microsoft.com/office/word/2010/wordprocessingShape">
                    <wps:wsp>
                      <wps:cNvSpPr/>
                      <wps:spPr>
                        <a:xfrm>
                          <a:off x="0" y="0"/>
                          <a:ext cx="4101548" cy="1411356"/>
                        </a:xfrm>
                        <a:prstGeom prst="flowChartAlternateProcess">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F74F4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4" o:spid="_x0000_s1026" type="#_x0000_t176" style="position:absolute;margin-left:58.6pt;margin-top:3.65pt;width:322.95pt;height:1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" filled="f" strokecolor="black [3200]"/>
            </w:pict>
          </mc:Fallback>
        </mc:AlternateContent>
      </w:r>
      <w:r>
        <w:rPr>
          <w:noProof/>
          <w:lang w:val="en-GB" w:eastAsia="en-GB"/>
        </w:rPr>
        <w:drawing>
          <wp:inline distT="0" distB="0" distL="0" distR="0" wp14:anchorId="32A4ABBB" wp14:editId="725CECB6">
            <wp:extent cx="3922529" cy="1371600"/>
            <wp:effectExtent l="0" t="0" r="190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62" t="4325" r="2532" b="5967"/>
                    <a:stretch/>
                  </pic:blipFill>
                  <pic:spPr bwMode="auto">
                    <a:xfrm>
                      <a:off x="0" y="0"/>
                      <a:ext cx="3922529"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0A5911" w:rsidRDefault="000A5911" w:rsidP="00F55A68">
      <w:pPr>
        <w:keepNext/>
        <w:spacing w:after="120"/>
        <w:ind w:left="1138" w:right="1094"/>
        <w:jc w:val="both"/>
        <w:rPr>
          <w:lang w:val="fr-FR"/>
        </w:rPr>
      </w:pPr>
    </w:p>
    <w:p w:rsidR="00B15577" w:rsidRPr="00E53A2A" w:rsidRDefault="00B15577" w:rsidP="00A55667">
      <w:pPr>
        <w:ind w:left="1134"/>
        <w:rPr>
          <w:noProof/>
          <w:lang w:eastAsia="en-GB"/>
        </w:rPr>
      </w:pPr>
      <w:r w:rsidRPr="00CB45AD">
        <w:rPr>
          <w:noProof/>
          <w:lang w:val="en-GB" w:eastAsia="en-GB"/>
        </w:rPr>
        <mc:AlternateContent>
          <mc:Choice Requires="wps">
            <w:drawing>
              <wp:anchor distT="0" distB="0" distL="114300" distR="114300" simplePos="0" relativeHeight="251645440" behindDoc="0" locked="0" layoutInCell="1" allowOverlap="1" wp14:anchorId="25B8EF82" wp14:editId="42C906B9">
                <wp:simplePos x="0" y="0"/>
                <wp:positionH relativeFrom="column">
                  <wp:posOffset>989440</wp:posOffset>
                </wp:positionH>
                <wp:positionV relativeFrom="paragraph">
                  <wp:posOffset>1366051</wp:posOffset>
                </wp:positionV>
                <wp:extent cx="3631096" cy="397510"/>
                <wp:effectExtent l="0" t="0" r="762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096"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577" w:rsidRPr="005874A0" w:rsidRDefault="00B15577" w:rsidP="00B15577">
                            <w:pPr>
                              <w:rPr>
                                <w:i/>
                                <w:sz w:val="18"/>
                                <w:szCs w:val="18"/>
                              </w:rPr>
                            </w:pPr>
                            <w:r w:rsidRPr="005874A0">
                              <w:rPr>
                                <w:sz w:val="18"/>
                                <w:szCs w:val="18"/>
                              </w:rPr>
                              <w:t>Au choix du fabricant, un des symbole</w:t>
                            </w:r>
                            <w:r w:rsidR="005874A0">
                              <w:rPr>
                                <w:sz w:val="18"/>
                                <w:szCs w:val="18"/>
                              </w:rPr>
                              <w:t xml:space="preserve">s suivants doit être </w:t>
                            </w:r>
                            <w:r w:rsidRPr="005874A0">
                              <w:rPr>
                                <w:sz w:val="18"/>
                                <w:szCs w:val="18"/>
                              </w:rPr>
                              <w:t>utilisé sur l’étiquette du module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B8EF82" id="Text Box 2" o:spid="_x0000_s1028" type="#_x0000_t202" style="position:absolute;left:0;text-align:left;margin-left:77.9pt;margin-top:107.55pt;width:285.9pt;height:3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" stroked="f">
                <v:textbox inset="0,0,0,0">
                  <w:txbxContent>
                    <w:p w:rsidR="00B15577" w:rsidRPr="005874A0" w:rsidRDefault="00B15577" w:rsidP="00B15577">
                      <w:pPr>
                        <w:rPr>
                          <w:i/>
                          <w:sz w:val="18"/>
                          <w:szCs w:val="18"/>
                        </w:rPr>
                      </w:pPr>
                      <w:r w:rsidRPr="005874A0">
                        <w:rPr>
                          <w:sz w:val="18"/>
                          <w:szCs w:val="18"/>
                        </w:rPr>
                        <w:t>Au choix du fabricant, un des symbole</w:t>
                      </w:r>
                      <w:r w:rsidR="005874A0">
                        <w:rPr>
                          <w:sz w:val="18"/>
                          <w:szCs w:val="18"/>
                        </w:rPr>
                        <w:t xml:space="preserve">s suivants doit être </w:t>
                      </w:r>
                      <w:r w:rsidRPr="005874A0">
                        <w:rPr>
                          <w:sz w:val="18"/>
                          <w:szCs w:val="18"/>
                        </w:rPr>
                        <w:t>utilisé sur l’étiquette du module</w:t>
                      </w:r>
                    </w:p>
                  </w:txbxContent>
                </v:textbox>
              </v:shape>
            </w:pict>
          </mc:Fallback>
        </mc:AlternateContent>
      </w:r>
      <w:r w:rsidRPr="00CB45AD">
        <w:rPr>
          <w:noProof/>
          <w:lang w:val="en-GB" w:eastAsia="en-GB"/>
        </w:rPr>
        <w:drawing>
          <wp:inline distT="0" distB="0" distL="0" distR="0" wp14:anchorId="3513BF66" wp14:editId="51A27DE0">
            <wp:extent cx="4100400" cy="17928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0400" cy="1792800"/>
                    </a:xfrm>
                    <a:prstGeom prst="rect">
                      <a:avLst/>
                    </a:prstGeom>
                    <a:noFill/>
                    <a:ln>
                      <a:noFill/>
                    </a:ln>
                  </pic:spPr>
                </pic:pic>
              </a:graphicData>
            </a:graphic>
          </wp:inline>
        </w:drawing>
      </w:r>
    </w:p>
    <w:p w:rsidR="00B15577" w:rsidRPr="00E53A2A" w:rsidRDefault="00B15577" w:rsidP="00CB45AD">
      <w:pPr>
        <w:pStyle w:val="SingleTxtG"/>
        <w:jc w:val="right"/>
        <w:rPr>
          <w:i/>
          <w:iCs/>
        </w:rPr>
      </w:pPr>
      <w:r w:rsidRPr="00E53A2A">
        <w:rPr>
          <w:lang w:val="fr-FR"/>
        </w:rPr>
        <w:t>…</w:t>
      </w:r>
      <w:r w:rsidR="00F55A68">
        <w:rPr>
          <w:lang w:val="fr-FR"/>
        </w:rPr>
        <w:t> </w:t>
      </w:r>
      <w:r w:rsidRPr="00E53A2A">
        <w:rPr>
          <w:lang w:val="fr-FR"/>
        </w:rPr>
        <w:t>».</w:t>
      </w:r>
    </w:p>
    <w:p w:rsidR="00B15577" w:rsidRPr="00E53A2A" w:rsidRDefault="00B15577" w:rsidP="00F752CD">
      <w:pPr>
        <w:pStyle w:val="SingleTxtG"/>
        <w:keepNext/>
        <w:rPr>
          <w:i/>
          <w:snapToGrid w:val="0"/>
        </w:rPr>
      </w:pPr>
      <w:r w:rsidRPr="00E53A2A">
        <w:rPr>
          <w:i/>
          <w:lang w:val="fr-FR"/>
        </w:rPr>
        <w:t>Annexe 8</w:t>
      </w:r>
      <w:r w:rsidRPr="00CB45AD">
        <w:rPr>
          <w:lang w:val="fr-FR"/>
        </w:rPr>
        <w:t xml:space="preserve">, </w:t>
      </w:r>
    </w:p>
    <w:p w:rsidR="00B15577" w:rsidRPr="00E53A2A" w:rsidRDefault="00B15577" w:rsidP="00F752CD">
      <w:pPr>
        <w:pStyle w:val="SingleTxtG"/>
        <w:keepNext/>
        <w:rPr>
          <w:i/>
          <w:snapToGrid w:val="0"/>
        </w:rPr>
      </w:pPr>
      <w:r w:rsidRPr="00E53A2A">
        <w:rPr>
          <w:i/>
          <w:iCs/>
          <w:lang w:val="fr-FR"/>
        </w:rPr>
        <w:t>Paragraphe 1.1</w:t>
      </w:r>
      <w:r w:rsidRPr="00CB45AD">
        <w:rPr>
          <w:iCs/>
          <w:lang w:val="fr-FR"/>
        </w:rPr>
        <w:t>,</w:t>
      </w:r>
      <w:r w:rsidRPr="00CB45AD">
        <w:rPr>
          <w:lang w:val="fr-FR"/>
        </w:rPr>
        <w:t xml:space="preserve"> </w:t>
      </w:r>
      <w:r w:rsidRPr="00E53A2A">
        <w:rPr>
          <w:lang w:val="fr-FR"/>
        </w:rPr>
        <w:t>modifier comme suit</w:t>
      </w:r>
      <w:r w:rsidR="001140A3">
        <w:rPr>
          <w:lang w:val="fr-FR"/>
        </w:rPr>
        <w:t> :</w:t>
      </w:r>
    </w:p>
    <w:p w:rsidR="00B15577" w:rsidRPr="00E53A2A" w:rsidRDefault="00B15577" w:rsidP="00E53A2A">
      <w:pPr>
        <w:suppressAutoHyphens w:val="0"/>
        <w:spacing w:after="120"/>
        <w:ind w:left="2268" w:right="1134" w:hanging="1134"/>
        <w:jc w:val="both"/>
        <w:rPr>
          <w:snapToGrid w:val="0"/>
        </w:rPr>
      </w:pPr>
      <w:r w:rsidRPr="00E53A2A">
        <w:rPr>
          <w:lang w:val="fr-FR"/>
        </w:rPr>
        <w:t>«</w:t>
      </w:r>
      <w:r w:rsidR="00CB45AD">
        <w:rPr>
          <w:lang w:val="fr-FR"/>
        </w:rPr>
        <w:t> 1.1</w:t>
      </w:r>
      <w:r w:rsidRPr="00E53A2A">
        <w:rPr>
          <w:lang w:val="fr-FR"/>
        </w:rPr>
        <w:t xml:space="preserve"> </w:t>
      </w:r>
      <w:r w:rsidRPr="00E53A2A">
        <w:rPr>
          <w:lang w:val="fr-FR"/>
        </w:rPr>
        <w:tab/>
        <w:t>Les mannequins dont il est question dans le présent Règlement sont définis dans la présente annexe, dans les schémas techniques</w:t>
      </w:r>
      <w:r w:rsidR="007B4CB7" w:rsidRPr="007B4CB7">
        <w:rPr>
          <w:sz w:val="18"/>
          <w:szCs w:val="18"/>
          <w:vertAlign w:val="superscript"/>
          <w:lang w:val="fr-FR"/>
        </w:rPr>
        <w:t>1</w:t>
      </w:r>
      <w:r w:rsidRPr="00E53A2A">
        <w:rPr>
          <w:lang w:val="fr-FR"/>
        </w:rPr>
        <w:t xml:space="preserve"> et dans les manuels d</w:t>
      </w:r>
      <w:r w:rsidR="00A07264">
        <w:rPr>
          <w:lang w:val="fr-FR"/>
        </w:rPr>
        <w:t>’</w:t>
      </w:r>
      <w:r w:rsidRPr="00E53A2A">
        <w:rPr>
          <w:lang w:val="fr-FR"/>
        </w:rPr>
        <w:t>utilisation. Les capteurs de pression placés dans l</w:t>
      </w:r>
      <w:r w:rsidR="00A07264">
        <w:rPr>
          <w:lang w:val="fr-FR"/>
        </w:rPr>
        <w:t>’</w:t>
      </w:r>
      <w:r w:rsidRPr="00E53A2A">
        <w:rPr>
          <w:lang w:val="fr-FR"/>
        </w:rPr>
        <w:t>abdomen qui sont décrits dans le présent Règlement sont définis dans la présente annexe à l</w:t>
      </w:r>
      <w:r w:rsidR="00A07264">
        <w:rPr>
          <w:lang w:val="fr-FR"/>
        </w:rPr>
        <w:t>’</w:t>
      </w:r>
      <w:r w:rsidRPr="00E53A2A">
        <w:rPr>
          <w:lang w:val="fr-FR"/>
        </w:rPr>
        <w:t>aide de dessins techniques ainsi que dans les manuels d</w:t>
      </w:r>
      <w:r w:rsidR="00A07264">
        <w:rPr>
          <w:lang w:val="fr-FR"/>
        </w:rPr>
        <w:t>’</w:t>
      </w:r>
      <w:r w:rsidRPr="00E53A2A">
        <w:rPr>
          <w:lang w:val="fr-FR"/>
        </w:rPr>
        <w:t>utilisation.</w:t>
      </w:r>
      <w:r w:rsidR="00CB45AD">
        <w:rPr>
          <w:lang w:val="fr-FR"/>
        </w:rPr>
        <w:t> </w:t>
      </w:r>
      <w:r w:rsidRPr="00E53A2A">
        <w:rPr>
          <w:lang w:val="fr-FR"/>
        </w:rPr>
        <w:t>».</w:t>
      </w:r>
    </w:p>
    <w:p w:rsidR="00B15577" w:rsidRPr="0052611F" w:rsidRDefault="00B15577" w:rsidP="00CB45AD">
      <w:pPr>
        <w:pBdr>
          <w:bottom w:val="single" w:sz="4" w:space="1" w:color="auto"/>
        </w:pBdr>
        <w:suppressAutoHyphens w:val="0"/>
        <w:spacing w:after="60"/>
        <w:ind w:left="567" w:right="7938"/>
        <w:jc w:val="both"/>
        <w:rPr>
          <w:snapToGrid w:val="0"/>
          <w:sz w:val="16"/>
          <w:szCs w:val="16"/>
        </w:rPr>
      </w:pPr>
    </w:p>
    <w:p w:rsidR="00B15577" w:rsidRDefault="00B15577" w:rsidP="00CB45AD">
      <w:pPr>
        <w:pStyle w:val="FootnoteText"/>
        <w:spacing w:after="240" w:line="240" w:lineRule="atLeast"/>
        <w:rPr>
          <w:lang w:val="fr-FR"/>
        </w:rPr>
      </w:pPr>
      <w:r>
        <w:rPr>
          <w:lang w:val="fr-FR"/>
        </w:rPr>
        <w:tab/>
      </w:r>
      <w:r w:rsidRPr="00CB45AD">
        <w:rPr>
          <w:vertAlign w:val="superscript"/>
          <w:lang w:val="fr-FR"/>
        </w:rPr>
        <w:t>1</w:t>
      </w:r>
      <w:r>
        <w:rPr>
          <w:lang w:val="fr-FR"/>
        </w:rPr>
        <w:tab/>
        <w:t>Les caractéristiques de chaque mannequin ou des capteurs de pression placés dans l</w:t>
      </w:r>
      <w:r w:rsidR="00A07264">
        <w:rPr>
          <w:lang w:val="fr-FR"/>
        </w:rPr>
        <w:t>’</w:t>
      </w:r>
      <w:r>
        <w:rPr>
          <w:lang w:val="fr-FR"/>
        </w:rPr>
        <w:t>abdomen sont décrit</w:t>
      </w:r>
      <w:r w:rsidR="007B4CB7">
        <w:rPr>
          <w:lang w:val="fr-FR"/>
        </w:rPr>
        <w:t>e</w:t>
      </w:r>
      <w:r>
        <w:rPr>
          <w:lang w:val="fr-FR"/>
        </w:rPr>
        <w:t>s et affiché</w:t>
      </w:r>
      <w:r w:rsidR="007B4CB7">
        <w:rPr>
          <w:lang w:val="fr-FR"/>
        </w:rPr>
        <w:t>e</w:t>
      </w:r>
      <w:r>
        <w:rPr>
          <w:lang w:val="fr-FR"/>
        </w:rPr>
        <w:t>s à titre provisoire sur le site Web du groupe informel des dispositifs de retenue pour enfants (https</w:t>
      </w:r>
      <w:r w:rsidR="001140A3">
        <w:rPr>
          <w:lang w:val="fr-FR"/>
        </w:rPr>
        <w:t>:</w:t>
      </w:r>
      <w:r>
        <w:rPr>
          <w:lang w:val="fr-FR"/>
        </w:rPr>
        <w:t>//www2.unece.org/wiki/display/trans/Q-dummy+drawings) de la CEE.</w:t>
      </w:r>
    </w:p>
    <w:p w:rsidR="00B15577" w:rsidRPr="00FD67B6" w:rsidRDefault="00CB45AD" w:rsidP="001F3C39">
      <w:pPr>
        <w:pStyle w:val="SingleTxtG"/>
        <w:keepNext/>
        <w:rPr>
          <w:i/>
          <w:snapToGrid w:val="0"/>
        </w:rPr>
      </w:pPr>
      <w:r>
        <w:rPr>
          <w:lang w:val="fr-FR"/>
        </w:rPr>
        <w:br w:type="page"/>
      </w:r>
      <w:r w:rsidR="00B15577" w:rsidRPr="00FD67B6">
        <w:rPr>
          <w:i/>
          <w:iCs/>
          <w:lang w:val="fr-FR"/>
        </w:rPr>
        <w:t>Annexe 21</w:t>
      </w:r>
      <w:r w:rsidR="00B15577" w:rsidRPr="00CB45AD">
        <w:rPr>
          <w:iCs/>
          <w:lang w:val="fr-FR"/>
        </w:rPr>
        <w:t>,</w:t>
      </w:r>
      <w:r w:rsidR="00B15577" w:rsidRPr="00FD67B6">
        <w:rPr>
          <w:lang w:val="fr-FR"/>
        </w:rPr>
        <w:t xml:space="preserve"> modifier comme suit</w:t>
      </w:r>
      <w:r w:rsidR="001140A3">
        <w:rPr>
          <w:lang w:val="fr-FR"/>
        </w:rPr>
        <w:t> :</w:t>
      </w:r>
    </w:p>
    <w:p w:rsidR="00B15577" w:rsidRDefault="00B15577" w:rsidP="0055629B">
      <w:pPr>
        <w:pStyle w:val="HChG"/>
        <w:rPr>
          <w:snapToGrid w:val="0"/>
        </w:rPr>
      </w:pPr>
      <w:r w:rsidRPr="0055629B">
        <w:rPr>
          <w:b w:val="0"/>
          <w:sz w:val="20"/>
        </w:rPr>
        <w:t>«</w:t>
      </w:r>
      <w:r w:rsidR="003147EB" w:rsidRPr="0055629B">
        <w:rPr>
          <w:b w:val="0"/>
        </w:rPr>
        <w:t> </w:t>
      </w:r>
      <w:r>
        <w:rPr>
          <w:lang w:val="fr-FR"/>
        </w:rPr>
        <w:t>Annexe 21</w:t>
      </w:r>
    </w:p>
    <w:p w:rsidR="00B15577" w:rsidRPr="00D70F59" w:rsidRDefault="00B15577" w:rsidP="00B15577">
      <w:pPr>
        <w:keepNext/>
        <w:keepLines/>
        <w:spacing w:after="120"/>
        <w:ind w:left="2268"/>
        <w:jc w:val="both"/>
      </w:pPr>
      <w:r>
        <w:rPr>
          <w:lang w:val="fr-FR"/>
        </w:rPr>
        <w:t>«</w:t>
      </w:r>
      <w:r w:rsidR="001F3C39">
        <w:rPr>
          <w:lang w:val="fr-FR"/>
        </w:rPr>
        <w:t> </w:t>
      </w:r>
      <w:r>
        <w:rPr>
          <w:lang w:val="fr-FR"/>
        </w:rPr>
        <w:t>…</w:t>
      </w:r>
    </w:p>
    <w:p w:rsidR="00B15577" w:rsidRPr="00D21970" w:rsidRDefault="00B15577" w:rsidP="001F3C39">
      <w:pPr>
        <w:pStyle w:val="SingleTxtG"/>
        <w:ind w:left="2268"/>
        <w:jc w:val="left"/>
        <w:rPr>
          <w:snapToGrid w:val="0"/>
        </w:rPr>
      </w:pPr>
      <w:r w:rsidRPr="00D21970">
        <w:rPr>
          <w:lang w:val="fr-FR"/>
        </w:rPr>
        <w:t>Dispositif d</w:t>
      </w:r>
      <w:r w:rsidR="00A07264">
        <w:rPr>
          <w:lang w:val="fr-FR"/>
        </w:rPr>
        <w:t>’</w:t>
      </w:r>
      <w:r w:rsidRPr="00D21970">
        <w:rPr>
          <w:lang w:val="fr-FR"/>
        </w:rPr>
        <w:t>application de la force II</w:t>
      </w:r>
    </w:p>
    <w:p w:rsidR="00B15577" w:rsidRPr="004F0EBE" w:rsidRDefault="00B15577" w:rsidP="001F3C39">
      <w:pPr>
        <w:pStyle w:val="SingleTxtG"/>
        <w:ind w:left="2268"/>
        <w:jc w:val="left"/>
        <w:rPr>
          <w:snapToGrid w:val="0"/>
        </w:rPr>
      </w:pPr>
      <w:r>
        <w:rPr>
          <w:lang w:val="fr-FR"/>
        </w:rPr>
        <w:t>…</w:t>
      </w:r>
    </w:p>
    <w:tbl>
      <w:tblPr>
        <w:tblW w:w="85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0"/>
        <w:gridCol w:w="992"/>
        <w:gridCol w:w="1276"/>
        <w:gridCol w:w="1134"/>
        <w:gridCol w:w="992"/>
        <w:gridCol w:w="1134"/>
        <w:gridCol w:w="1075"/>
      </w:tblGrid>
      <w:tr w:rsidR="00B15577" w:rsidRPr="00B37579" w:rsidTr="00073627">
        <w:trPr>
          <w:tblHeader/>
        </w:trPr>
        <w:tc>
          <w:tcPr>
            <w:tcW w:w="1990" w:type="dxa"/>
            <w:shd w:val="clear" w:color="auto" w:fill="auto"/>
            <w:vAlign w:val="bottom"/>
            <w:hideMark/>
          </w:tcPr>
          <w:p w:rsidR="00B15577" w:rsidRPr="00B37579" w:rsidRDefault="00B15577" w:rsidP="005717B4">
            <w:pPr>
              <w:suppressAutoHyphens w:val="0"/>
              <w:spacing w:before="60" w:after="60"/>
              <w:ind w:left="57" w:right="57"/>
              <w:rPr>
                <w:i/>
                <w:sz w:val="18"/>
                <w:szCs w:val="18"/>
              </w:rPr>
            </w:pPr>
            <w:r w:rsidRPr="00B37579">
              <w:rPr>
                <w:i/>
                <w:sz w:val="18"/>
                <w:szCs w:val="18"/>
              </w:rPr>
              <w:t>Longueurs</w:t>
            </w:r>
          </w:p>
        </w:tc>
        <w:tc>
          <w:tcPr>
            <w:tcW w:w="992" w:type="dxa"/>
            <w:shd w:val="clear" w:color="auto" w:fill="auto"/>
            <w:vAlign w:val="bottom"/>
            <w:hideMark/>
          </w:tcPr>
          <w:p w:rsidR="00B15577" w:rsidRPr="00B37579" w:rsidRDefault="00997A77" w:rsidP="005717B4">
            <w:pPr>
              <w:suppressAutoHyphens w:val="0"/>
              <w:spacing w:before="60" w:after="60"/>
              <w:ind w:left="57" w:right="57"/>
              <w:jc w:val="right"/>
              <w:rPr>
                <w:i/>
                <w:sz w:val="18"/>
                <w:szCs w:val="18"/>
              </w:rPr>
            </w:pPr>
            <w:r>
              <w:rPr>
                <w:i/>
                <w:sz w:val="18"/>
                <w:szCs w:val="18"/>
              </w:rPr>
              <w:t>(+/-</w:t>
            </w:r>
            <w:r w:rsidR="00B15577" w:rsidRPr="00B37579">
              <w:rPr>
                <w:i/>
                <w:sz w:val="18"/>
                <w:szCs w:val="18"/>
              </w:rPr>
              <w:t>5 mm)</w:t>
            </w:r>
          </w:p>
        </w:tc>
        <w:tc>
          <w:tcPr>
            <w:tcW w:w="1276" w:type="dxa"/>
            <w:shd w:val="clear" w:color="auto" w:fill="auto"/>
            <w:vAlign w:val="bottom"/>
          </w:tcPr>
          <w:p w:rsidR="00B15577" w:rsidRPr="00B37579" w:rsidRDefault="00B15577" w:rsidP="005717B4">
            <w:pPr>
              <w:suppressAutoHyphens w:val="0"/>
              <w:spacing w:before="60" w:after="60"/>
              <w:ind w:left="57" w:right="57"/>
              <w:jc w:val="right"/>
              <w:rPr>
                <w:i/>
                <w:sz w:val="18"/>
                <w:szCs w:val="18"/>
                <w:lang w:eastAsia="ja-JP"/>
              </w:rPr>
            </w:pPr>
          </w:p>
        </w:tc>
        <w:tc>
          <w:tcPr>
            <w:tcW w:w="1134" w:type="dxa"/>
            <w:shd w:val="clear" w:color="auto" w:fill="auto"/>
            <w:vAlign w:val="bottom"/>
          </w:tcPr>
          <w:p w:rsidR="00B15577" w:rsidRPr="00B37579" w:rsidRDefault="00B15577" w:rsidP="005717B4">
            <w:pPr>
              <w:suppressAutoHyphens w:val="0"/>
              <w:spacing w:before="60" w:after="60"/>
              <w:ind w:left="57" w:right="57"/>
              <w:jc w:val="right"/>
              <w:rPr>
                <w:i/>
                <w:sz w:val="18"/>
                <w:szCs w:val="18"/>
                <w:lang w:eastAsia="ja-JP"/>
              </w:rPr>
            </w:pPr>
          </w:p>
        </w:tc>
        <w:tc>
          <w:tcPr>
            <w:tcW w:w="992" w:type="dxa"/>
            <w:shd w:val="clear" w:color="auto" w:fill="auto"/>
            <w:vAlign w:val="bottom"/>
          </w:tcPr>
          <w:p w:rsidR="00B15577" w:rsidRPr="00B37579" w:rsidRDefault="00B15577" w:rsidP="005717B4">
            <w:pPr>
              <w:suppressAutoHyphens w:val="0"/>
              <w:spacing w:before="60" w:after="60"/>
              <w:ind w:left="57" w:right="57"/>
              <w:jc w:val="right"/>
              <w:rPr>
                <w:i/>
                <w:sz w:val="18"/>
                <w:szCs w:val="18"/>
                <w:lang w:eastAsia="ja-JP"/>
              </w:rPr>
            </w:pPr>
          </w:p>
        </w:tc>
        <w:tc>
          <w:tcPr>
            <w:tcW w:w="1134" w:type="dxa"/>
            <w:shd w:val="clear" w:color="auto" w:fill="auto"/>
            <w:vAlign w:val="bottom"/>
          </w:tcPr>
          <w:p w:rsidR="00B15577" w:rsidRPr="00B37579" w:rsidRDefault="00B15577" w:rsidP="005717B4">
            <w:pPr>
              <w:suppressAutoHyphens w:val="0"/>
              <w:spacing w:before="60" w:after="60"/>
              <w:ind w:left="57" w:right="57"/>
              <w:jc w:val="right"/>
              <w:rPr>
                <w:i/>
                <w:sz w:val="18"/>
                <w:szCs w:val="18"/>
                <w:lang w:eastAsia="ja-JP"/>
              </w:rPr>
            </w:pPr>
          </w:p>
        </w:tc>
        <w:tc>
          <w:tcPr>
            <w:tcW w:w="1075" w:type="dxa"/>
            <w:shd w:val="clear" w:color="auto" w:fill="auto"/>
            <w:vAlign w:val="center"/>
          </w:tcPr>
          <w:p w:rsidR="00B15577" w:rsidRPr="00B37579" w:rsidRDefault="00B15577" w:rsidP="005717B4">
            <w:pPr>
              <w:suppressAutoHyphens w:val="0"/>
              <w:spacing w:before="60" w:after="60"/>
              <w:ind w:left="57" w:right="57"/>
              <w:jc w:val="center"/>
              <w:rPr>
                <w:rFonts w:ascii="Arial" w:hAnsi="Arial" w:cs="Arial"/>
                <w:color w:val="808080"/>
                <w:sz w:val="18"/>
                <w:szCs w:val="18"/>
                <w:lang w:eastAsia="en-GB"/>
              </w:rPr>
            </w:pPr>
            <w:r w:rsidRPr="00B37579">
              <w:rPr>
                <w:rFonts w:ascii="Calibri" w:hAnsi="Calibri" w:cs="Arial"/>
                <w:bCs/>
                <w:color w:val="808080"/>
                <w:kern w:val="24"/>
                <w:sz w:val="18"/>
                <w:szCs w:val="18"/>
                <w:lang w:val="fr-FR" w:eastAsia="en-GB"/>
              </w:rPr>
              <w:t> </w:t>
            </w:r>
          </w:p>
        </w:tc>
      </w:tr>
      <w:tr w:rsidR="00B15577" w:rsidRPr="00B37579" w:rsidTr="00073627">
        <w:tc>
          <w:tcPr>
            <w:tcW w:w="1990" w:type="dxa"/>
            <w:shd w:val="clear" w:color="auto" w:fill="auto"/>
          </w:tcPr>
          <w:p w:rsidR="00B15577" w:rsidRPr="00B37579" w:rsidRDefault="00B15577" w:rsidP="005717B4">
            <w:pPr>
              <w:suppressAutoHyphens w:val="0"/>
              <w:spacing w:before="60" w:after="60"/>
              <w:ind w:left="57" w:right="57"/>
              <w:rPr>
                <w:sz w:val="18"/>
                <w:szCs w:val="18"/>
                <w:lang w:eastAsia="ja-JP"/>
              </w:rPr>
            </w:pP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Q 0</w:t>
            </w:r>
          </w:p>
        </w:tc>
        <w:tc>
          <w:tcPr>
            <w:tcW w:w="1276"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Q 1</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Q 1,5</w:t>
            </w: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Q 3</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Q 6</w:t>
            </w:r>
          </w:p>
        </w:tc>
        <w:tc>
          <w:tcPr>
            <w:tcW w:w="1075" w:type="dxa"/>
            <w:shd w:val="clear" w:color="auto" w:fill="auto"/>
            <w:vAlign w:val="center"/>
          </w:tcPr>
          <w:p w:rsidR="00B15577" w:rsidRPr="00B37579" w:rsidRDefault="00B15577" w:rsidP="005717B4">
            <w:pPr>
              <w:suppressAutoHyphens w:val="0"/>
              <w:spacing w:before="60" w:after="60"/>
              <w:ind w:left="57" w:right="57"/>
              <w:jc w:val="right"/>
              <w:rPr>
                <w:sz w:val="18"/>
                <w:szCs w:val="18"/>
              </w:rPr>
            </w:pPr>
            <w:r w:rsidRPr="00B37579">
              <w:rPr>
                <w:sz w:val="18"/>
                <w:szCs w:val="18"/>
              </w:rPr>
              <w:t>Q 10</w:t>
            </w:r>
          </w:p>
        </w:tc>
      </w:tr>
      <w:tr w:rsidR="00B15577" w:rsidRPr="00B37579" w:rsidTr="00073627">
        <w:tc>
          <w:tcPr>
            <w:tcW w:w="1990" w:type="dxa"/>
            <w:shd w:val="clear" w:color="auto" w:fill="auto"/>
            <w:hideMark/>
          </w:tcPr>
          <w:p w:rsidR="00B15577" w:rsidRPr="00B37579" w:rsidRDefault="00B15577" w:rsidP="005717B4">
            <w:pPr>
              <w:suppressAutoHyphens w:val="0"/>
              <w:spacing w:before="60" w:after="60"/>
              <w:ind w:left="57" w:right="57"/>
              <w:rPr>
                <w:sz w:val="18"/>
                <w:szCs w:val="18"/>
              </w:rPr>
            </w:pPr>
            <w:r w:rsidRPr="00B37579">
              <w:rPr>
                <w:sz w:val="18"/>
                <w:szCs w:val="18"/>
                <w:lang w:val="fr-FR"/>
              </w:rPr>
              <w:t>Sangle principale (A)</w:t>
            </w: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1</w:t>
            </w:r>
            <w:r w:rsidR="003147EB" w:rsidRPr="00B37579">
              <w:rPr>
                <w:sz w:val="18"/>
                <w:szCs w:val="18"/>
              </w:rPr>
              <w:t> </w:t>
            </w:r>
            <w:r w:rsidRPr="00B37579">
              <w:rPr>
                <w:sz w:val="18"/>
                <w:szCs w:val="18"/>
              </w:rPr>
              <w:t>740 mm</w:t>
            </w:r>
          </w:p>
        </w:tc>
        <w:tc>
          <w:tcPr>
            <w:tcW w:w="1276"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1</w:t>
            </w:r>
            <w:r w:rsidR="003147EB" w:rsidRPr="00B37579">
              <w:rPr>
                <w:sz w:val="18"/>
                <w:szCs w:val="18"/>
              </w:rPr>
              <w:t> </w:t>
            </w:r>
            <w:r w:rsidRPr="00B37579">
              <w:rPr>
                <w:sz w:val="18"/>
                <w:szCs w:val="18"/>
              </w:rPr>
              <w:t>850 mm</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1</w:t>
            </w:r>
            <w:r w:rsidR="003147EB" w:rsidRPr="00B37579">
              <w:rPr>
                <w:sz w:val="18"/>
                <w:szCs w:val="18"/>
              </w:rPr>
              <w:t> </w:t>
            </w:r>
            <w:r w:rsidRPr="00B37579">
              <w:rPr>
                <w:sz w:val="18"/>
                <w:szCs w:val="18"/>
              </w:rPr>
              <w:t>900 mm</w:t>
            </w: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2</w:t>
            </w:r>
            <w:r w:rsidR="003147EB" w:rsidRPr="00B37579">
              <w:rPr>
                <w:sz w:val="18"/>
                <w:szCs w:val="18"/>
              </w:rPr>
              <w:t> </w:t>
            </w:r>
            <w:r w:rsidRPr="00B37579">
              <w:rPr>
                <w:sz w:val="18"/>
                <w:szCs w:val="18"/>
              </w:rPr>
              <w:t>000 mm</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2</w:t>
            </w:r>
            <w:r w:rsidR="003147EB" w:rsidRPr="00B37579">
              <w:rPr>
                <w:sz w:val="18"/>
                <w:szCs w:val="18"/>
              </w:rPr>
              <w:t> </w:t>
            </w:r>
            <w:r w:rsidRPr="00B37579">
              <w:rPr>
                <w:sz w:val="18"/>
                <w:szCs w:val="18"/>
              </w:rPr>
              <w:t>000 mm</w:t>
            </w:r>
          </w:p>
        </w:tc>
        <w:tc>
          <w:tcPr>
            <w:tcW w:w="1075" w:type="dxa"/>
            <w:shd w:val="clear" w:color="auto" w:fill="auto"/>
            <w:vAlign w:val="bottom"/>
          </w:tcPr>
          <w:p w:rsidR="00B15577" w:rsidRPr="00B37579" w:rsidRDefault="00B15577" w:rsidP="00B37579">
            <w:pPr>
              <w:suppressAutoHyphens w:val="0"/>
              <w:spacing w:before="60" w:after="60"/>
              <w:ind w:left="57" w:right="57"/>
              <w:jc w:val="right"/>
              <w:rPr>
                <w:sz w:val="18"/>
                <w:szCs w:val="18"/>
                <w:lang w:eastAsia="en-GB"/>
              </w:rPr>
            </w:pPr>
            <w:r w:rsidRPr="00B37579">
              <w:rPr>
                <w:sz w:val="18"/>
                <w:szCs w:val="18"/>
              </w:rPr>
              <w:t>2</w:t>
            </w:r>
            <w:r w:rsidR="003147EB" w:rsidRPr="00B37579">
              <w:rPr>
                <w:sz w:val="18"/>
                <w:szCs w:val="18"/>
              </w:rPr>
              <w:t> </w:t>
            </w:r>
            <w:r w:rsidRPr="00B37579">
              <w:rPr>
                <w:sz w:val="18"/>
                <w:szCs w:val="18"/>
              </w:rPr>
              <w:t>100 mm</w:t>
            </w:r>
          </w:p>
        </w:tc>
      </w:tr>
      <w:tr w:rsidR="00B15577" w:rsidRPr="00B37579" w:rsidTr="00073627">
        <w:tc>
          <w:tcPr>
            <w:tcW w:w="1990" w:type="dxa"/>
            <w:shd w:val="clear" w:color="auto" w:fill="auto"/>
            <w:hideMark/>
          </w:tcPr>
          <w:p w:rsidR="00B15577" w:rsidRPr="00B37579" w:rsidRDefault="00B15577" w:rsidP="005717B4">
            <w:pPr>
              <w:suppressAutoHyphens w:val="0"/>
              <w:spacing w:before="60" w:after="60"/>
              <w:ind w:left="57" w:right="57"/>
              <w:rPr>
                <w:sz w:val="18"/>
                <w:szCs w:val="18"/>
              </w:rPr>
            </w:pPr>
            <w:r w:rsidRPr="00B37579">
              <w:rPr>
                <w:sz w:val="18"/>
                <w:szCs w:val="18"/>
                <w:lang w:val="fr-FR"/>
              </w:rPr>
              <w:t>Sangle abdominale (B)</w:t>
            </w: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530 mm</w:t>
            </w:r>
          </w:p>
        </w:tc>
        <w:tc>
          <w:tcPr>
            <w:tcW w:w="1276"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560 mm</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600 mm</w:t>
            </w: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630 mm</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660 mm</w:t>
            </w:r>
          </w:p>
        </w:tc>
        <w:tc>
          <w:tcPr>
            <w:tcW w:w="1075" w:type="dxa"/>
            <w:shd w:val="clear" w:color="auto" w:fill="auto"/>
            <w:vAlign w:val="bottom"/>
          </w:tcPr>
          <w:p w:rsidR="00B15577" w:rsidRPr="00B37579" w:rsidRDefault="00B37579" w:rsidP="005717B4">
            <w:pPr>
              <w:suppressAutoHyphens w:val="0"/>
              <w:spacing w:before="60" w:after="60"/>
              <w:ind w:left="57" w:right="57"/>
              <w:jc w:val="right"/>
              <w:rPr>
                <w:sz w:val="18"/>
                <w:szCs w:val="18"/>
                <w:lang w:eastAsia="en-GB"/>
              </w:rPr>
            </w:pPr>
            <w:r w:rsidRPr="00B37579">
              <w:rPr>
                <w:sz w:val="18"/>
                <w:szCs w:val="18"/>
              </w:rPr>
              <w:t xml:space="preserve"> </w:t>
            </w:r>
            <w:r w:rsidR="00B15577" w:rsidRPr="00B37579">
              <w:rPr>
                <w:sz w:val="18"/>
                <w:szCs w:val="18"/>
              </w:rPr>
              <w:t>800 mm</w:t>
            </w:r>
          </w:p>
        </w:tc>
      </w:tr>
      <w:tr w:rsidR="00B15577" w:rsidRPr="00B37579" w:rsidTr="00073627">
        <w:tc>
          <w:tcPr>
            <w:tcW w:w="1990" w:type="dxa"/>
            <w:shd w:val="clear" w:color="auto" w:fill="auto"/>
            <w:hideMark/>
          </w:tcPr>
          <w:p w:rsidR="00B15577" w:rsidRPr="00B37579" w:rsidRDefault="00B15577" w:rsidP="005717B4">
            <w:pPr>
              <w:suppressAutoHyphens w:val="0"/>
              <w:spacing w:before="60" w:after="60"/>
              <w:ind w:left="57" w:right="57"/>
              <w:rPr>
                <w:sz w:val="18"/>
                <w:szCs w:val="18"/>
              </w:rPr>
            </w:pPr>
            <w:r w:rsidRPr="00B37579">
              <w:rPr>
                <w:sz w:val="18"/>
                <w:szCs w:val="18"/>
                <w:lang w:val="fr-FR"/>
              </w:rPr>
              <w:t>Dimension inférieure (C)</w:t>
            </w: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125 mm</w:t>
            </w:r>
          </w:p>
        </w:tc>
        <w:tc>
          <w:tcPr>
            <w:tcW w:w="1276"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150 mm</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150 mm</w:t>
            </w: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170 mm</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200 mm</w:t>
            </w:r>
          </w:p>
        </w:tc>
        <w:tc>
          <w:tcPr>
            <w:tcW w:w="1075" w:type="dxa"/>
            <w:shd w:val="clear" w:color="auto" w:fill="auto"/>
            <w:vAlign w:val="bottom"/>
          </w:tcPr>
          <w:p w:rsidR="00B15577" w:rsidRPr="00B37579" w:rsidRDefault="00B15577" w:rsidP="005717B4">
            <w:pPr>
              <w:suppressAutoHyphens w:val="0"/>
              <w:spacing w:before="60" w:after="60"/>
              <w:ind w:left="57" w:right="57"/>
              <w:jc w:val="right"/>
              <w:rPr>
                <w:sz w:val="18"/>
                <w:szCs w:val="18"/>
              </w:rPr>
            </w:pPr>
            <w:r w:rsidRPr="00B37579">
              <w:rPr>
                <w:sz w:val="18"/>
                <w:szCs w:val="18"/>
              </w:rPr>
              <w:t>200 mm</w:t>
            </w:r>
          </w:p>
        </w:tc>
      </w:tr>
      <w:tr w:rsidR="00B15577" w:rsidRPr="00B37579" w:rsidTr="00073627">
        <w:tc>
          <w:tcPr>
            <w:tcW w:w="1990" w:type="dxa"/>
            <w:shd w:val="clear" w:color="auto" w:fill="auto"/>
            <w:hideMark/>
          </w:tcPr>
          <w:p w:rsidR="00B15577" w:rsidRPr="00B37579" w:rsidRDefault="00B15577" w:rsidP="005717B4">
            <w:pPr>
              <w:suppressAutoHyphens w:val="0"/>
              <w:spacing w:before="60" w:after="60"/>
              <w:ind w:left="57" w:right="57"/>
              <w:rPr>
                <w:sz w:val="18"/>
                <w:szCs w:val="18"/>
              </w:rPr>
            </w:pPr>
            <w:r w:rsidRPr="00B37579">
              <w:rPr>
                <w:sz w:val="18"/>
                <w:szCs w:val="18"/>
                <w:lang w:val="fr-FR"/>
              </w:rPr>
              <w:t>Dimension moyenne (D)</w:t>
            </w: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270 mm</w:t>
            </w:r>
          </w:p>
        </w:tc>
        <w:tc>
          <w:tcPr>
            <w:tcW w:w="1276"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300 mm</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350 mm</w:t>
            </w:r>
          </w:p>
        </w:tc>
        <w:tc>
          <w:tcPr>
            <w:tcW w:w="992"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380 mm</w:t>
            </w:r>
          </w:p>
        </w:tc>
        <w:tc>
          <w:tcPr>
            <w:tcW w:w="1134" w:type="dxa"/>
            <w:shd w:val="clear" w:color="auto" w:fill="auto"/>
            <w:vAlign w:val="bottom"/>
            <w:hideMark/>
          </w:tcPr>
          <w:p w:rsidR="00B15577" w:rsidRPr="00B37579" w:rsidRDefault="00B15577" w:rsidP="005717B4">
            <w:pPr>
              <w:suppressAutoHyphens w:val="0"/>
              <w:spacing w:before="60" w:after="60"/>
              <w:ind w:left="57" w:right="57"/>
              <w:jc w:val="right"/>
              <w:rPr>
                <w:sz w:val="18"/>
                <w:szCs w:val="18"/>
              </w:rPr>
            </w:pPr>
            <w:r w:rsidRPr="00B37579">
              <w:rPr>
                <w:sz w:val="18"/>
                <w:szCs w:val="18"/>
              </w:rPr>
              <w:t>380 mm</w:t>
            </w:r>
          </w:p>
        </w:tc>
        <w:tc>
          <w:tcPr>
            <w:tcW w:w="1075" w:type="dxa"/>
            <w:shd w:val="clear" w:color="auto" w:fill="auto"/>
            <w:vAlign w:val="bottom"/>
          </w:tcPr>
          <w:p w:rsidR="00B15577" w:rsidRPr="00B37579" w:rsidRDefault="00B15577" w:rsidP="005717B4">
            <w:pPr>
              <w:suppressAutoHyphens w:val="0"/>
              <w:spacing w:before="60" w:after="60"/>
              <w:ind w:left="57" w:right="57"/>
              <w:jc w:val="right"/>
              <w:rPr>
                <w:sz w:val="18"/>
                <w:szCs w:val="18"/>
              </w:rPr>
            </w:pPr>
            <w:r w:rsidRPr="00B37579">
              <w:rPr>
                <w:sz w:val="18"/>
                <w:szCs w:val="18"/>
              </w:rPr>
              <w:t>400 mm</w:t>
            </w:r>
          </w:p>
        </w:tc>
      </w:tr>
    </w:tbl>
    <w:p w:rsidR="00F9573C" w:rsidRDefault="00B15577" w:rsidP="00073627">
      <w:pPr>
        <w:pStyle w:val="SingleTxtG"/>
        <w:spacing w:before="120"/>
        <w:ind w:left="2268" w:right="0"/>
        <w:jc w:val="right"/>
        <w:rPr>
          <w:lang w:val="fr-FR"/>
        </w:rPr>
      </w:pPr>
      <w:r>
        <w:rPr>
          <w:lang w:val="fr-FR"/>
        </w:rPr>
        <w:t>…</w:t>
      </w:r>
      <w:r w:rsidR="00997A77">
        <w:rPr>
          <w:lang w:val="fr-FR"/>
        </w:rPr>
        <w:t> </w:t>
      </w:r>
      <w:r>
        <w:rPr>
          <w:lang w:val="fr-FR"/>
        </w:rPr>
        <w:t>»</w:t>
      </w:r>
      <w:r w:rsidR="00997A77">
        <w:rPr>
          <w:lang w:val="fr-FR"/>
        </w:rPr>
        <w:t>.</w:t>
      </w:r>
    </w:p>
    <w:p w:rsidR="00B37579" w:rsidRPr="00B37579" w:rsidRDefault="00B37579" w:rsidP="00B37579">
      <w:pPr>
        <w:pStyle w:val="SingleTxtG"/>
        <w:spacing w:before="240" w:after="0"/>
        <w:jc w:val="center"/>
        <w:rPr>
          <w:u w:val="single"/>
        </w:rPr>
      </w:pPr>
      <w:r>
        <w:rPr>
          <w:u w:val="single"/>
        </w:rPr>
        <w:tab/>
      </w:r>
      <w:r>
        <w:rPr>
          <w:u w:val="single"/>
        </w:rPr>
        <w:tab/>
      </w:r>
      <w:r>
        <w:rPr>
          <w:u w:val="single"/>
        </w:rPr>
        <w:tab/>
      </w:r>
    </w:p>
    <w:sectPr w:rsidR="00B37579" w:rsidRPr="00B37579" w:rsidSect="008776A5">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37" w:rsidRDefault="00037E37" w:rsidP="00F95C08">
      <w:pPr>
        <w:spacing w:line="240" w:lineRule="auto"/>
      </w:pPr>
    </w:p>
  </w:endnote>
  <w:endnote w:type="continuationSeparator" w:id="0">
    <w:p w:rsidR="00037E37" w:rsidRPr="00AC3823" w:rsidRDefault="00037E37" w:rsidP="00AC3823">
      <w:pPr>
        <w:pStyle w:val="Footer"/>
      </w:pPr>
    </w:p>
  </w:endnote>
  <w:endnote w:type="continuationNotice" w:id="1">
    <w:p w:rsidR="00037E37" w:rsidRDefault="00037E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A5" w:rsidRPr="008776A5" w:rsidRDefault="008776A5" w:rsidP="008776A5">
    <w:pPr>
      <w:pStyle w:val="Footer"/>
      <w:tabs>
        <w:tab w:val="right" w:pos="9638"/>
      </w:tabs>
    </w:pPr>
    <w:r w:rsidRPr="008776A5">
      <w:rPr>
        <w:b/>
        <w:sz w:val="18"/>
      </w:rPr>
      <w:fldChar w:fldCharType="begin"/>
    </w:r>
    <w:r w:rsidRPr="008776A5">
      <w:rPr>
        <w:b/>
        <w:sz w:val="18"/>
      </w:rPr>
      <w:instrText xml:space="preserve"> PAGE  \* MERGEFORMAT </w:instrText>
    </w:r>
    <w:r w:rsidRPr="008776A5">
      <w:rPr>
        <w:b/>
        <w:sz w:val="18"/>
      </w:rPr>
      <w:fldChar w:fldCharType="separate"/>
    </w:r>
    <w:r w:rsidR="000C2CF7">
      <w:rPr>
        <w:b/>
        <w:noProof/>
        <w:sz w:val="18"/>
      </w:rPr>
      <w:t>6</w:t>
    </w:r>
    <w:r w:rsidRPr="008776A5">
      <w:rPr>
        <w:b/>
        <w:sz w:val="18"/>
      </w:rPr>
      <w:fldChar w:fldCharType="end"/>
    </w:r>
    <w:r>
      <w:rPr>
        <w:b/>
        <w:sz w:val="18"/>
      </w:rPr>
      <w:tab/>
    </w:r>
    <w:r>
      <w:t>GE.17-05478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A5" w:rsidRPr="008776A5" w:rsidRDefault="008776A5" w:rsidP="008776A5">
    <w:pPr>
      <w:pStyle w:val="Footer"/>
      <w:tabs>
        <w:tab w:val="right" w:pos="9638"/>
      </w:tabs>
      <w:rPr>
        <w:b/>
        <w:sz w:val="18"/>
      </w:rPr>
    </w:pPr>
    <w:r>
      <w:t>GE.17-05478</w:t>
    </w:r>
    <w:r>
      <w:tab/>
    </w:r>
    <w:r w:rsidRPr="008776A5">
      <w:rPr>
        <w:b/>
        <w:sz w:val="18"/>
      </w:rPr>
      <w:fldChar w:fldCharType="begin"/>
    </w:r>
    <w:r w:rsidRPr="008776A5">
      <w:rPr>
        <w:b/>
        <w:sz w:val="18"/>
      </w:rPr>
      <w:instrText xml:space="preserve"> PAGE  \* MERGEFORMAT </w:instrText>
    </w:r>
    <w:r w:rsidRPr="008776A5">
      <w:rPr>
        <w:b/>
        <w:sz w:val="18"/>
      </w:rPr>
      <w:fldChar w:fldCharType="separate"/>
    </w:r>
    <w:r w:rsidR="000C2CF7">
      <w:rPr>
        <w:b/>
        <w:noProof/>
        <w:sz w:val="18"/>
      </w:rPr>
      <w:t>5</w:t>
    </w:r>
    <w:r w:rsidRPr="008776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776A5" w:rsidRDefault="008776A5" w:rsidP="008776A5">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17-05478  (F)    280417    020517</w:t>
    </w:r>
    <w:r>
      <w:rPr>
        <w:sz w:val="20"/>
      </w:rPr>
      <w:br/>
    </w:r>
    <w:r w:rsidRPr="008776A5">
      <w:rPr>
        <w:rFonts w:ascii="C39T30Lfz" w:hAnsi="C39T30Lfz"/>
        <w:sz w:val="56"/>
      </w:rPr>
      <w:t></w:t>
    </w:r>
    <w:r w:rsidRPr="008776A5">
      <w:rPr>
        <w:rFonts w:ascii="C39T30Lfz" w:hAnsi="C39T30Lfz"/>
        <w:sz w:val="56"/>
      </w:rPr>
      <w:t></w:t>
    </w:r>
    <w:r w:rsidRPr="008776A5">
      <w:rPr>
        <w:rFonts w:ascii="C39T30Lfz" w:hAnsi="C39T30Lfz"/>
        <w:sz w:val="56"/>
      </w:rPr>
      <w:t></w:t>
    </w:r>
    <w:r w:rsidRPr="008776A5">
      <w:rPr>
        <w:rFonts w:ascii="C39T30Lfz" w:hAnsi="C39T30Lfz"/>
        <w:sz w:val="56"/>
      </w:rPr>
      <w:t></w:t>
    </w:r>
    <w:r w:rsidRPr="008776A5">
      <w:rPr>
        <w:rFonts w:ascii="C39T30Lfz" w:hAnsi="C39T30Lfz"/>
        <w:sz w:val="56"/>
      </w:rPr>
      <w:t></w:t>
    </w:r>
    <w:r w:rsidRPr="008776A5">
      <w:rPr>
        <w:rFonts w:ascii="C39T30Lfz" w:hAnsi="C39T30Lfz"/>
        <w:sz w:val="56"/>
      </w:rPr>
      <w:t></w:t>
    </w:r>
    <w:r w:rsidRPr="008776A5">
      <w:rPr>
        <w:rFonts w:ascii="C39T30Lfz" w:hAnsi="C39T30Lfz"/>
        <w:sz w:val="56"/>
      </w:rPr>
      <w:t></w:t>
    </w:r>
    <w:r w:rsidRPr="008776A5">
      <w:rPr>
        <w:rFonts w:ascii="C39T30Lfz" w:hAnsi="C39T30Lfz"/>
        <w:sz w:val="56"/>
      </w:rPr>
      <w:t></w:t>
    </w:r>
    <w:r w:rsidRPr="008776A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37" w:rsidRPr="00AC3823" w:rsidRDefault="00037E37" w:rsidP="00AC3823">
      <w:pPr>
        <w:pStyle w:val="Footer"/>
        <w:tabs>
          <w:tab w:val="right" w:pos="2155"/>
        </w:tabs>
        <w:spacing w:after="80" w:line="240" w:lineRule="atLeast"/>
        <w:ind w:left="680"/>
        <w:rPr>
          <w:u w:val="single"/>
        </w:rPr>
      </w:pPr>
      <w:r>
        <w:rPr>
          <w:u w:val="single"/>
        </w:rPr>
        <w:tab/>
      </w:r>
    </w:p>
  </w:footnote>
  <w:footnote w:type="continuationSeparator" w:id="0">
    <w:p w:rsidR="00037E37" w:rsidRPr="00AC3823" w:rsidRDefault="00037E37" w:rsidP="00AC3823">
      <w:pPr>
        <w:pStyle w:val="Footer"/>
        <w:tabs>
          <w:tab w:val="right" w:pos="2155"/>
        </w:tabs>
        <w:spacing w:after="80" w:line="240" w:lineRule="atLeast"/>
        <w:ind w:left="680"/>
        <w:rPr>
          <w:u w:val="single"/>
        </w:rPr>
      </w:pPr>
      <w:r>
        <w:rPr>
          <w:u w:val="single"/>
        </w:rPr>
        <w:tab/>
      </w:r>
    </w:p>
  </w:footnote>
  <w:footnote w:type="continuationNotice" w:id="1">
    <w:p w:rsidR="00037E37" w:rsidRPr="00AC3823" w:rsidRDefault="00037E37">
      <w:pPr>
        <w:spacing w:line="240" w:lineRule="auto"/>
        <w:rPr>
          <w:sz w:val="2"/>
          <w:szCs w:val="2"/>
        </w:rPr>
      </w:pPr>
    </w:p>
  </w:footnote>
  <w:footnote w:id="2">
    <w:p w:rsidR="00B15577" w:rsidRPr="00706101" w:rsidRDefault="00B15577" w:rsidP="00B15577">
      <w:pPr>
        <w:pStyle w:val="FootnoteText"/>
      </w:pPr>
      <w:r>
        <w:rPr>
          <w:lang w:val="fr-FR"/>
        </w:rPr>
        <w:tab/>
        <w:t>*</w:t>
      </w:r>
      <w:r>
        <w:rPr>
          <w:lang w:val="fr-FR"/>
        </w:rPr>
        <w:tab/>
        <w:t xml:space="preserve">Conformément au programme de travail du Comité des transports intérieurs pour la période </w:t>
      </w:r>
      <w:r w:rsidR="00E53A2A">
        <w:rPr>
          <w:lang w:val="fr-FR"/>
        </w:rPr>
        <w:t>2016</w:t>
      </w:r>
      <w:r w:rsidR="00E53A2A">
        <w:rPr>
          <w:lang w:val="fr-FR"/>
        </w:rPr>
        <w:noBreakHyphen/>
      </w:r>
      <w:r>
        <w:rPr>
          <w:lang w:val="fr-FR"/>
        </w:rPr>
        <w:t xml:space="preserve">2017 (ECE/TRANS/254, par. 159, et ECE/TRANS/2016/28/Add.1, module 3.1), le Forum mondial a pour mission d’élaborer, d’harmoniser et de mettre à jour les Règlements en vue d’améliorer les caractéristiques fonctionnelles des véhicules. Le présent document est soumis </w:t>
      </w:r>
      <w:r w:rsidR="00E53A2A">
        <w:rPr>
          <w:lang w:val="fr-FR"/>
        </w:rPr>
        <w:br/>
      </w:r>
      <w:r>
        <w:rPr>
          <w:lang w:val="fr-FR"/>
        </w:rPr>
        <w:t>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A5" w:rsidRPr="008776A5" w:rsidRDefault="000C2CF7">
    <w:pPr>
      <w:pStyle w:val="Header"/>
    </w:pPr>
    <w:r>
      <w:fldChar w:fldCharType="begin"/>
    </w:r>
    <w:r>
      <w:instrText xml:space="preserve"> TITLE  \* MERGEFORMAT </w:instrText>
    </w:r>
    <w:r>
      <w:fldChar w:fldCharType="separate"/>
    </w:r>
    <w:r w:rsidR="00060C39">
      <w:t>ECE/TRANS/WP.29/2017/62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A5" w:rsidRPr="008776A5" w:rsidRDefault="000C2CF7" w:rsidP="008776A5">
    <w:pPr>
      <w:pStyle w:val="Header"/>
      <w:jc w:val="right"/>
    </w:pPr>
    <w:r>
      <w:fldChar w:fldCharType="begin"/>
    </w:r>
    <w:r>
      <w:instrText xml:space="preserve"> TITLE  \* MERGEFORMAT </w:instrText>
    </w:r>
    <w:r>
      <w:fldChar w:fldCharType="separate"/>
    </w:r>
    <w:r w:rsidR="00060C39">
      <w:t>ECE/TRANS/WP.29/2017/62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37"/>
    <w:rsid w:val="00017F94"/>
    <w:rsid w:val="00023842"/>
    <w:rsid w:val="000334F9"/>
    <w:rsid w:val="00037E37"/>
    <w:rsid w:val="00044B6A"/>
    <w:rsid w:val="00045FEB"/>
    <w:rsid w:val="00060C39"/>
    <w:rsid w:val="00073627"/>
    <w:rsid w:val="0007796D"/>
    <w:rsid w:val="000A5911"/>
    <w:rsid w:val="000B7790"/>
    <w:rsid w:val="000C2CF7"/>
    <w:rsid w:val="00111F2F"/>
    <w:rsid w:val="001140A3"/>
    <w:rsid w:val="0014365E"/>
    <w:rsid w:val="00143C66"/>
    <w:rsid w:val="00176178"/>
    <w:rsid w:val="001E58AA"/>
    <w:rsid w:val="001F3C39"/>
    <w:rsid w:val="001F525A"/>
    <w:rsid w:val="00223272"/>
    <w:rsid w:val="0024779E"/>
    <w:rsid w:val="00254B39"/>
    <w:rsid w:val="00257168"/>
    <w:rsid w:val="002744B8"/>
    <w:rsid w:val="002832AC"/>
    <w:rsid w:val="002D7C93"/>
    <w:rsid w:val="00304DFA"/>
    <w:rsid w:val="00305801"/>
    <w:rsid w:val="003115C2"/>
    <w:rsid w:val="00312599"/>
    <w:rsid w:val="003147EB"/>
    <w:rsid w:val="00333C8A"/>
    <w:rsid w:val="003916DE"/>
    <w:rsid w:val="00441C3B"/>
    <w:rsid w:val="00446FE5"/>
    <w:rsid w:val="00452396"/>
    <w:rsid w:val="004837D8"/>
    <w:rsid w:val="004B59CD"/>
    <w:rsid w:val="004E468C"/>
    <w:rsid w:val="00512804"/>
    <w:rsid w:val="0052703D"/>
    <w:rsid w:val="00537AC0"/>
    <w:rsid w:val="005505B7"/>
    <w:rsid w:val="0055494C"/>
    <w:rsid w:val="0055629B"/>
    <w:rsid w:val="005717B4"/>
    <w:rsid w:val="00573BE5"/>
    <w:rsid w:val="00586ED3"/>
    <w:rsid w:val="005874A0"/>
    <w:rsid w:val="00596AA9"/>
    <w:rsid w:val="006B5FD3"/>
    <w:rsid w:val="006C5F75"/>
    <w:rsid w:val="006F3F99"/>
    <w:rsid w:val="0071601D"/>
    <w:rsid w:val="00726C50"/>
    <w:rsid w:val="007A62E6"/>
    <w:rsid w:val="007B4CB7"/>
    <w:rsid w:val="007C1DA0"/>
    <w:rsid w:val="007F20FA"/>
    <w:rsid w:val="007F4B13"/>
    <w:rsid w:val="0080684C"/>
    <w:rsid w:val="00840697"/>
    <w:rsid w:val="00847E82"/>
    <w:rsid w:val="00871C75"/>
    <w:rsid w:val="008776A5"/>
    <w:rsid w:val="008776DC"/>
    <w:rsid w:val="008963E9"/>
    <w:rsid w:val="00935753"/>
    <w:rsid w:val="009446C0"/>
    <w:rsid w:val="00944913"/>
    <w:rsid w:val="009705C8"/>
    <w:rsid w:val="00997A77"/>
    <w:rsid w:val="009B4508"/>
    <w:rsid w:val="009C1CF4"/>
    <w:rsid w:val="009F6B74"/>
    <w:rsid w:val="00A07264"/>
    <w:rsid w:val="00A20A23"/>
    <w:rsid w:val="00A30353"/>
    <w:rsid w:val="00A55667"/>
    <w:rsid w:val="00A7798B"/>
    <w:rsid w:val="00AC3823"/>
    <w:rsid w:val="00AE323C"/>
    <w:rsid w:val="00AF0CB5"/>
    <w:rsid w:val="00B00181"/>
    <w:rsid w:val="00B00B0D"/>
    <w:rsid w:val="00B04F6B"/>
    <w:rsid w:val="00B15577"/>
    <w:rsid w:val="00B37579"/>
    <w:rsid w:val="00B62F33"/>
    <w:rsid w:val="00B765F7"/>
    <w:rsid w:val="00BA0CA9"/>
    <w:rsid w:val="00BC711B"/>
    <w:rsid w:val="00C02897"/>
    <w:rsid w:val="00C82743"/>
    <w:rsid w:val="00C97039"/>
    <w:rsid w:val="00CB45AD"/>
    <w:rsid w:val="00CE6642"/>
    <w:rsid w:val="00D3439C"/>
    <w:rsid w:val="00DB1831"/>
    <w:rsid w:val="00DD3BFD"/>
    <w:rsid w:val="00DF01E4"/>
    <w:rsid w:val="00DF6678"/>
    <w:rsid w:val="00E53A2A"/>
    <w:rsid w:val="00E72A69"/>
    <w:rsid w:val="00E85C74"/>
    <w:rsid w:val="00EA6547"/>
    <w:rsid w:val="00EE205E"/>
    <w:rsid w:val="00EF2E22"/>
    <w:rsid w:val="00F35BAF"/>
    <w:rsid w:val="00F55A68"/>
    <w:rsid w:val="00F660DF"/>
    <w:rsid w:val="00F752C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15577"/>
    <w:rPr>
      <w:rFonts w:ascii="Times New Roman" w:hAnsi="Times New Roman" w:cs="Times New Roman"/>
      <w:sz w:val="20"/>
      <w:szCs w:val="20"/>
      <w:lang w:eastAsia="en-US"/>
    </w:rPr>
  </w:style>
  <w:style w:type="character" w:customStyle="1" w:styleId="HChGChar">
    <w:name w:val="_ H _Ch_G Char"/>
    <w:link w:val="HChG"/>
    <w:rsid w:val="00B15577"/>
    <w:rPr>
      <w:rFonts w:ascii="Times New Roman" w:hAnsi="Times New Roman" w:cs="Times New Roman"/>
      <w:b/>
      <w:sz w:val="28"/>
      <w:szCs w:val="20"/>
      <w:lang w:eastAsia="en-US"/>
    </w:rPr>
  </w:style>
  <w:style w:type="paragraph" w:customStyle="1" w:styleId="para">
    <w:name w:val="para"/>
    <w:basedOn w:val="Normal"/>
    <w:link w:val="paraChar"/>
    <w:qFormat/>
    <w:rsid w:val="00B15577"/>
    <w:pPr>
      <w:kinsoku/>
      <w:overflowPunct/>
      <w:autoSpaceDE/>
      <w:autoSpaceDN/>
      <w:adjustRightInd/>
      <w:snapToGrid/>
      <w:spacing w:after="120"/>
      <w:ind w:left="2268" w:right="1134" w:hanging="1134"/>
      <w:jc w:val="both"/>
    </w:pPr>
    <w:rPr>
      <w:lang w:val="en-GB"/>
    </w:rPr>
  </w:style>
  <w:style w:type="character" w:customStyle="1" w:styleId="paraChar">
    <w:name w:val="para Char"/>
    <w:link w:val="para"/>
    <w:rsid w:val="00B15577"/>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15577"/>
    <w:rPr>
      <w:rFonts w:ascii="Times New Roman" w:hAnsi="Times New Roman" w:cs="Times New Roman"/>
      <w:sz w:val="20"/>
      <w:szCs w:val="20"/>
      <w:lang w:eastAsia="en-US"/>
    </w:rPr>
  </w:style>
  <w:style w:type="character" w:customStyle="1" w:styleId="HChGChar">
    <w:name w:val="_ H _Ch_G Char"/>
    <w:link w:val="HChG"/>
    <w:rsid w:val="00B15577"/>
    <w:rPr>
      <w:rFonts w:ascii="Times New Roman" w:hAnsi="Times New Roman" w:cs="Times New Roman"/>
      <w:b/>
      <w:sz w:val="28"/>
      <w:szCs w:val="20"/>
      <w:lang w:eastAsia="en-US"/>
    </w:rPr>
  </w:style>
  <w:style w:type="paragraph" w:customStyle="1" w:styleId="para">
    <w:name w:val="para"/>
    <w:basedOn w:val="Normal"/>
    <w:link w:val="paraChar"/>
    <w:qFormat/>
    <w:rsid w:val="00B15577"/>
    <w:pPr>
      <w:kinsoku/>
      <w:overflowPunct/>
      <w:autoSpaceDE/>
      <w:autoSpaceDN/>
      <w:adjustRightInd/>
      <w:snapToGrid/>
      <w:spacing w:after="120"/>
      <w:ind w:left="2268" w:right="1134" w:hanging="1134"/>
      <w:jc w:val="both"/>
    </w:pPr>
    <w:rPr>
      <w:lang w:val="en-GB"/>
    </w:rPr>
  </w:style>
  <w:style w:type="character" w:customStyle="1" w:styleId="paraChar">
    <w:name w:val="para Char"/>
    <w:link w:val="para"/>
    <w:rsid w:val="00B15577"/>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8594</Characters>
  <Application>Microsoft Office Word</Application>
  <DocSecurity>4</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ECE/TRANS/WP.29/2017/62</vt:lpstr>
      <vt:lpstr>ECE/TRANS/WP.29/2017/62</vt:lpstr>
    </vt:vector>
  </TitlesOfParts>
  <Company>DCM</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ECE/TRANS/WP.29/2017/62</dc:title>
  <dc:creator>Nath VITTOZ</dc:creator>
  <cp:lastModifiedBy>Benedicte Boudol</cp:lastModifiedBy>
  <cp:revision>2</cp:revision>
  <cp:lastPrinted>2017-05-02T08:48:00Z</cp:lastPrinted>
  <dcterms:created xsi:type="dcterms:W3CDTF">2017-05-03T16:14:00Z</dcterms:created>
  <dcterms:modified xsi:type="dcterms:W3CDTF">2017-05-03T16:14:00Z</dcterms:modified>
</cp:coreProperties>
</file>