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854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8541F" w:rsidP="00A8541F">
            <w:pPr>
              <w:jc w:val="right"/>
            </w:pPr>
            <w:r w:rsidRPr="00A8541F">
              <w:rPr>
                <w:sz w:val="40"/>
              </w:rPr>
              <w:t>ECE</w:t>
            </w:r>
            <w:r>
              <w:t>/TRANS/WP.29/2017/58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8541F" w:rsidP="00C97039">
            <w:pPr>
              <w:spacing w:before="240"/>
            </w:pPr>
            <w:r>
              <w:t>Distr. générale</w:t>
            </w:r>
          </w:p>
          <w:p w:rsidR="00A8541F" w:rsidRDefault="00A8541F" w:rsidP="00A8541F">
            <w:pPr>
              <w:spacing w:line="240" w:lineRule="exact"/>
            </w:pPr>
            <w:r>
              <w:t>5 avril 2017</w:t>
            </w:r>
          </w:p>
          <w:p w:rsidR="00A8541F" w:rsidRDefault="00A8541F" w:rsidP="00A8541F">
            <w:pPr>
              <w:spacing w:line="240" w:lineRule="exact"/>
            </w:pPr>
            <w:r>
              <w:t>Français</w:t>
            </w:r>
          </w:p>
          <w:p w:rsidR="00A8541F" w:rsidRPr="00DB58B5" w:rsidRDefault="00A8541F" w:rsidP="00A8541F">
            <w:pPr>
              <w:spacing w:line="240" w:lineRule="exact"/>
            </w:pPr>
            <w:r>
              <w:t>Original</w:t>
            </w:r>
            <w:r w:rsidR="00905607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8541F" w:rsidRPr="00905607" w:rsidRDefault="00A8541F" w:rsidP="00A8541F">
      <w:pPr>
        <w:spacing w:before="120"/>
        <w:rPr>
          <w:b/>
          <w:sz w:val="24"/>
          <w:szCs w:val="24"/>
        </w:rPr>
      </w:pPr>
      <w:r w:rsidRPr="00905607">
        <w:rPr>
          <w:b/>
          <w:sz w:val="24"/>
          <w:szCs w:val="24"/>
        </w:rPr>
        <w:t xml:space="preserve">Forum mondial de l’harmonisation </w:t>
      </w:r>
      <w:r w:rsidR="00905607">
        <w:rPr>
          <w:b/>
          <w:sz w:val="24"/>
          <w:szCs w:val="24"/>
        </w:rPr>
        <w:br/>
      </w:r>
      <w:r w:rsidRPr="00905607">
        <w:rPr>
          <w:b/>
          <w:sz w:val="24"/>
          <w:szCs w:val="24"/>
        </w:rPr>
        <w:t>des Règlements concernant les véhicules</w:t>
      </w:r>
    </w:p>
    <w:p w:rsidR="00A8541F" w:rsidRPr="00E61613" w:rsidRDefault="00905607" w:rsidP="00A8541F">
      <w:pPr>
        <w:tabs>
          <w:tab w:val="center" w:pos="4819"/>
        </w:tabs>
        <w:spacing w:before="120"/>
        <w:rPr>
          <w:b/>
        </w:rPr>
      </w:pPr>
      <w:r>
        <w:rPr>
          <w:b/>
        </w:rPr>
        <w:t>172</w:t>
      </w:r>
      <w:r w:rsidRPr="00905607">
        <w:rPr>
          <w:b/>
          <w:vertAlign w:val="superscript"/>
        </w:rPr>
        <w:t>e</w:t>
      </w:r>
      <w:r>
        <w:rPr>
          <w:b/>
        </w:rPr>
        <w:t> </w:t>
      </w:r>
      <w:r w:rsidR="00A8541F" w:rsidRPr="00E61613">
        <w:rPr>
          <w:b/>
        </w:rPr>
        <w:t>session</w:t>
      </w:r>
    </w:p>
    <w:p w:rsidR="00A8541F" w:rsidRPr="00E61613" w:rsidRDefault="00A8541F" w:rsidP="00A8541F">
      <w:r w:rsidRPr="00E61613">
        <w:t>Genève, 20-23 juin 2017</w:t>
      </w:r>
    </w:p>
    <w:p w:rsidR="00A8541F" w:rsidRPr="00E61613" w:rsidRDefault="00A8541F" w:rsidP="00A8541F">
      <w:r w:rsidRPr="00E61613">
        <w:t>Point 4.6.1 de l’ordre du jour provisoire</w:t>
      </w:r>
    </w:p>
    <w:p w:rsidR="00A8541F" w:rsidRPr="00E61613" w:rsidRDefault="00A8541F" w:rsidP="00A8541F">
      <w:pPr>
        <w:rPr>
          <w:b/>
        </w:rPr>
      </w:pPr>
      <w:r w:rsidRPr="00E61613">
        <w:rPr>
          <w:b/>
        </w:rPr>
        <w:t>Accord de 1958</w:t>
      </w:r>
      <w:r w:rsidR="00905607">
        <w:rPr>
          <w:b/>
        </w:rPr>
        <w:t> :</w:t>
      </w:r>
      <w:r w:rsidRPr="00E61613">
        <w:rPr>
          <w:b/>
        </w:rPr>
        <w:t xml:space="preserve"> Examen de projets d’amendements</w:t>
      </w:r>
      <w:r w:rsidR="00905607">
        <w:rPr>
          <w:b/>
        </w:rPr>
        <w:br/>
      </w:r>
      <w:r w:rsidRPr="00E61613">
        <w:rPr>
          <w:b/>
        </w:rPr>
        <w:t>à des Règlements existants, proposés par le GRSP</w:t>
      </w:r>
    </w:p>
    <w:p w:rsidR="00A8541F" w:rsidRPr="00E61613" w:rsidRDefault="00905607" w:rsidP="00905607">
      <w:pPr>
        <w:pStyle w:val="HChG"/>
      </w:pPr>
      <w:r>
        <w:tab/>
      </w:r>
      <w:r>
        <w:tab/>
      </w:r>
      <w:r w:rsidR="00A8541F" w:rsidRPr="00E61613">
        <w:t>Proposition de complément 8 à la série 07 d’amendements au</w:t>
      </w:r>
      <w:r>
        <w:t> </w:t>
      </w:r>
      <w:r w:rsidR="00A8541F" w:rsidRPr="00E61613">
        <w:t xml:space="preserve">Règlement </w:t>
      </w:r>
      <w:r w:rsidR="00BA0F74">
        <w:rPr>
          <w:rFonts w:eastAsia="MS Mincho"/>
        </w:rPr>
        <w:t>n</w:t>
      </w:r>
      <w:r w:rsidR="00BA0F74">
        <w:rPr>
          <w:rFonts w:eastAsia="MS Mincho"/>
          <w:vertAlign w:val="superscript"/>
        </w:rPr>
        <w:t>o</w:t>
      </w:r>
      <w:r w:rsidR="00BA0F74">
        <w:t> </w:t>
      </w:r>
      <w:r w:rsidR="00A8541F" w:rsidRPr="00E61613">
        <w:t xml:space="preserve">14 (Ancrages de ceintures de sécurité) </w:t>
      </w:r>
    </w:p>
    <w:p w:rsidR="00A8541F" w:rsidRPr="00E61613" w:rsidRDefault="00A8541F" w:rsidP="00A8541F">
      <w:pPr>
        <w:pStyle w:val="H1G"/>
      </w:pPr>
      <w:r>
        <w:tab/>
      </w:r>
      <w:r>
        <w:tab/>
      </w:r>
      <w:r w:rsidRPr="00E61613">
        <w:t>Communication du Groupe de travail de la sécurité passive</w:t>
      </w:r>
      <w:r w:rsidRPr="00905607">
        <w:rPr>
          <w:b w:val="0"/>
          <w:sz w:val="20"/>
        </w:rPr>
        <w:footnoteReference w:customMarkFollows="1" w:id="2"/>
        <w:t>*</w:t>
      </w:r>
    </w:p>
    <w:p w:rsidR="00A8541F" w:rsidRPr="00E61613" w:rsidRDefault="00A8541F" w:rsidP="00905607">
      <w:pPr>
        <w:pStyle w:val="SingleTxtG"/>
        <w:ind w:firstLine="567"/>
      </w:pPr>
      <w:r w:rsidRPr="00E61613">
        <w:t xml:space="preserve">Le texte reproduit ci-dessous a été adopté par le Groupe de travail de la sécurité </w:t>
      </w:r>
      <w:proofErr w:type="gramStart"/>
      <w:r w:rsidRPr="00E61613">
        <w:t>passive</w:t>
      </w:r>
      <w:proofErr w:type="gramEnd"/>
      <w:r w:rsidRPr="00E61613">
        <w:t xml:space="preserve"> (GRSP) à sa soixantième session</w:t>
      </w:r>
      <w:r w:rsidR="00905607">
        <w:t xml:space="preserve"> (ECE/TRANS/WP.29/GRSP/60, par. </w:t>
      </w:r>
      <w:r w:rsidRPr="00E61613">
        <w:t>13). Il est fondé sur le document ECE/TRANS/WP.29/GRSP/2016/20, non modifié. Il est soumis au Forum mondial de l’harmonisation des Règlements concernant les véhicules (WP.29) et au Comité d’administration (AC.1) pour examen à leurs sessions de juin 2017.</w:t>
      </w:r>
    </w:p>
    <w:p w:rsidR="00A8541F" w:rsidRPr="00E61613" w:rsidRDefault="00A8541F" w:rsidP="00A8541F">
      <w:pPr>
        <w:pStyle w:val="HChG"/>
      </w:pPr>
      <w:r w:rsidRPr="00E61613">
        <w:br w:type="page"/>
      </w:r>
      <w:r>
        <w:lastRenderedPageBreak/>
        <w:tab/>
      </w:r>
      <w:r>
        <w:tab/>
      </w:r>
      <w:r w:rsidRPr="00E61613">
        <w:t>Projet de complément 8 à la série 07 d’amendements au</w:t>
      </w:r>
      <w:r w:rsidR="00905607">
        <w:t> </w:t>
      </w:r>
      <w:r w:rsidRPr="00E61613">
        <w:t xml:space="preserve">Règlement </w:t>
      </w:r>
      <w:r w:rsidR="00905607">
        <w:rPr>
          <w:rFonts w:eastAsia="MS Mincho"/>
        </w:rPr>
        <w:t>n</w:t>
      </w:r>
      <w:r w:rsidR="00905607">
        <w:rPr>
          <w:rFonts w:eastAsia="MS Mincho"/>
          <w:vertAlign w:val="superscript"/>
        </w:rPr>
        <w:t>o</w:t>
      </w:r>
      <w:r w:rsidR="00905607">
        <w:t> </w:t>
      </w:r>
      <w:r w:rsidRPr="00E61613">
        <w:t xml:space="preserve">14 (Ancrages de ceintures de sécurité) </w:t>
      </w:r>
    </w:p>
    <w:p w:rsidR="00A8541F" w:rsidRPr="00E61613" w:rsidRDefault="00A8541F" w:rsidP="00A8541F">
      <w:pPr>
        <w:pStyle w:val="SingleTxtG"/>
      </w:pPr>
      <w:r w:rsidRPr="00E61613">
        <w:rPr>
          <w:i/>
          <w:iCs/>
        </w:rPr>
        <w:t>Paragraphe 2.17</w:t>
      </w:r>
      <w:r w:rsidRPr="00E61613">
        <w:t xml:space="preserve">, </w:t>
      </w:r>
      <w:proofErr w:type="gramStart"/>
      <w:r w:rsidRPr="00E61613">
        <w:t>modifier</w:t>
      </w:r>
      <w:proofErr w:type="gramEnd"/>
      <w:r w:rsidRPr="00E61613">
        <w:t xml:space="preserve"> comme suit</w:t>
      </w:r>
      <w:r w:rsidR="00905607">
        <w:t> :</w:t>
      </w:r>
    </w:p>
    <w:p w:rsidR="00A8541F" w:rsidRPr="00E61613" w:rsidRDefault="00905607" w:rsidP="00A8541F">
      <w:pPr>
        <w:pStyle w:val="SingleTxtG"/>
        <w:ind w:left="2268" w:hanging="1134"/>
      </w:pPr>
      <w:r>
        <w:t>« </w:t>
      </w:r>
      <w:r w:rsidR="00A8541F" w:rsidRPr="00E61613">
        <w:t>2.17</w:t>
      </w:r>
      <w:r w:rsidR="00A8541F" w:rsidRPr="00E61613">
        <w:tab/>
        <w:t xml:space="preserve">Par </w:t>
      </w:r>
      <w:r>
        <w:t>“</w:t>
      </w:r>
      <w:r w:rsidR="00A8541F" w:rsidRPr="00905607">
        <w:rPr>
          <w:i/>
        </w:rPr>
        <w:t>position ISOFIX</w:t>
      </w:r>
      <w:r>
        <w:t>“</w:t>
      </w:r>
      <w:r w:rsidR="00A8541F" w:rsidRPr="00E61613">
        <w:t>, un système permettant l’installation</w:t>
      </w:r>
      <w:r>
        <w:t> :</w:t>
      </w:r>
    </w:p>
    <w:p w:rsidR="00A8541F" w:rsidRPr="00E61613" w:rsidRDefault="00905607" w:rsidP="00A8541F">
      <w:pPr>
        <w:pStyle w:val="SingleTxtG"/>
        <w:ind w:left="2268"/>
      </w:pPr>
      <w:r>
        <w:t>…</w:t>
      </w:r>
    </w:p>
    <w:p w:rsidR="00A8541F" w:rsidRPr="00E61613" w:rsidRDefault="00A8541F" w:rsidP="00905607">
      <w:pPr>
        <w:pStyle w:val="SingleTxtG"/>
        <w:ind w:left="2835" w:hanging="567"/>
        <w:rPr>
          <w:bCs/>
        </w:rPr>
      </w:pPr>
      <w:proofErr w:type="gramStart"/>
      <w:r w:rsidRPr="00E61613">
        <w:t>f</w:t>
      </w:r>
      <w:proofErr w:type="gramEnd"/>
      <w:r w:rsidRPr="00E61613">
        <w:t>)</w:t>
      </w:r>
      <w:r w:rsidRPr="00E61613">
        <w:tab/>
        <w:t xml:space="preserve">Soit un système de retenue pour enfants i-Size de classe intégrale, tel que défini dans le Règlement </w:t>
      </w:r>
      <w:r w:rsidR="00905607">
        <w:rPr>
          <w:rFonts w:eastAsia="MS Mincho"/>
        </w:rPr>
        <w:t>n</w:t>
      </w:r>
      <w:r w:rsidR="00905607">
        <w:rPr>
          <w:rFonts w:eastAsia="MS Mincho"/>
          <w:vertAlign w:val="superscript"/>
        </w:rPr>
        <w:t>o</w:t>
      </w:r>
      <w:r w:rsidR="00905607">
        <w:t> </w:t>
      </w:r>
      <w:r w:rsidRPr="00E61613">
        <w:t>129</w:t>
      </w:r>
      <w:r w:rsidR="00905607">
        <w:t> ; ».</w:t>
      </w:r>
    </w:p>
    <w:p w:rsidR="00A8541F" w:rsidRPr="00E61613" w:rsidRDefault="00A8541F" w:rsidP="00905607">
      <w:pPr>
        <w:pStyle w:val="para"/>
        <w:keepNext/>
        <w:rPr>
          <w:lang w:val="fr-CH"/>
        </w:rPr>
      </w:pPr>
      <w:r w:rsidRPr="00E61613">
        <w:rPr>
          <w:i/>
          <w:iCs/>
          <w:lang w:val="fr-CH"/>
        </w:rPr>
        <w:t>Paragraphe 2.29</w:t>
      </w:r>
      <w:r w:rsidRPr="00E61613">
        <w:rPr>
          <w:lang w:val="fr-CH"/>
        </w:rPr>
        <w:t xml:space="preserve">, </w:t>
      </w:r>
      <w:proofErr w:type="gramStart"/>
      <w:r w:rsidRPr="00E61613">
        <w:rPr>
          <w:lang w:val="fr-CH"/>
        </w:rPr>
        <w:t>modifier</w:t>
      </w:r>
      <w:proofErr w:type="gramEnd"/>
      <w:r w:rsidRPr="00E61613">
        <w:rPr>
          <w:lang w:val="fr-CH"/>
        </w:rPr>
        <w:t xml:space="preserve"> comme suit</w:t>
      </w:r>
      <w:r w:rsidR="00905607">
        <w:rPr>
          <w:lang w:val="fr-CH"/>
        </w:rPr>
        <w:t> :</w:t>
      </w:r>
    </w:p>
    <w:p w:rsidR="00A8541F" w:rsidRPr="00E61613" w:rsidRDefault="00905607" w:rsidP="00A8541F">
      <w:pPr>
        <w:pStyle w:val="SingleTxtG"/>
        <w:ind w:left="2268" w:hanging="1134"/>
      </w:pPr>
      <w:r>
        <w:t>« </w:t>
      </w:r>
      <w:r w:rsidR="00A8541F" w:rsidRPr="00E61613">
        <w:t>2.29</w:t>
      </w:r>
      <w:r w:rsidR="00A8541F" w:rsidRPr="00E61613">
        <w:tab/>
        <w:t xml:space="preserve">Par </w:t>
      </w:r>
      <w:r>
        <w:t>“</w:t>
      </w:r>
      <w:r w:rsidR="00A8541F" w:rsidRPr="00905607">
        <w:rPr>
          <w:i/>
        </w:rPr>
        <w:t>système d’installation de retenue pour enfants</w:t>
      </w:r>
      <w:r>
        <w:t>”</w:t>
      </w:r>
      <w:r w:rsidR="00A8541F" w:rsidRPr="00E61613">
        <w:t xml:space="preserve">, un gabarit correspondant à l’une des enveloppes dimensionnelles ISOFIX décrites au paragraphe 4 de l’annexe 17 </w:t>
      </w:r>
      <w:r>
        <w:t>−</w:t>
      </w:r>
      <w:r w:rsidR="00A8541F" w:rsidRPr="00E61613">
        <w:t xml:space="preserve"> appendice 2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A8541F" w:rsidRPr="00E61613">
        <w:t>16, et dont les dimensions sont indiquées aux figures 1 à 78 d</w:t>
      </w:r>
      <w:r>
        <w:t>u paragraphe 4 mentionné ci</w:t>
      </w:r>
      <w:r>
        <w:noBreakHyphen/>
      </w:r>
      <w:r w:rsidR="00A8541F" w:rsidRPr="00E61613">
        <w:t>dessus. Ces systèmes d’installation so</w:t>
      </w:r>
      <w:r>
        <w:t xml:space="preserve">nt utilisés dans 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A8541F" w:rsidRPr="00E61613">
        <w:t>16 pour vérifier quelles enveloppes dimensionnelles pour systèmes de retenue pour enfants peuvent être adaptées sur les positions ISOFIX du véhicule. De plus, le gabarit référencé ISO/F2 ou ISO/F2X et décrit au Règlement n°16 (annexe 17, appendice</w:t>
      </w:r>
      <w:r>
        <w:t xml:space="preserve"> </w:t>
      </w:r>
      <w:r w:rsidR="00A8541F" w:rsidRPr="00E61613">
        <w:t>2) est utilisé dans le présent Règlement pour vérifier la localisation et l’accessibilité de tous les systèmes d’ancrages ISOFIX</w:t>
      </w:r>
      <w:r>
        <w:t> ; ».</w:t>
      </w:r>
    </w:p>
    <w:p w:rsidR="00A8541F" w:rsidRPr="00E61613" w:rsidRDefault="00A8541F" w:rsidP="00905607">
      <w:pPr>
        <w:pStyle w:val="para"/>
        <w:keepNext/>
        <w:rPr>
          <w:lang w:val="fr-CH"/>
        </w:rPr>
      </w:pPr>
      <w:r w:rsidRPr="00E61613">
        <w:rPr>
          <w:i/>
          <w:iCs/>
          <w:lang w:val="fr-CH"/>
        </w:rPr>
        <w:t>Paragraphe 5.2.2.3</w:t>
      </w:r>
      <w:r w:rsidRPr="00E61613">
        <w:rPr>
          <w:lang w:val="fr-CH"/>
        </w:rPr>
        <w:t xml:space="preserve">, </w:t>
      </w:r>
      <w:proofErr w:type="gramStart"/>
      <w:r w:rsidRPr="00E61613">
        <w:rPr>
          <w:lang w:val="fr-CH"/>
        </w:rPr>
        <w:t>modifier</w:t>
      </w:r>
      <w:proofErr w:type="gramEnd"/>
      <w:r w:rsidRPr="00E61613">
        <w:rPr>
          <w:lang w:val="fr-CH"/>
        </w:rPr>
        <w:t xml:space="preserve"> comme suit</w:t>
      </w:r>
      <w:r w:rsidR="00905607">
        <w:rPr>
          <w:lang w:val="fr-CH"/>
        </w:rPr>
        <w:t> :</w:t>
      </w:r>
    </w:p>
    <w:p w:rsidR="00A8541F" w:rsidRPr="00E61613" w:rsidRDefault="00905607" w:rsidP="00A8541F">
      <w:pPr>
        <w:pStyle w:val="SingleTxtG"/>
        <w:ind w:left="2268" w:hanging="1134"/>
      </w:pPr>
      <w:r>
        <w:t>« </w:t>
      </w:r>
      <w:r w:rsidR="00A8541F" w:rsidRPr="00E61613">
        <w:t>5.2.2.3</w:t>
      </w:r>
      <w:r w:rsidR="00A8541F" w:rsidRPr="00E61613">
        <w:tab/>
        <w:t>Les systèmes d’ancrages ISOFIX, les ancrages supérieurs ISOFIX et la surface de contact avec le plancher du véhicule de toute position i-Size doivent être conçus pour les dispositifs de retenue pour enfants de type i-Size de classe intégrale, tels qu’ils s</w:t>
      </w:r>
      <w:r>
        <w:t xml:space="preserve">ont définis dans 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A8541F" w:rsidRPr="00E61613">
        <w:t>129.</w:t>
      </w:r>
      <w:r>
        <w:t> ».</w:t>
      </w:r>
    </w:p>
    <w:p w:rsidR="00A8541F" w:rsidRPr="00E61613" w:rsidRDefault="00A8541F" w:rsidP="00905607">
      <w:pPr>
        <w:pStyle w:val="para"/>
        <w:keepNext/>
        <w:rPr>
          <w:lang w:val="fr-CH"/>
        </w:rPr>
      </w:pPr>
      <w:r w:rsidRPr="00E61613">
        <w:rPr>
          <w:i/>
          <w:iCs/>
          <w:lang w:val="fr-CH"/>
        </w:rPr>
        <w:t>Paragraphe 5.2.3.3</w:t>
      </w:r>
      <w:r w:rsidRPr="00E61613">
        <w:rPr>
          <w:lang w:val="fr-CH"/>
        </w:rPr>
        <w:t xml:space="preserve">, </w:t>
      </w:r>
      <w:proofErr w:type="gramStart"/>
      <w:r w:rsidRPr="00E61613">
        <w:rPr>
          <w:lang w:val="fr-CH"/>
        </w:rPr>
        <w:t>modifier</w:t>
      </w:r>
      <w:proofErr w:type="gramEnd"/>
      <w:r w:rsidRPr="00E61613">
        <w:rPr>
          <w:lang w:val="fr-CH"/>
        </w:rPr>
        <w:t xml:space="preserve"> comme suit</w:t>
      </w:r>
      <w:r w:rsidR="00905607">
        <w:rPr>
          <w:lang w:val="fr-CH"/>
        </w:rPr>
        <w:t> :</w:t>
      </w:r>
    </w:p>
    <w:p w:rsidR="00A8541F" w:rsidRPr="00E61613" w:rsidRDefault="00905607" w:rsidP="00A8541F">
      <w:pPr>
        <w:pStyle w:val="SingleTxtG"/>
        <w:ind w:left="2268" w:hanging="1134"/>
      </w:pPr>
      <w:r>
        <w:t>« </w:t>
      </w:r>
      <w:r w:rsidR="00A8541F" w:rsidRPr="00E61613">
        <w:t>5.2.3.3</w:t>
      </w:r>
      <w:r w:rsidR="00A8541F" w:rsidRPr="00E61613">
        <w:tab/>
        <w:t>Pour tout système d’ancrages ISOFIX installé dans le véhicule, il doit être possible d’</w:t>
      </w:r>
      <w:r>
        <w:t>installer un gabarit ISOFIX “</w:t>
      </w:r>
      <w:r w:rsidR="00A8541F" w:rsidRPr="00E61613">
        <w:t>ISO/F2</w:t>
      </w:r>
      <w:r>
        <w:t>”</w:t>
      </w:r>
      <w:r w:rsidR="00A8541F" w:rsidRPr="00E61613">
        <w:t xml:space="preserve"> ou </w:t>
      </w:r>
      <w:r>
        <w:t>“</w:t>
      </w:r>
      <w:r w:rsidR="00A8541F" w:rsidRPr="00E61613">
        <w:t>ISO/F2X</w:t>
      </w:r>
      <w:r>
        <w:t>”</w:t>
      </w:r>
      <w:r w:rsidR="00A8541F" w:rsidRPr="00E61613">
        <w:t xml:space="preserve">, tel que défini par le constructeur du véhicule et décrit dans 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16 (annexe 17, appendice </w:t>
      </w:r>
      <w:r w:rsidR="00A8541F" w:rsidRPr="00E61613">
        <w:t>2)</w:t>
      </w:r>
      <w:r>
        <w:t> ;</w:t>
      </w:r>
    </w:p>
    <w:p w:rsidR="00A8541F" w:rsidRPr="00E61613" w:rsidRDefault="00A8541F" w:rsidP="00A8541F">
      <w:pPr>
        <w:pStyle w:val="SingleTxtG"/>
        <w:ind w:left="2268"/>
      </w:pPr>
      <w:r w:rsidRPr="00E61613">
        <w:t xml:space="preserve">Les positions i-Size doivent pouvoir accueillir les gabarits </w:t>
      </w:r>
      <w:r w:rsidR="000C491D">
        <w:t>“</w:t>
      </w:r>
      <w:r w:rsidRPr="00E61613">
        <w:t>ISO/F2X</w:t>
      </w:r>
      <w:r w:rsidR="000C491D">
        <w:t>”</w:t>
      </w:r>
      <w:r w:rsidRPr="00E61613">
        <w:t xml:space="preserve"> et </w:t>
      </w:r>
      <w:r w:rsidR="000C491D">
        <w:t>“ISO/R2”</w:t>
      </w:r>
      <w:r w:rsidRPr="00E61613">
        <w:t>, en même temps que le volume imparti au socle de la béquille tel qu’i</w:t>
      </w:r>
      <w:r w:rsidR="000C491D">
        <w:t xml:space="preserve">l est décrit dans le Règlement </w:t>
      </w:r>
      <w:r w:rsidR="000C491D">
        <w:rPr>
          <w:rFonts w:eastAsia="MS Mincho"/>
        </w:rPr>
        <w:t>n</w:t>
      </w:r>
      <w:r w:rsidR="000C491D">
        <w:rPr>
          <w:rFonts w:eastAsia="MS Mincho"/>
          <w:vertAlign w:val="superscript"/>
        </w:rPr>
        <w:t>o</w:t>
      </w:r>
      <w:r w:rsidR="000C491D" w:rsidRPr="000C491D">
        <w:rPr>
          <w:rFonts w:eastAsia="MS Mincho"/>
        </w:rPr>
        <w:t> </w:t>
      </w:r>
      <w:r w:rsidRPr="00E61613">
        <w:t>16 (annexe 17, appendice 2). En outre, les positions i-Size doivent pouvoir accueillir le gabarit ISO/B2, tel</w:t>
      </w:r>
      <w:r w:rsidR="000C491D">
        <w:t xml:space="preserve"> que défini dans le Règlement </w:t>
      </w:r>
      <w:r w:rsidR="000C491D">
        <w:rPr>
          <w:rFonts w:eastAsia="MS Mincho"/>
        </w:rPr>
        <w:t>n</w:t>
      </w:r>
      <w:r w:rsidR="000C491D">
        <w:rPr>
          <w:rFonts w:eastAsia="MS Mincho"/>
          <w:vertAlign w:val="superscript"/>
        </w:rPr>
        <w:t>o</w:t>
      </w:r>
      <w:r w:rsidR="000C491D">
        <w:t> </w:t>
      </w:r>
      <w:r w:rsidRPr="00E61613">
        <w:t>16 (annexe 17, appendice 5)</w:t>
      </w:r>
      <w:r w:rsidR="00905607">
        <w:t> ;</w:t>
      </w:r>
      <w:r w:rsidR="000C491D">
        <w:t> ».</w:t>
      </w:r>
    </w:p>
    <w:p w:rsidR="00A8541F" w:rsidRPr="00E61613" w:rsidRDefault="00A8541F" w:rsidP="000C491D">
      <w:pPr>
        <w:pStyle w:val="para"/>
        <w:keepNext/>
        <w:rPr>
          <w:lang w:val="fr-CH"/>
        </w:rPr>
      </w:pPr>
      <w:r w:rsidRPr="00E61613">
        <w:rPr>
          <w:i/>
          <w:iCs/>
          <w:lang w:val="fr-CH"/>
        </w:rPr>
        <w:t>Paragraphe 5.2.3.4</w:t>
      </w:r>
      <w:r w:rsidRPr="00E61613">
        <w:rPr>
          <w:lang w:val="fr-CH"/>
        </w:rPr>
        <w:t xml:space="preserve">, </w:t>
      </w:r>
      <w:proofErr w:type="gramStart"/>
      <w:r w:rsidRPr="00E61613">
        <w:rPr>
          <w:lang w:val="fr-CH"/>
        </w:rPr>
        <w:t>modifier</w:t>
      </w:r>
      <w:proofErr w:type="gramEnd"/>
      <w:r w:rsidRPr="00E61613">
        <w:rPr>
          <w:lang w:val="fr-CH"/>
        </w:rPr>
        <w:t xml:space="preserve"> comme suit</w:t>
      </w:r>
      <w:r w:rsidR="00905607">
        <w:rPr>
          <w:lang w:val="fr-CH"/>
        </w:rPr>
        <w:t> :</w:t>
      </w:r>
    </w:p>
    <w:p w:rsidR="00A8541F" w:rsidRPr="00E61613" w:rsidRDefault="000C491D" w:rsidP="00A8541F">
      <w:pPr>
        <w:pStyle w:val="SingleTxtG"/>
        <w:ind w:left="2268" w:hanging="1134"/>
      </w:pPr>
      <w:r>
        <w:t>« </w:t>
      </w:r>
      <w:r w:rsidR="00A8541F" w:rsidRPr="00E61613">
        <w:t>5.2.3.4</w:t>
      </w:r>
      <w:r w:rsidR="00A8541F" w:rsidRPr="00E61613">
        <w:tab/>
      </w:r>
      <w:r>
        <w:t>…</w:t>
      </w:r>
    </w:p>
    <w:p w:rsidR="00A8541F" w:rsidRPr="00E61613" w:rsidRDefault="00A8541F" w:rsidP="00A8541F">
      <w:pPr>
        <w:pStyle w:val="SingleTxtG"/>
        <w:ind w:left="2268"/>
      </w:pPr>
      <w:r w:rsidRPr="00E61613">
        <w:t>Pour les positions i-Size,</w:t>
      </w:r>
      <w:r w:rsidR="00905607">
        <w:t>…</w:t>
      </w:r>
      <w:r w:rsidRPr="00E61613">
        <w:t xml:space="preserve"> Le gabarit ISOFIX doit pouvoir être installé sous l’angle de tangage accru. Le présent paragraphe ne s’applique pas aux gabarits de taille ISO/B2.</w:t>
      </w:r>
      <w:r w:rsidR="000C491D">
        <w:t> ».</w:t>
      </w:r>
    </w:p>
    <w:p w:rsidR="00A8541F" w:rsidRPr="00E61613" w:rsidRDefault="00A8541F" w:rsidP="000C491D">
      <w:pPr>
        <w:pStyle w:val="SingleTxtG"/>
        <w:keepNext/>
      </w:pPr>
      <w:r w:rsidRPr="00E61613">
        <w:rPr>
          <w:i/>
          <w:iCs/>
        </w:rPr>
        <w:t>Paragraphe 5.2.4.2</w:t>
      </w:r>
      <w:r w:rsidRPr="00E61613">
        <w:t xml:space="preserve">, </w:t>
      </w:r>
      <w:proofErr w:type="gramStart"/>
      <w:r w:rsidRPr="00E61613">
        <w:t>modifier</w:t>
      </w:r>
      <w:proofErr w:type="gramEnd"/>
      <w:r w:rsidRPr="00E61613">
        <w:t xml:space="preserve"> comme suit</w:t>
      </w:r>
      <w:r w:rsidR="00905607">
        <w:t> :</w:t>
      </w:r>
    </w:p>
    <w:p w:rsidR="00A8541F" w:rsidRPr="00E61613" w:rsidRDefault="00A8541F" w:rsidP="00A8541F">
      <w:pPr>
        <w:pStyle w:val="SingleTxtG"/>
        <w:ind w:left="2268" w:hanging="1134"/>
      </w:pPr>
      <w:r>
        <w:t>« </w:t>
      </w:r>
      <w:r w:rsidRPr="00E61613">
        <w:t>5.2.4.2</w:t>
      </w:r>
      <w:r w:rsidRPr="00E61613">
        <w:tab/>
        <w:t xml:space="preserve">La zone d’ancrage pour fixation supérieure ISOFIX peut aussi être située à l’aide du gabarit </w:t>
      </w:r>
      <w:r w:rsidR="000C491D">
        <w:t>“</w:t>
      </w:r>
      <w:r w:rsidRPr="00E61613">
        <w:t>ISO/F2</w:t>
      </w:r>
      <w:r w:rsidR="000C491D">
        <w:t xml:space="preserve">”, défini dans le Règlement </w:t>
      </w:r>
      <w:r w:rsidR="000C491D">
        <w:rPr>
          <w:rFonts w:eastAsia="MS Mincho"/>
        </w:rPr>
        <w:t>n</w:t>
      </w:r>
      <w:r w:rsidR="000C491D">
        <w:rPr>
          <w:rFonts w:eastAsia="MS Mincho"/>
          <w:vertAlign w:val="superscript"/>
        </w:rPr>
        <w:t>o</w:t>
      </w:r>
      <w:r w:rsidR="000C491D">
        <w:t> 16 (annexe 17, appendice 2, fig. </w:t>
      </w:r>
      <w:r w:rsidRPr="00E61613">
        <w:t>2), placé à une position ISOFIX équipée des ancrages inférieurs ISOFIX comme montrés à la</w:t>
      </w:r>
      <w:r w:rsidR="000C491D">
        <w:t xml:space="preserve"> figure </w:t>
      </w:r>
      <w:r w:rsidRPr="00E61613">
        <w:t>11 de l’</w:t>
      </w:r>
      <w:r w:rsidR="000C491D">
        <w:t xml:space="preserve">annexe </w:t>
      </w:r>
      <w:r w:rsidRPr="00E61613">
        <w:t>9.</w:t>
      </w:r>
    </w:p>
    <w:p w:rsidR="00A8541F" w:rsidRPr="00E61613" w:rsidRDefault="00905607" w:rsidP="00A8541F">
      <w:pPr>
        <w:pStyle w:val="SingleTxtG"/>
        <w:ind w:left="2268"/>
      </w:pPr>
      <w:r>
        <w:t>…</w:t>
      </w:r>
    </w:p>
    <w:p w:rsidR="00A8541F" w:rsidRPr="00E61613" w:rsidRDefault="00A8541F" w:rsidP="00A8541F">
      <w:pPr>
        <w:pStyle w:val="SingleTxtG"/>
        <w:ind w:left="2268"/>
      </w:pPr>
      <w:r w:rsidRPr="00E61613">
        <w:t xml:space="preserve">Sur la vue de côté, les ancrages pour fixation supérieure ISOFIX devront être situés en arrière </w:t>
      </w:r>
      <w:r w:rsidR="000C491D">
        <w:t>de la face arrière du gabarit “</w:t>
      </w:r>
      <w:r w:rsidRPr="00E61613">
        <w:t>ISO/F2</w:t>
      </w:r>
      <w:r w:rsidR="000C491D">
        <w:t>”</w:t>
      </w:r>
      <w:r w:rsidRPr="00E61613">
        <w:t xml:space="preserve">. </w:t>
      </w:r>
      <w:bookmarkStart w:id="1" w:name="OLE_LINK1"/>
      <w:bookmarkEnd w:id="1"/>
    </w:p>
    <w:p w:rsidR="00A8541F" w:rsidRPr="00E61613" w:rsidRDefault="00A8541F" w:rsidP="000C491D">
      <w:pPr>
        <w:pStyle w:val="SingleTxtG"/>
        <w:keepLines/>
        <w:ind w:left="2268"/>
      </w:pPr>
      <w:r w:rsidRPr="00E61613">
        <w:lastRenderedPageBreak/>
        <w:t xml:space="preserve">L’intersection entre la face arrière du gabarit </w:t>
      </w:r>
      <w:r w:rsidR="000C491D">
        <w:t>“ISO/F2”</w:t>
      </w:r>
      <w:r w:rsidRPr="00E61613">
        <w:t xml:space="preserve"> et la ligne horizontale (annexe</w:t>
      </w:r>
      <w:r w:rsidR="000C491D">
        <w:t xml:space="preserve"> 9, fig. 11, point de référence </w:t>
      </w:r>
      <w:r w:rsidRPr="00E61613">
        <w:t xml:space="preserve">3) contenant le dernier point rigide d’une dureté Shore A supérieure à 50 au sommet du dossier du siège définit </w:t>
      </w:r>
      <w:r w:rsidR="000C491D">
        <w:t xml:space="preserve">le point de référence 4 (annexe </w:t>
      </w:r>
      <w:r w:rsidRPr="00E61613">
        <w:t xml:space="preserve">9, fig. 11) sur l’axe longitudinal du gabarit </w:t>
      </w:r>
      <w:r w:rsidR="000C491D">
        <w:t>“</w:t>
      </w:r>
      <w:r w:rsidRPr="00E61613">
        <w:t>ISO/F2</w:t>
      </w:r>
      <w:r w:rsidR="000C491D">
        <w:t>”</w:t>
      </w:r>
      <w:r w:rsidRPr="00E61613">
        <w:t xml:space="preserve">. À ce point de référence, un angle maximal de 45° au-dessus de la ligne horizontale définit la limite supérieure de la zone d’ancrage pour fixation supérieure. </w:t>
      </w:r>
    </w:p>
    <w:p w:rsidR="00A8541F" w:rsidRPr="00E61613" w:rsidRDefault="00905607" w:rsidP="00A8541F">
      <w:pPr>
        <w:pStyle w:val="SingleTxtG"/>
        <w:ind w:left="2268"/>
      </w:pPr>
      <w:r>
        <w:t>…</w:t>
      </w:r>
    </w:p>
    <w:p w:rsidR="00A8541F" w:rsidRPr="00E61613" w:rsidRDefault="00A8541F" w:rsidP="00A8541F">
      <w:pPr>
        <w:pStyle w:val="SingleTxtG"/>
        <w:ind w:left="2268"/>
      </w:pPr>
      <w:r w:rsidRPr="00E61613">
        <w:t xml:space="preserve">L’origine de la sangle de fixation supérieure ISOFIX (5) est située à l’intersection du gabarit </w:t>
      </w:r>
      <w:r w:rsidR="000C491D">
        <w:t>“</w:t>
      </w:r>
      <w:r w:rsidRPr="00E61613">
        <w:t>ISO/F2</w:t>
      </w:r>
      <w:r w:rsidR="000C491D">
        <w:t>”</w:t>
      </w:r>
      <w:r w:rsidRPr="00E61613">
        <w:t xml:space="preserve"> avec un plan passant 550 mm au-dessus de la face horizontale (1) dudit gabarit sur l’axe longitudinal (6) dudit gabarit.</w:t>
      </w:r>
    </w:p>
    <w:p w:rsidR="00F9573C" w:rsidRDefault="00A8541F" w:rsidP="00A8541F">
      <w:pPr>
        <w:pStyle w:val="SingleTxtG"/>
        <w:ind w:left="2268"/>
      </w:pPr>
      <w:r w:rsidRPr="00E61613">
        <w:t>De plus, les ancrages pour fixation supérieure ISOFIX se situeront entre 200 mm et, au maximum, 2</w:t>
      </w:r>
      <w:r w:rsidR="000C491D">
        <w:t> </w:t>
      </w:r>
      <w:r w:rsidRPr="00E61613">
        <w:t>000</w:t>
      </w:r>
      <w:r w:rsidR="000C491D">
        <w:t xml:space="preserve"> </w:t>
      </w:r>
      <w:r w:rsidRPr="00E61613">
        <w:t xml:space="preserve">mm du point d’origine de la sangle de fixation supérieure ISOFIX sur la face arrière du gabarit </w:t>
      </w:r>
      <w:r w:rsidR="000C491D">
        <w:t>“</w:t>
      </w:r>
      <w:r w:rsidRPr="00E61613">
        <w:t>ISO/F2</w:t>
      </w:r>
      <w:r w:rsidR="000C491D">
        <w:t>”</w:t>
      </w:r>
      <w:r w:rsidRPr="00E61613">
        <w:t>, mesurés le long de la sangle lorsqu’elle est tirée par-dessus le dossier du siège vers les ancrages pour fixation supérieure ISOFIX.</w:t>
      </w:r>
      <w:r>
        <w:t> ».</w:t>
      </w:r>
    </w:p>
    <w:p w:rsidR="00A8541F" w:rsidRPr="00A8541F" w:rsidRDefault="00A8541F" w:rsidP="00A854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541F" w:rsidRPr="00A8541F" w:rsidSect="00A854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06" w:rsidRDefault="00607206" w:rsidP="00F95C08">
      <w:pPr>
        <w:spacing w:line="240" w:lineRule="auto"/>
      </w:pPr>
    </w:p>
  </w:endnote>
  <w:endnote w:type="continuationSeparator" w:id="0">
    <w:p w:rsidR="00607206" w:rsidRPr="00AC3823" w:rsidRDefault="00607206" w:rsidP="00AC3823">
      <w:pPr>
        <w:pStyle w:val="Footer"/>
      </w:pPr>
    </w:p>
  </w:endnote>
  <w:endnote w:type="continuationNotice" w:id="1">
    <w:p w:rsidR="00607206" w:rsidRDefault="006072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1F" w:rsidRPr="00A8541F" w:rsidRDefault="00A8541F" w:rsidP="00A8541F">
    <w:pPr>
      <w:pStyle w:val="Footer"/>
      <w:tabs>
        <w:tab w:val="right" w:pos="9638"/>
      </w:tabs>
    </w:pPr>
    <w:r w:rsidRPr="00A8541F">
      <w:rPr>
        <w:b/>
        <w:sz w:val="18"/>
      </w:rPr>
      <w:fldChar w:fldCharType="begin"/>
    </w:r>
    <w:r w:rsidRPr="00A8541F">
      <w:rPr>
        <w:b/>
        <w:sz w:val="18"/>
      </w:rPr>
      <w:instrText xml:space="preserve"> PAGE  \* MERGEFORMAT </w:instrText>
    </w:r>
    <w:r w:rsidRPr="00A8541F">
      <w:rPr>
        <w:b/>
        <w:sz w:val="18"/>
      </w:rPr>
      <w:fldChar w:fldCharType="separate"/>
    </w:r>
    <w:r w:rsidR="001D04ED">
      <w:rPr>
        <w:b/>
        <w:noProof/>
        <w:sz w:val="18"/>
      </w:rPr>
      <w:t>2</w:t>
    </w:r>
    <w:r w:rsidRPr="00A8541F">
      <w:rPr>
        <w:b/>
        <w:sz w:val="18"/>
      </w:rPr>
      <w:fldChar w:fldCharType="end"/>
    </w:r>
    <w:r>
      <w:rPr>
        <w:b/>
        <w:sz w:val="18"/>
      </w:rPr>
      <w:tab/>
    </w:r>
    <w:r>
      <w:t>GE.17-05455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1F" w:rsidRPr="00A8541F" w:rsidRDefault="00A8541F" w:rsidP="00A8541F">
    <w:pPr>
      <w:pStyle w:val="Footer"/>
      <w:tabs>
        <w:tab w:val="right" w:pos="9638"/>
      </w:tabs>
      <w:rPr>
        <w:b/>
        <w:sz w:val="18"/>
      </w:rPr>
    </w:pPr>
    <w:r>
      <w:t>GE.17-05455</w:t>
    </w:r>
    <w:r>
      <w:tab/>
    </w:r>
    <w:r w:rsidRPr="00A8541F">
      <w:rPr>
        <w:b/>
        <w:sz w:val="18"/>
      </w:rPr>
      <w:fldChar w:fldCharType="begin"/>
    </w:r>
    <w:r w:rsidRPr="00A8541F">
      <w:rPr>
        <w:b/>
        <w:sz w:val="18"/>
      </w:rPr>
      <w:instrText xml:space="preserve"> PAGE  \* MERGEFORMAT </w:instrText>
    </w:r>
    <w:r w:rsidRPr="00A8541F">
      <w:rPr>
        <w:b/>
        <w:sz w:val="18"/>
      </w:rPr>
      <w:fldChar w:fldCharType="separate"/>
    </w:r>
    <w:r w:rsidR="001D04ED">
      <w:rPr>
        <w:b/>
        <w:noProof/>
        <w:sz w:val="18"/>
      </w:rPr>
      <w:t>3</w:t>
    </w:r>
    <w:r w:rsidRPr="00A854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8541F" w:rsidRDefault="00A8541F" w:rsidP="00A854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C184D7D" wp14:editId="2B6199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17-05455</w:t>
    </w:r>
    <w:r w:rsidR="00905607">
      <w:rPr>
        <w:sz w:val="20"/>
      </w:rPr>
      <w:t xml:space="preserve">  </w:t>
    </w:r>
    <w:r>
      <w:rPr>
        <w:sz w:val="20"/>
      </w:rPr>
      <w:t>(F)</w:t>
    </w:r>
    <w:r w:rsidR="00905607">
      <w:rPr>
        <w:sz w:val="20"/>
      </w:rPr>
      <w:t xml:space="preserve">    280417    010517</w:t>
    </w:r>
    <w:r>
      <w:rPr>
        <w:sz w:val="20"/>
      </w:rPr>
      <w:br/>
    </w:r>
    <w:r w:rsidRPr="00A8541F">
      <w:rPr>
        <w:rFonts w:ascii="C39T30Lfz" w:hAnsi="C39T30Lfz"/>
        <w:sz w:val="56"/>
      </w:rPr>
      <w:t></w:t>
    </w:r>
    <w:r w:rsidRPr="00A8541F">
      <w:rPr>
        <w:rFonts w:ascii="C39T30Lfz" w:hAnsi="C39T30Lfz"/>
        <w:sz w:val="56"/>
      </w:rPr>
      <w:t></w:t>
    </w:r>
    <w:r w:rsidRPr="00A8541F">
      <w:rPr>
        <w:rFonts w:ascii="C39T30Lfz" w:hAnsi="C39T30Lfz"/>
        <w:sz w:val="56"/>
      </w:rPr>
      <w:t></w:t>
    </w:r>
    <w:r w:rsidRPr="00A8541F">
      <w:rPr>
        <w:rFonts w:ascii="C39T30Lfz" w:hAnsi="C39T30Lfz"/>
        <w:sz w:val="56"/>
      </w:rPr>
      <w:t></w:t>
    </w:r>
    <w:r w:rsidRPr="00A8541F">
      <w:rPr>
        <w:rFonts w:ascii="C39T30Lfz" w:hAnsi="C39T30Lfz"/>
        <w:sz w:val="56"/>
      </w:rPr>
      <w:t></w:t>
    </w:r>
    <w:r w:rsidRPr="00A8541F">
      <w:rPr>
        <w:rFonts w:ascii="C39T30Lfz" w:hAnsi="C39T30Lfz"/>
        <w:sz w:val="56"/>
      </w:rPr>
      <w:t></w:t>
    </w:r>
    <w:r w:rsidRPr="00A8541F">
      <w:rPr>
        <w:rFonts w:ascii="C39T30Lfz" w:hAnsi="C39T30Lfz"/>
        <w:sz w:val="56"/>
      </w:rPr>
      <w:t></w:t>
    </w:r>
    <w:r w:rsidRPr="00A8541F">
      <w:rPr>
        <w:rFonts w:ascii="C39T30Lfz" w:hAnsi="C39T30Lfz"/>
        <w:sz w:val="56"/>
      </w:rPr>
      <w:t></w:t>
    </w:r>
    <w:r w:rsidRPr="00A8541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A3EAC0A" wp14:editId="315AE1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5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5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06" w:rsidRPr="00AC3823" w:rsidRDefault="006072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7206" w:rsidRPr="00AC3823" w:rsidRDefault="006072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7206" w:rsidRPr="00AC3823" w:rsidRDefault="00607206">
      <w:pPr>
        <w:spacing w:line="240" w:lineRule="auto"/>
        <w:rPr>
          <w:sz w:val="2"/>
          <w:szCs w:val="2"/>
        </w:rPr>
      </w:pPr>
    </w:p>
  </w:footnote>
  <w:footnote w:id="2">
    <w:p w:rsidR="00A8541F" w:rsidRPr="00905607" w:rsidRDefault="00A8541F" w:rsidP="00A8541F">
      <w:pPr>
        <w:pStyle w:val="FootnoteText"/>
        <w:rPr>
          <w:spacing w:val="-1"/>
        </w:rPr>
      </w:pPr>
      <w:r w:rsidRPr="00905607">
        <w:rPr>
          <w:sz w:val="20"/>
          <w:lang w:val="fr-FR"/>
        </w:rPr>
        <w:tab/>
        <w:t>*</w:t>
      </w:r>
      <w:r w:rsidRPr="00905607">
        <w:rPr>
          <w:sz w:val="20"/>
          <w:lang w:val="fr-FR"/>
        </w:rPr>
        <w:tab/>
      </w:r>
      <w:r w:rsidRPr="00905607">
        <w:rPr>
          <w:spacing w:val="-1"/>
          <w:lang w:val="fr-FR"/>
        </w:rP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1F" w:rsidRPr="00A8541F" w:rsidRDefault="001D04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6024">
      <w:t>ECE/TRANS/WP.29/2017/58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1F" w:rsidRPr="00A8541F" w:rsidRDefault="001D04ED" w:rsidP="00A854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6024">
      <w:t>ECE/TRANS/WP.29/2017/58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6"/>
    <w:rsid w:val="00017F94"/>
    <w:rsid w:val="00023842"/>
    <w:rsid w:val="000334F9"/>
    <w:rsid w:val="00045FEB"/>
    <w:rsid w:val="0007796D"/>
    <w:rsid w:val="000B7790"/>
    <w:rsid w:val="000C491D"/>
    <w:rsid w:val="00111F2F"/>
    <w:rsid w:val="0014365E"/>
    <w:rsid w:val="00143C66"/>
    <w:rsid w:val="00176178"/>
    <w:rsid w:val="001D04ED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7206"/>
    <w:rsid w:val="00641457"/>
    <w:rsid w:val="0071601D"/>
    <w:rsid w:val="00746024"/>
    <w:rsid w:val="007A62E6"/>
    <w:rsid w:val="007F20FA"/>
    <w:rsid w:val="0080684C"/>
    <w:rsid w:val="00871C75"/>
    <w:rsid w:val="008776DC"/>
    <w:rsid w:val="00905607"/>
    <w:rsid w:val="009446C0"/>
    <w:rsid w:val="009705C8"/>
    <w:rsid w:val="009C1CF4"/>
    <w:rsid w:val="009F6B74"/>
    <w:rsid w:val="00A30353"/>
    <w:rsid w:val="00A8541F"/>
    <w:rsid w:val="00AC3823"/>
    <w:rsid w:val="00AE323C"/>
    <w:rsid w:val="00AF0CB5"/>
    <w:rsid w:val="00B00181"/>
    <w:rsid w:val="00B00B0D"/>
    <w:rsid w:val="00B765F7"/>
    <w:rsid w:val="00BA0CA9"/>
    <w:rsid w:val="00BA0F74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8541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8541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A8541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A8541F"/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8541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8541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A8541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A8541F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ECE/TRANS/WP.29/2017/58</vt:lpstr>
      <vt:lpstr>ECE/TRANS/WP.29/2017/58</vt:lpstr>
    </vt:vector>
  </TitlesOfParts>
  <Company>DCM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ECE/TRANS/WP.29/2017/58</dc:title>
  <dc:creator>Morin</dc:creator>
  <cp:lastModifiedBy>Benedicte Boudol</cp:lastModifiedBy>
  <cp:revision>2</cp:revision>
  <cp:lastPrinted>2017-05-01T08:42:00Z</cp:lastPrinted>
  <dcterms:created xsi:type="dcterms:W3CDTF">2017-05-03T09:02:00Z</dcterms:created>
  <dcterms:modified xsi:type="dcterms:W3CDTF">2017-05-03T09:02:00Z</dcterms:modified>
</cp:coreProperties>
</file>