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87A2D">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87A2D" w:rsidP="00B87A2D">
            <w:pPr>
              <w:jc w:val="right"/>
            </w:pPr>
            <w:r w:rsidRPr="00B87A2D">
              <w:rPr>
                <w:sz w:val="40"/>
              </w:rPr>
              <w:t>ECE</w:t>
            </w:r>
            <w:r>
              <w:t>/TRANS/WP.29/2017/41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87A2D" w:rsidP="00892A2F">
            <w:pPr>
              <w:spacing w:before="240"/>
            </w:pPr>
            <w:r>
              <w:t>Distr. générale</w:t>
            </w:r>
          </w:p>
          <w:p w:rsidR="00B87A2D" w:rsidRDefault="00760D7C" w:rsidP="00B87A2D">
            <w:pPr>
              <w:spacing w:line="240" w:lineRule="exact"/>
            </w:pPr>
            <w:r>
              <w:t>20 décembre 2016</w:t>
            </w:r>
          </w:p>
          <w:p w:rsidR="00B87A2D" w:rsidRDefault="00B87A2D" w:rsidP="00B87A2D">
            <w:pPr>
              <w:spacing w:line="240" w:lineRule="exact"/>
            </w:pPr>
            <w:r>
              <w:t>Français</w:t>
            </w:r>
          </w:p>
          <w:p w:rsidR="00B87A2D" w:rsidRPr="00DB58B5" w:rsidRDefault="00B87A2D" w:rsidP="00B87A2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87A2D" w:rsidRPr="00760D7C" w:rsidRDefault="00B87A2D" w:rsidP="00B87A2D">
      <w:pPr>
        <w:spacing w:before="120"/>
        <w:rPr>
          <w:b/>
          <w:sz w:val="24"/>
          <w:szCs w:val="24"/>
        </w:rPr>
      </w:pPr>
      <w:r w:rsidRPr="00760D7C">
        <w:rPr>
          <w:b/>
          <w:sz w:val="24"/>
          <w:szCs w:val="24"/>
        </w:rPr>
        <w:t>Forum mondial de l’harmonisation</w:t>
      </w:r>
      <w:r w:rsidRPr="00760D7C">
        <w:rPr>
          <w:b/>
          <w:sz w:val="24"/>
          <w:szCs w:val="24"/>
        </w:rPr>
        <w:br/>
        <w:t>des Règlements concernant les véhicules</w:t>
      </w:r>
    </w:p>
    <w:p w:rsidR="00B87A2D" w:rsidRPr="006D33D9" w:rsidRDefault="00B87A2D" w:rsidP="00B87A2D">
      <w:pPr>
        <w:tabs>
          <w:tab w:val="center" w:pos="4819"/>
        </w:tabs>
        <w:spacing w:before="120"/>
        <w:rPr>
          <w:b/>
        </w:rPr>
      </w:pPr>
      <w:r>
        <w:rPr>
          <w:b/>
        </w:rPr>
        <w:t>171</w:t>
      </w:r>
      <w:r>
        <w:rPr>
          <w:b/>
          <w:vertAlign w:val="superscript"/>
        </w:rPr>
        <w:t>e</w:t>
      </w:r>
      <w:r w:rsidR="00760D7C">
        <w:rPr>
          <w:b/>
        </w:rPr>
        <w:t> </w:t>
      </w:r>
      <w:r>
        <w:rPr>
          <w:b/>
        </w:rPr>
        <w:t>session</w:t>
      </w:r>
    </w:p>
    <w:p w:rsidR="00B87A2D" w:rsidRPr="006D33D9" w:rsidRDefault="00823963" w:rsidP="00B87A2D">
      <w:r>
        <w:t>Genève, 14-17 </w:t>
      </w:r>
      <w:r w:rsidR="00B87A2D">
        <w:t>mars 2017</w:t>
      </w:r>
    </w:p>
    <w:p w:rsidR="00B87A2D" w:rsidRPr="00AF2205" w:rsidRDefault="00B87A2D" w:rsidP="00B87A2D">
      <w:r>
        <w:t>Point 4.9.23 de l’ordre du jour provisoire</w:t>
      </w:r>
    </w:p>
    <w:p w:rsidR="00B87A2D" w:rsidRPr="00AF2205" w:rsidRDefault="00B87A2D" w:rsidP="00B87A2D">
      <w:pPr>
        <w:rPr>
          <w:b/>
        </w:rPr>
      </w:pPr>
      <w:r>
        <w:rPr>
          <w:b/>
        </w:rPr>
        <w:t>Accord de 1958 :</w:t>
      </w:r>
      <w:r w:rsidR="00760D7C">
        <w:rPr>
          <w:b/>
        </w:rPr>
        <w:t xml:space="preserve"> </w:t>
      </w:r>
      <w:r>
        <w:rPr>
          <w:b/>
        </w:rPr>
        <w:t>Examen de projets d’amendements</w:t>
      </w:r>
      <w:r w:rsidR="00760D7C">
        <w:rPr>
          <w:b/>
        </w:rPr>
        <w:br/>
      </w:r>
      <w:r>
        <w:rPr>
          <w:b/>
        </w:rPr>
        <w:t>à des Règlements existants, présentés par le GRE</w:t>
      </w:r>
    </w:p>
    <w:p w:rsidR="00B87A2D" w:rsidRPr="00A90EA8" w:rsidRDefault="00760D7C" w:rsidP="00760D7C">
      <w:pPr>
        <w:pStyle w:val="HChG"/>
      </w:pPr>
      <w:r>
        <w:tab/>
      </w:r>
      <w:r>
        <w:tab/>
      </w:r>
      <w:r w:rsidR="00B87A2D">
        <w:t xml:space="preserve">Proposition de </w:t>
      </w:r>
      <w:r w:rsidR="00B87A2D" w:rsidRPr="00760D7C">
        <w:t>complément</w:t>
      </w:r>
      <w:r w:rsidR="00B87A2D">
        <w:t xml:space="preserve"> 8 à la série 01 d’</w:t>
      </w:r>
      <w:r>
        <w:t>amendements</w:t>
      </w:r>
      <w:r>
        <w:br/>
      </w:r>
      <w:r w:rsidR="00B87A2D">
        <w:t xml:space="preserve">au Règlement </w:t>
      </w:r>
      <w:r>
        <w:rPr>
          <w:rFonts w:eastAsia="MS Mincho"/>
        </w:rPr>
        <w:t>n</w:t>
      </w:r>
      <w:r>
        <w:rPr>
          <w:rFonts w:eastAsia="MS Mincho"/>
          <w:vertAlign w:val="superscript"/>
        </w:rPr>
        <w:t>o</w:t>
      </w:r>
      <w:r w:rsidR="00B87A2D">
        <w:t> 123 (Systèmes d’</w:t>
      </w:r>
      <w:r>
        <w:t>éclairage avant actifs</w:t>
      </w:r>
      <w:r>
        <w:br/>
      </w:r>
      <w:r w:rsidR="00B87A2D">
        <w:t>(AFS))</w:t>
      </w:r>
    </w:p>
    <w:p w:rsidR="00B87A2D" w:rsidRPr="00A90EA8" w:rsidRDefault="00760D7C" w:rsidP="00760D7C">
      <w:pPr>
        <w:pStyle w:val="H1G"/>
      </w:pPr>
      <w:r>
        <w:tab/>
      </w:r>
      <w:r>
        <w:tab/>
      </w:r>
      <w:r w:rsidR="00B87A2D">
        <w:t>Communication du Groupe de travail de l’</w:t>
      </w:r>
      <w:r>
        <w:t>éclairage</w:t>
      </w:r>
      <w:r>
        <w:br/>
      </w:r>
      <w:r w:rsidR="00B87A2D">
        <w:t>et de la signalisation lumineuse</w:t>
      </w:r>
      <w:r w:rsidR="00B87A2D" w:rsidRPr="00760D7C">
        <w:rPr>
          <w:b w:val="0"/>
          <w:sz w:val="20"/>
          <w:lang w:val="en-GB"/>
        </w:rPr>
        <w:footnoteReference w:customMarkFollows="1" w:id="2"/>
        <w:t>*</w:t>
      </w:r>
    </w:p>
    <w:p w:rsidR="00B87A2D" w:rsidRDefault="00B87A2D" w:rsidP="00B87A2D">
      <w:pPr>
        <w:pStyle w:val="SingleTxtG"/>
        <w:ind w:firstLine="567"/>
      </w:pPr>
      <w:r>
        <w:t>Le texte reproduit ci-après, adopté par le Groupe de travail de l’éclairage et de la signalisation lumineuse (GRE) à sa soixante-seizième sessio</w:t>
      </w:r>
      <w:r w:rsidR="00760D7C">
        <w:t>n (ECE/TRANS/ WP.29/GRE/76, par. </w:t>
      </w:r>
      <w:r>
        <w:t>10, 12, 15 et 33), est fondé sur les documents ECE/TRANS/</w:t>
      </w:r>
      <w:r w:rsidR="00760D7C">
        <w:t xml:space="preserve"> </w:t>
      </w:r>
      <w:r>
        <w:t>WP.29/GRE/2013/55/Rev.1, ECE/TRANS/WP.29/GRE/2014/3, ECE/TRANS/WP.29/</w:t>
      </w:r>
      <w:r w:rsidR="00760D7C">
        <w:t xml:space="preserve"> </w:t>
      </w:r>
      <w:r>
        <w:t>GRE/2016/14, ECE/TRANS/WP.29/GRE/75 (annexe</w:t>
      </w:r>
      <w:r w:rsidR="00823963">
        <w:t> </w:t>
      </w:r>
      <w:r>
        <w:t>IV), ECE/TRANS/WP.29/</w:t>
      </w:r>
      <w:r w:rsidR="00760D7C">
        <w:t xml:space="preserve"> </w:t>
      </w:r>
      <w:r>
        <w:t>GRE/2016/25, ECE/TRANS/WP.29/GRE/2016/29, sur l’annexe V du rapport ainsi que sur le document ECE/TRANS/WP.29/GRE/2016/32. Il est soumis au Forum mondial de l’harmonisation des Règlements concernant les véhicules (WP.29) et au Comité d’administration (AC.1) pour examen à leurs sessions de mars 2017.</w:t>
      </w:r>
    </w:p>
    <w:p w:rsidR="00B87A2D" w:rsidRDefault="00B87A2D" w:rsidP="00760D7C">
      <w:pPr>
        <w:pStyle w:val="HChG"/>
      </w:pPr>
      <w:r>
        <w:br w:type="page"/>
      </w:r>
      <w:r w:rsidR="00760D7C">
        <w:lastRenderedPageBreak/>
        <w:tab/>
      </w:r>
      <w:r w:rsidR="00760D7C">
        <w:tab/>
      </w:r>
      <w:r>
        <w:t>Complément 8 à la série 01 d’</w:t>
      </w:r>
      <w:r w:rsidR="00760D7C">
        <w:t xml:space="preserve">amendements au Règlement </w:t>
      </w:r>
      <w:r w:rsidR="00760D7C">
        <w:rPr>
          <w:rFonts w:eastAsia="MS Mincho"/>
        </w:rPr>
        <w:t>n</w:t>
      </w:r>
      <w:r w:rsidR="00760D7C">
        <w:rPr>
          <w:rFonts w:eastAsia="MS Mincho"/>
          <w:vertAlign w:val="superscript"/>
        </w:rPr>
        <w:t>o</w:t>
      </w:r>
      <w:r>
        <w:t xml:space="preserve"> 123 (Systèmes d’éclairage avant actifs (AFS)) </w:t>
      </w:r>
    </w:p>
    <w:p w:rsidR="00B87A2D" w:rsidRPr="00E96377" w:rsidRDefault="00B87A2D" w:rsidP="00823963">
      <w:pPr>
        <w:pStyle w:val="SingleTxtG"/>
        <w:keepNext/>
      </w:pPr>
      <w:r w:rsidRPr="00760D7C">
        <w:rPr>
          <w:i/>
        </w:rPr>
        <w:t>Paragraphe 1.16.1</w:t>
      </w:r>
      <w:r>
        <w:t>, lire :</w:t>
      </w:r>
    </w:p>
    <w:p w:rsidR="00B87A2D" w:rsidRPr="00BD0D16" w:rsidRDefault="00B87A2D" w:rsidP="00823963">
      <w:pPr>
        <w:pStyle w:val="SingleTxtG"/>
        <w:keepNext/>
        <w:rPr>
          <w:iCs/>
        </w:rPr>
      </w:pPr>
      <w:r>
        <w:t>« 1.16.1</w:t>
      </w:r>
      <w:r>
        <w:tab/>
        <w:t>La ou les marque(s) de fabrique ou de commerce</w:t>
      </w:r>
      <w:r w:rsidR="00CF359E">
        <w:t> </w:t>
      </w:r>
      <w:r>
        <w:t>:</w:t>
      </w:r>
    </w:p>
    <w:p w:rsidR="00B87A2D" w:rsidRPr="00D55AB8" w:rsidRDefault="00B87A2D" w:rsidP="00760D7C">
      <w:pPr>
        <w:pStyle w:val="SingleTxtG"/>
        <w:ind w:left="2835" w:hanging="567"/>
        <w:rPr>
          <w:iCs/>
        </w:rPr>
      </w:pPr>
      <w:r>
        <w:t>a)</w:t>
      </w:r>
      <w:r>
        <w:tab/>
        <w:t>Des feux portant la même marque de fabrique ou de commerce mais produits par des fabricants différents doivent être considérés comme étant de types différents</w:t>
      </w:r>
      <w:r w:rsidR="00CF359E">
        <w:t> </w:t>
      </w:r>
      <w:r>
        <w:t>;</w:t>
      </w:r>
    </w:p>
    <w:p w:rsidR="00B87A2D" w:rsidRPr="00D55AB8" w:rsidRDefault="00B87A2D" w:rsidP="00760D7C">
      <w:pPr>
        <w:pStyle w:val="SingleTxtG"/>
        <w:ind w:left="2835" w:hanging="567"/>
      </w:pPr>
      <w:r>
        <w:t>b)</w:t>
      </w:r>
      <w:r>
        <w:tab/>
        <w:t>Des feux produits par le même fabricant et ne différant entre eux que par la marque de fabrique ou de commerce doivent être considérés comme étant du même type. ».</w:t>
      </w:r>
    </w:p>
    <w:p w:rsidR="00B87A2D" w:rsidRPr="00896E0C" w:rsidRDefault="00B87A2D" w:rsidP="00823963">
      <w:pPr>
        <w:pStyle w:val="SingleTxtG"/>
        <w:keepNext/>
      </w:pPr>
      <w:r w:rsidRPr="00760D7C">
        <w:rPr>
          <w:i/>
        </w:rPr>
        <w:t>Ajouter trois nouveaux paragraphes 2.2.7 à 2.2.7.2</w:t>
      </w:r>
      <w:r w:rsidRPr="00896E0C">
        <w:t>, comme suit</w:t>
      </w:r>
      <w:r w:rsidR="00760D7C">
        <w:t> </w:t>
      </w:r>
      <w:r w:rsidRPr="00896E0C">
        <w:t>:</w:t>
      </w:r>
    </w:p>
    <w:p w:rsidR="00B87A2D" w:rsidRPr="00760D7C" w:rsidRDefault="00B87A2D" w:rsidP="00823963">
      <w:pPr>
        <w:pStyle w:val="SingleTxtG"/>
        <w:keepNext/>
        <w:ind w:left="2268" w:hanging="1134"/>
      </w:pPr>
      <w:r w:rsidRPr="00760D7C">
        <w:t>« 2.2.7</w:t>
      </w:r>
      <w:r w:rsidRPr="00760D7C">
        <w:tab/>
      </w:r>
      <w:r w:rsidR="00760D7C">
        <w:tab/>
      </w:r>
      <w:r w:rsidRPr="00760D7C">
        <w:t>Lorsqu’il s’agit d’un type de feu ne différant d’un type homologué antérieurement que par la marque de fabrique ou de commerce, il suffit de présenter</w:t>
      </w:r>
      <w:r w:rsidR="00CF359E">
        <w:t> </w:t>
      </w:r>
      <w:r w:rsidRPr="00760D7C">
        <w:t>:</w:t>
      </w:r>
    </w:p>
    <w:p w:rsidR="00B87A2D" w:rsidRPr="00760D7C" w:rsidRDefault="00B87A2D" w:rsidP="00760D7C">
      <w:pPr>
        <w:pStyle w:val="SingleTxtG"/>
        <w:ind w:left="2268" w:hanging="1134"/>
      </w:pPr>
      <w:r w:rsidRPr="00760D7C">
        <w:t>2.2.7.1</w:t>
      </w:r>
      <w:r w:rsidRPr="00760D7C">
        <w:tab/>
      </w:r>
      <w:r w:rsidR="00760D7C">
        <w:tab/>
      </w:r>
      <w:r w:rsidRPr="00760D7C">
        <w:t>Une déclaration du fabricant du dispositif précisant que, sauf quant à la marque de fabrique ou de commerce, le type soumis est identique au type déjà homologué (identifié par son code d’homologation) et provient du même fabricant</w:t>
      </w:r>
      <w:r w:rsidR="00CF359E">
        <w:t> </w:t>
      </w:r>
      <w:r w:rsidRPr="00760D7C">
        <w:t>;</w:t>
      </w:r>
    </w:p>
    <w:p w:rsidR="00B87A2D" w:rsidRPr="00896E0C" w:rsidRDefault="00B87A2D" w:rsidP="00760D7C">
      <w:pPr>
        <w:pStyle w:val="SingleTxtG"/>
        <w:ind w:left="2268" w:hanging="1134"/>
      </w:pPr>
      <w:r w:rsidRPr="00896E0C">
        <w:t>2.2.7.2</w:t>
      </w:r>
      <w:r w:rsidRPr="00896E0C">
        <w:tab/>
      </w:r>
      <w:r w:rsidR="00760D7C">
        <w:tab/>
      </w:r>
      <w:r w:rsidRPr="00896E0C">
        <w:t>Deux échantillons portant la nouvelle marque de fabrique ou de commerce, ou un document équivalent. ».</w:t>
      </w:r>
    </w:p>
    <w:p w:rsidR="00B87A2D" w:rsidRPr="00896E0C" w:rsidRDefault="00B87A2D" w:rsidP="00760D7C">
      <w:pPr>
        <w:pStyle w:val="SingleTxtG"/>
        <w:rPr>
          <w:b/>
          <w:bCs/>
        </w:rPr>
      </w:pPr>
      <w:r w:rsidRPr="00896E0C">
        <w:rPr>
          <w:i/>
        </w:rPr>
        <w:t>Le paragraphe 2.2.7</w:t>
      </w:r>
      <w:r w:rsidRPr="00896E0C">
        <w:t xml:space="preserve"> devient le paragraphe 2.2.8.</w:t>
      </w:r>
    </w:p>
    <w:p w:rsidR="00B87A2D" w:rsidRPr="00D55AB8" w:rsidRDefault="00B87A2D" w:rsidP="00823963">
      <w:pPr>
        <w:pStyle w:val="SingleTxtG"/>
        <w:keepNext/>
        <w:rPr>
          <w:iCs/>
        </w:rPr>
      </w:pPr>
      <w:r w:rsidRPr="00760D7C">
        <w:rPr>
          <w:i/>
        </w:rPr>
        <w:t>Paragraphe 5</w:t>
      </w:r>
      <w:r>
        <w:t>, lire</w:t>
      </w:r>
      <w:r w:rsidR="00760D7C">
        <w:t> </w:t>
      </w:r>
      <w:r>
        <w:t>:</w:t>
      </w:r>
    </w:p>
    <w:p w:rsidR="00B87A2D" w:rsidRPr="00D55AB8" w:rsidRDefault="00760D7C" w:rsidP="00760D7C">
      <w:pPr>
        <w:pStyle w:val="HChG"/>
      </w:pPr>
      <w:r>
        <w:tab/>
      </w:r>
      <w:r w:rsidR="00514D3B">
        <w:tab/>
      </w:r>
      <w:r w:rsidR="00B87A2D">
        <w:t>« 5.</w:t>
      </w:r>
      <w:r w:rsidR="00B87A2D">
        <w:tab/>
      </w:r>
      <w:r>
        <w:tab/>
      </w:r>
      <w:r w:rsidR="00B87A2D">
        <w:t>Prescriptions générales</w:t>
      </w:r>
    </w:p>
    <w:p w:rsidR="00B87A2D" w:rsidRPr="00D55AB8" w:rsidRDefault="00B87A2D" w:rsidP="00514D3B">
      <w:pPr>
        <w:pStyle w:val="SingleTxtG"/>
        <w:ind w:left="2268"/>
      </w:pPr>
      <w:r>
        <w:tab/>
        <w:t>Les prescriptions contenues dans les sections 5 “Prescriptions générales” et 6 “Prescriptions particulières” ainsi que dans les annexes citées dans lesdites sections du Règlement n</w:t>
      </w:r>
      <w:r w:rsidRPr="00514D3B">
        <w:rPr>
          <w:vertAlign w:val="superscript"/>
        </w:rPr>
        <w:t>o</w:t>
      </w:r>
      <w:r w:rsidR="00514D3B">
        <w:t> </w:t>
      </w:r>
      <w:r>
        <w:t>48 et de ses séries d’amendements en vigueur à la date de la demande d’homologation du type de feu s’appliquent au présent Règlement.</w:t>
      </w:r>
    </w:p>
    <w:p w:rsidR="00B87A2D" w:rsidRDefault="00B87A2D" w:rsidP="00514D3B">
      <w:pPr>
        <w:pStyle w:val="SingleTxtG"/>
        <w:ind w:left="2268"/>
      </w:pPr>
      <w:r>
        <w:tab/>
        <w:t>Les prescriptions pertinentes pour chaque feu et la (les) catégorie(s) de véhicule sur laquelle/lesquelles il est prévu d’installer le feu sont applicables, pour autant que leur vérification soit possible lors de l’homologation du type de feu. »</w:t>
      </w:r>
    </w:p>
    <w:p w:rsidR="00B87A2D" w:rsidRPr="00D55AB8" w:rsidRDefault="00B87A2D" w:rsidP="00514D3B">
      <w:pPr>
        <w:pStyle w:val="SingleTxtG"/>
      </w:pPr>
      <w:r>
        <w:t>5.1</w:t>
      </w:r>
      <w:r>
        <w:tab/>
      </w:r>
      <w:r w:rsidR="00514D3B">
        <w:tab/>
      </w:r>
      <w:r>
        <w:t>…».</w:t>
      </w:r>
    </w:p>
    <w:p w:rsidR="00B87A2D" w:rsidRPr="002C28F3" w:rsidRDefault="00B87A2D" w:rsidP="00823963">
      <w:pPr>
        <w:pStyle w:val="SingleTxtG"/>
        <w:keepNext/>
        <w:rPr>
          <w:iCs/>
        </w:rPr>
      </w:pPr>
      <w:r w:rsidRPr="00514D3B">
        <w:rPr>
          <w:i/>
        </w:rPr>
        <w:t>Paragraphe 5.7.3</w:t>
      </w:r>
      <w:r>
        <w:t>, lire :</w:t>
      </w:r>
    </w:p>
    <w:p w:rsidR="00B87A2D" w:rsidRPr="003A0FD0" w:rsidRDefault="00B87A2D" w:rsidP="00514D3B">
      <w:pPr>
        <w:pStyle w:val="SingleTxtG"/>
        <w:ind w:left="2268" w:hanging="1134"/>
      </w:pPr>
      <w:r>
        <w:t>« 5.7.3</w:t>
      </w:r>
      <w:r>
        <w:tab/>
        <w:t>Qu’en cas de panne, le système se mette automatiquement en faisceau de croisement ou dans un état tel que les valeurs photométriques ne soient pas supérieures à 1 300 cd dans la zone III b définie à l’annexe 3 du présent Règlement et soient au moins égales</w:t>
      </w:r>
      <w:r w:rsidR="00514D3B">
        <w:t xml:space="preserve"> à 3 400 </w:t>
      </w:r>
      <w:r>
        <w:t xml:space="preserve">cd en un point du “segment </w:t>
      </w:r>
      <w:r>
        <w:rPr>
          <w:b/>
        </w:rPr>
        <w:t xml:space="preserve"> </w:t>
      </w:r>
      <w:r>
        <w:t>I</w:t>
      </w:r>
      <w:r>
        <w:rPr>
          <w:vertAlign w:val="subscript"/>
        </w:rPr>
        <w:t>max</w:t>
      </w:r>
      <w:r>
        <w:t>”, par des moyens tels, par exemple, que l’extinction, l’affaiblissement ou l’abaissement du faisceau et/ou une substitution de fonction ;</w:t>
      </w:r>
    </w:p>
    <w:p w:rsidR="00B87A2D" w:rsidRPr="003A0FD0" w:rsidRDefault="00B87A2D" w:rsidP="00514D3B">
      <w:pPr>
        <w:pStyle w:val="SingleTxtG"/>
        <w:ind w:left="2268"/>
      </w:pPr>
      <w:r>
        <w:lastRenderedPageBreak/>
        <w:tab/>
        <w:t>Lors de l’exécution des essais pour vérifier la conformité avec les présentes prescriptions, le service technique chargé des essais d’homologation se réfère aux instructions fournies par le demandeur. ».</w:t>
      </w:r>
    </w:p>
    <w:p w:rsidR="00B87A2D" w:rsidRPr="00782F27" w:rsidRDefault="00B87A2D" w:rsidP="00823963">
      <w:pPr>
        <w:pStyle w:val="SingleTxtG"/>
        <w:keepNext/>
        <w:rPr>
          <w:iCs/>
        </w:rPr>
      </w:pPr>
      <w:r w:rsidRPr="00514D3B">
        <w:rPr>
          <w:i/>
        </w:rPr>
        <w:t>Paragraphe 6.2.4</w:t>
      </w:r>
      <w:r>
        <w:t>, lire :</w:t>
      </w:r>
    </w:p>
    <w:p w:rsidR="00B87A2D" w:rsidRPr="003A0FD0" w:rsidRDefault="00B87A2D" w:rsidP="00823963">
      <w:pPr>
        <w:pStyle w:val="SingleTxtG"/>
        <w:keepNext/>
        <w:ind w:left="2268" w:hanging="1134"/>
      </w:pPr>
      <w:r>
        <w:t>« 6.2.4</w:t>
      </w:r>
      <w:r>
        <w:tab/>
        <w:t>Lorsqu’il émet un certain mode de faisceau de croisement, le système doit être conforme aux prescriptions de la section pertinente (C, V, E ou W) de la partie A du tableau 1 (valeurs photométriques) et du tableau 2 (I</w:t>
      </w:r>
      <w:r>
        <w:rPr>
          <w:vertAlign w:val="subscript"/>
        </w:rPr>
        <w:t>max</w:t>
      </w:r>
      <w:r>
        <w:t xml:space="preserve"> et emplacement de la coupure) de l’annexe 3 du présent Règlement, ainsi que de la section 1 (prescriptions applicables à la coupure) de l’annexe 8 du présent Règlement. ».</w:t>
      </w:r>
    </w:p>
    <w:p w:rsidR="00B87A2D" w:rsidRPr="003A0FD0" w:rsidRDefault="00B87A2D" w:rsidP="00823963">
      <w:pPr>
        <w:pStyle w:val="SingleTxtG"/>
        <w:keepNext/>
        <w:rPr>
          <w:iCs/>
        </w:rPr>
      </w:pPr>
      <w:r w:rsidRPr="00514D3B">
        <w:rPr>
          <w:i/>
        </w:rPr>
        <w:t>Paragraphe 6.2.5.4</w:t>
      </w:r>
      <w:r>
        <w:t>, lire :</w:t>
      </w:r>
    </w:p>
    <w:p w:rsidR="00B87A2D" w:rsidRPr="003A0FD0" w:rsidRDefault="00B87A2D" w:rsidP="00823963">
      <w:pPr>
        <w:pStyle w:val="SingleTxtG"/>
        <w:keepNext/>
        <w:ind w:left="2268" w:hanging="1134"/>
      </w:pPr>
      <w:r>
        <w:t>« 6.2.5.4</w:t>
      </w:r>
      <w:r>
        <w:tab/>
        <w:t>Si l’homologation est demandée pour un mode d’éclairage en virage de la catégorie 1, le système soit conçu de telle sorte que, en cas de défaillance du mouvement latéral ou de la modification de l’éclairement, il soit possible d’obtenir automatiquement des conditions photométriques, soit correspondant à celles définies au paragraphe 6.2.4 ci-dessus, soit produisant des valeurs ne dépassant pas 1 300 cd dans la zone III b, telle que définie à l’annexe 3 du présent Règlement, et au moins égales à 3 400 cd en un point du “segment I</w:t>
      </w:r>
      <w:r>
        <w:rPr>
          <w:vertAlign w:val="subscript"/>
        </w:rPr>
        <w:t>max</w:t>
      </w:r>
      <w:r>
        <w:t>” ».</w:t>
      </w:r>
    </w:p>
    <w:p w:rsidR="00B87A2D" w:rsidRPr="00896E0C" w:rsidRDefault="00B87A2D" w:rsidP="00823963">
      <w:pPr>
        <w:pStyle w:val="SingleTxtG"/>
        <w:keepNext/>
      </w:pPr>
      <w:r w:rsidRPr="00514D3B">
        <w:rPr>
          <w:i/>
        </w:rPr>
        <w:t>Paragraphe 6.4.3.1</w:t>
      </w:r>
      <w:r w:rsidRPr="00896E0C">
        <w:t>, lire :</w:t>
      </w:r>
    </w:p>
    <w:p w:rsidR="00B87A2D" w:rsidRPr="00896E0C" w:rsidRDefault="00B87A2D" w:rsidP="00823963">
      <w:pPr>
        <w:pStyle w:val="SingleTxtG"/>
        <w:keepNext/>
      </w:pPr>
      <w:r w:rsidRPr="00896E0C">
        <w:t>« 6.4.3.1</w:t>
      </w:r>
      <w:r w:rsidRPr="00896E0C">
        <w:tab/>
        <w:t>Faisceau de</w:t>
      </w:r>
      <w:r w:rsidR="00CF359E">
        <w:t xml:space="preserve"> croisement : points B50L et 75R, ou 50</w:t>
      </w:r>
      <w:r w:rsidRPr="00896E0C">
        <w:t xml:space="preserve">R le cas échéant ; </w:t>
      </w:r>
    </w:p>
    <w:p w:rsidR="00B87A2D" w:rsidRPr="00896E0C" w:rsidRDefault="00B87A2D" w:rsidP="00514D3B">
      <w:pPr>
        <w:pStyle w:val="SingleTxtG"/>
        <w:ind w:left="2268" w:hanging="1134"/>
      </w:pPr>
      <w:r w:rsidRPr="00896E0C">
        <w:tab/>
        <w:t>Faisceau de route : I</w:t>
      </w:r>
      <w:r w:rsidRPr="00896E0C">
        <w:rPr>
          <w:vertAlign w:val="subscript"/>
        </w:rPr>
        <w:t>M</w:t>
      </w:r>
      <w:r w:rsidRPr="00896E0C">
        <w:t xml:space="preserve"> et point HV (en pourcentage de I</w:t>
      </w:r>
      <w:r w:rsidRPr="00896E0C">
        <w:rPr>
          <w:vertAlign w:val="subscript"/>
        </w:rPr>
        <w:t>M</w:t>
      </w:r>
      <w:r w:rsidRPr="00896E0C">
        <w:t>) ; ».</w:t>
      </w:r>
    </w:p>
    <w:p w:rsidR="00B87A2D" w:rsidRPr="00896E0C" w:rsidRDefault="00B87A2D" w:rsidP="00823963">
      <w:pPr>
        <w:pStyle w:val="SingleTxtG"/>
        <w:keepNext/>
      </w:pPr>
      <w:r w:rsidRPr="00514D3B">
        <w:rPr>
          <w:i/>
        </w:rPr>
        <w:t>Annexe 3</w:t>
      </w:r>
      <w:r>
        <w:t>,</w:t>
      </w:r>
    </w:p>
    <w:p w:rsidR="00B87A2D" w:rsidRPr="00896E0C" w:rsidRDefault="00B87A2D" w:rsidP="00823963">
      <w:pPr>
        <w:pStyle w:val="SingleTxtG"/>
        <w:keepNext/>
        <w:rPr>
          <w:iCs/>
        </w:rPr>
      </w:pPr>
      <w:r w:rsidRPr="00514D3B">
        <w:rPr>
          <w:i/>
        </w:rPr>
        <w:t>Figure 1</w:t>
      </w:r>
      <w:r w:rsidRPr="00896E0C">
        <w:t>, lire :</w:t>
      </w:r>
    </w:p>
    <w:p w:rsidR="00B87A2D" w:rsidRPr="00514D3B" w:rsidRDefault="00B87A2D" w:rsidP="00514D3B">
      <w:pPr>
        <w:pStyle w:val="Heading1"/>
        <w:rPr>
          <w:b/>
        </w:rPr>
      </w:pPr>
      <w:r w:rsidRPr="00514D3B">
        <w:rPr>
          <w:rStyle w:val="Strong"/>
          <w:b w:val="0"/>
          <w:szCs w:val="24"/>
        </w:rPr>
        <w:t>« Figure 1</w:t>
      </w:r>
    </w:p>
    <w:p w:rsidR="00B87A2D" w:rsidRPr="004179E6" w:rsidRDefault="00B87A2D" w:rsidP="00B87A2D">
      <w:pPr>
        <w:pStyle w:val="Heading1"/>
        <w:spacing w:after="120"/>
        <w:rPr>
          <w:b/>
          <w:i/>
          <w:iCs/>
        </w:rPr>
      </w:pPr>
      <w:r>
        <w:rPr>
          <w:b/>
        </w:rPr>
        <w:t>Positions angulaires des prescriptions photométriques du faisceau de croisement</w:t>
      </w:r>
      <w:r>
        <w:rPr>
          <w:b/>
        </w:rPr>
        <w:br/>
        <w:t>(pour la circulation à droite) </w:t>
      </w:r>
    </w:p>
    <w:p w:rsidR="00B87A2D" w:rsidRDefault="00B87A2D" w:rsidP="00B87A2D">
      <w:pPr>
        <w:spacing w:line="240" w:lineRule="auto"/>
        <w:jc w:val="center"/>
        <w:rPr>
          <w:iCs/>
        </w:rPr>
      </w:pPr>
      <w:r>
        <w:rPr>
          <w:i/>
          <w:iCs/>
          <w:noProof/>
          <w:lang w:val="en-GB" w:eastAsia="en-GB"/>
        </w:rPr>
        <mc:AlternateContent>
          <mc:Choice Requires="wps">
            <w:drawing>
              <wp:anchor distT="0" distB="0" distL="114300" distR="114300" simplePos="0" relativeHeight="251659264" behindDoc="0" locked="0" layoutInCell="1" allowOverlap="1" wp14:anchorId="0ED7B5F4" wp14:editId="046BFF47">
                <wp:simplePos x="0" y="0"/>
                <wp:positionH relativeFrom="column">
                  <wp:posOffset>3881755</wp:posOffset>
                </wp:positionH>
                <wp:positionV relativeFrom="paragraph">
                  <wp:posOffset>1546796</wp:posOffset>
                </wp:positionV>
                <wp:extent cx="516255" cy="262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62255"/>
                        </a:xfrm>
                        <a:prstGeom prst="rect">
                          <a:avLst/>
                        </a:prstGeom>
                        <a:solidFill>
                          <a:schemeClr val="accent2">
                            <a:alpha val="0"/>
                          </a:schemeClr>
                        </a:solidFill>
                        <a:ln w="9525">
                          <a:noFill/>
                          <a:miter lim="800000"/>
                          <a:headEnd/>
                          <a:tailEnd/>
                        </a:ln>
                      </wps:spPr>
                      <wps:txbx>
                        <w:txbxContent>
                          <w:p w:rsidR="00B87A2D" w:rsidRPr="002F31EE" w:rsidRDefault="00B87A2D" w:rsidP="00B87A2D">
                            <w:pPr>
                              <w:rPr>
                                <w:b/>
                              </w:rPr>
                            </w:pPr>
                            <w:r>
                              <w:rPr>
                                <w:b/>
                              </w:rPr>
                              <w:t>I</w:t>
                            </w:r>
                            <w:r>
                              <w:rPr>
                                <w:b/>
                                <w:sz w:val="16"/>
                              </w:rPr>
                              <w:t>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7B5F4" id="_x0000_t202" coordsize="21600,21600" o:spt="202" path="m,l,21600r21600,l21600,xe">
                <v:stroke joinstyle="miter"/>
                <v:path gradientshapeok="t" o:connecttype="rect"/>
              </v:shapetype>
              <v:shape id="Text Box 2" o:spid="_x0000_s1026" type="#_x0000_t202" style="position:absolute;left:0;text-align:left;margin-left:305.65pt;margin-top:121.8pt;width:40.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" fillcolor="#c0504d [3205]" stroked="f">
                <v:fill opacity="0"/>
                <v:textbox>
                  <w:txbxContent>
                    <w:p w:rsidR="00B87A2D" w:rsidRPr="002F31EE" w:rsidRDefault="00B87A2D" w:rsidP="00B87A2D">
                      <w:pPr>
                        <w:rPr>
                          <w:b/>
                        </w:rPr>
                      </w:pPr>
                      <w:r>
                        <w:rPr>
                          <w:b/>
                        </w:rPr>
                        <w:t>I</w:t>
                      </w:r>
                      <w:r>
                        <w:rPr>
                          <w:b/>
                          <w:sz w:val="16"/>
                        </w:rPr>
                        <w:t>max</w:t>
                      </w:r>
                    </w:p>
                  </w:txbxContent>
                </v:textbox>
              </v:shape>
            </w:pict>
          </mc:Fallback>
        </mc:AlternateContent>
      </w:r>
      <w:r>
        <w:rPr>
          <w:noProof/>
          <w:lang w:val="en-GB" w:eastAsia="en-GB"/>
        </w:rPr>
        <w:drawing>
          <wp:inline distT="0" distB="0" distL="0" distR="0" wp14:anchorId="3E2CEBA8" wp14:editId="5C5973F5">
            <wp:extent cx="5400000" cy="2602548"/>
            <wp:effectExtent l="0" t="0" r="0" b="762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t="4102" b="-1"/>
                    <a:stretch/>
                  </pic:blipFill>
                  <pic:spPr bwMode="auto">
                    <a:xfrm>
                      <a:off x="0" y="0"/>
                      <a:ext cx="5400000" cy="2602548"/>
                    </a:xfrm>
                    <a:prstGeom prst="rect">
                      <a:avLst/>
                    </a:prstGeom>
                    <a:ln>
                      <a:noFill/>
                    </a:ln>
                    <a:extLst>
                      <a:ext uri="{53640926-AAD7-44D8-BBD7-CCE9431645EC}">
                        <a14:shadowObscured xmlns:a14="http://schemas.microsoft.com/office/drawing/2010/main"/>
                      </a:ext>
                    </a:extLst>
                  </pic:spPr>
                </pic:pic>
              </a:graphicData>
            </a:graphic>
          </wp:inline>
        </w:drawing>
      </w:r>
    </w:p>
    <w:p w:rsidR="00B87A2D" w:rsidRPr="007134E8" w:rsidRDefault="00B87A2D" w:rsidP="00B87A2D">
      <w:pPr>
        <w:pStyle w:val="SingleTxtG"/>
        <w:jc w:val="right"/>
      </w:pPr>
      <w:r>
        <w:t>».</w:t>
      </w:r>
    </w:p>
    <w:p w:rsidR="00B87A2D" w:rsidRPr="003A0FD0" w:rsidRDefault="00B87A2D" w:rsidP="00514D3B">
      <w:pPr>
        <w:pStyle w:val="SingleTxtG"/>
        <w:rPr>
          <w:i/>
        </w:rPr>
      </w:pPr>
      <w:r>
        <w:rPr>
          <w:i/>
        </w:rPr>
        <w:t>Tableau 1, partie A, ligne 18</w:t>
      </w:r>
      <w:r>
        <w:t>, remplacer « E</w:t>
      </w:r>
      <w:r>
        <w:rPr>
          <w:vertAlign w:val="subscript"/>
        </w:rPr>
        <w:t>max</w:t>
      </w:r>
      <w:r>
        <w:t> » par « I</w:t>
      </w:r>
      <w:r>
        <w:rPr>
          <w:vertAlign w:val="subscript"/>
        </w:rPr>
        <w:t>max</w:t>
      </w:r>
      <w:r>
        <w:t> ».</w:t>
      </w:r>
    </w:p>
    <w:p w:rsidR="00B87A2D" w:rsidRPr="003A0FD0" w:rsidRDefault="00B87A2D" w:rsidP="00514D3B">
      <w:pPr>
        <w:pStyle w:val="SingleTxtG"/>
        <w:rPr>
          <w:i/>
        </w:rPr>
      </w:pPr>
      <w:r>
        <w:rPr>
          <w:i/>
        </w:rPr>
        <w:t>Tableau 1, partie B, ligne 18</w:t>
      </w:r>
      <w:r>
        <w:t>, remplacer « E</w:t>
      </w:r>
      <w:r>
        <w:rPr>
          <w:vertAlign w:val="subscript"/>
        </w:rPr>
        <w:t>max</w:t>
      </w:r>
      <w:r>
        <w:t> » par « I</w:t>
      </w:r>
      <w:r>
        <w:rPr>
          <w:vertAlign w:val="subscript"/>
        </w:rPr>
        <w:t>max</w:t>
      </w:r>
      <w:r>
        <w:t> ».</w:t>
      </w:r>
    </w:p>
    <w:p w:rsidR="00B87A2D" w:rsidRPr="003A0FD0" w:rsidRDefault="00B87A2D" w:rsidP="00514D3B">
      <w:pPr>
        <w:pStyle w:val="SingleTxtG"/>
      </w:pPr>
      <w:r>
        <w:rPr>
          <w:i/>
        </w:rPr>
        <w:t>Tableau 1, note de bas de page 3</w:t>
      </w:r>
      <w:r>
        <w:t>, lire :</w:t>
      </w:r>
    </w:p>
    <w:p w:rsidR="00B87A2D" w:rsidRPr="00514D3B" w:rsidRDefault="00B87A2D" w:rsidP="00CF359E">
      <w:pPr>
        <w:pStyle w:val="SingleTxtG"/>
        <w:tabs>
          <w:tab w:val="left" w:pos="1418"/>
        </w:tabs>
        <w:jc w:val="left"/>
        <w:rPr>
          <w:snapToGrid w:val="0"/>
          <w:sz w:val="18"/>
          <w:szCs w:val="18"/>
        </w:rPr>
      </w:pPr>
      <w:r w:rsidRPr="00514D3B">
        <w:rPr>
          <w:snapToGrid w:val="0"/>
          <w:sz w:val="18"/>
          <w:szCs w:val="18"/>
        </w:rPr>
        <w:t>«</w:t>
      </w:r>
      <w:r w:rsidRPr="00514D3B">
        <w:rPr>
          <w:snapToGrid w:val="0"/>
          <w:sz w:val="18"/>
          <w:szCs w:val="18"/>
          <w:vertAlign w:val="superscript"/>
        </w:rPr>
        <w:t>3</w:t>
      </w:r>
      <w:r w:rsidRPr="00514D3B">
        <w:rPr>
          <w:snapToGrid w:val="0"/>
          <w:sz w:val="18"/>
          <w:szCs w:val="18"/>
        </w:rPr>
        <w:tab/>
        <w:t>Les prescriptions d’emplacement confor</w:t>
      </w:r>
      <w:r w:rsidR="0016777B">
        <w:rPr>
          <w:snapToGrid w:val="0"/>
          <w:sz w:val="18"/>
          <w:szCs w:val="18"/>
        </w:rPr>
        <w:t>mes aux dispositions du tableau </w:t>
      </w:r>
      <w:r w:rsidRPr="00514D3B">
        <w:rPr>
          <w:snapToGrid w:val="0"/>
          <w:sz w:val="18"/>
          <w:szCs w:val="18"/>
        </w:rPr>
        <w:t>2 ci-dessous (“segment I</w:t>
      </w:r>
      <w:r w:rsidRPr="00514D3B">
        <w:rPr>
          <w:snapToGrid w:val="0"/>
          <w:sz w:val="18"/>
          <w:szCs w:val="18"/>
          <w:vertAlign w:val="subscript"/>
        </w:rPr>
        <w:t>max</w:t>
      </w:r>
      <w:r w:rsidRPr="00514D3B">
        <w:rPr>
          <w:snapToGrid w:val="0"/>
          <w:sz w:val="18"/>
          <w:szCs w:val="18"/>
        </w:rPr>
        <w:t>”) s’appliquent elles aussi. ».</w:t>
      </w:r>
    </w:p>
    <w:p w:rsidR="00B87A2D" w:rsidRPr="003A0FD0" w:rsidRDefault="00B87A2D" w:rsidP="00823963">
      <w:pPr>
        <w:pStyle w:val="SingleTxtG"/>
        <w:keepNext/>
        <w:rPr>
          <w:iCs/>
        </w:rPr>
      </w:pPr>
      <w:r w:rsidRPr="00514D3B">
        <w:rPr>
          <w:i/>
        </w:rPr>
        <w:t>Tableau 2</w:t>
      </w:r>
      <w:r>
        <w:t>, lire :</w:t>
      </w:r>
    </w:p>
    <w:p w:rsidR="00B87A2D" w:rsidRPr="00B71A83" w:rsidRDefault="00B87A2D" w:rsidP="00B71A83">
      <w:pPr>
        <w:pStyle w:val="Heading1"/>
        <w:spacing w:before="240" w:after="240" w:line="240" w:lineRule="exact"/>
        <w:ind w:left="0"/>
        <w:rPr>
          <w:b/>
        </w:rPr>
      </w:pPr>
      <w:r>
        <w:t>« Tableau 2</w:t>
      </w:r>
      <w:r w:rsidR="00B71A83">
        <w:br/>
      </w:r>
      <w:r w:rsidRPr="00B71A83">
        <w:rPr>
          <w:b/>
        </w:rPr>
        <w:t>Éléments, position angulaire ou valeur en degrés d’</w:t>
      </w:r>
      <w:r w:rsidR="00B71A83">
        <w:rPr>
          <w:b/>
        </w:rPr>
        <w:t>un faisceau de croisement</w:t>
      </w:r>
      <w:r w:rsidR="00B71A83">
        <w:rPr>
          <w:b/>
        </w:rPr>
        <w:br/>
      </w:r>
      <w:r w:rsidRPr="00B71A83">
        <w:rPr>
          <w:b/>
        </w:rPr>
        <w:t>et prescriptions supplémentaires</w:t>
      </w:r>
    </w:p>
    <w:tbl>
      <w:tblPr>
        <w:tblW w:w="9639" w:type="dxa"/>
        <w:tblBorders>
          <w:top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369"/>
        <w:gridCol w:w="2496"/>
        <w:gridCol w:w="89"/>
        <w:gridCol w:w="837"/>
        <w:gridCol w:w="835"/>
        <w:gridCol w:w="836"/>
        <w:gridCol w:w="56"/>
        <w:gridCol w:w="779"/>
        <w:gridCol w:w="46"/>
        <w:gridCol w:w="790"/>
        <w:gridCol w:w="78"/>
        <w:gridCol w:w="757"/>
        <w:gridCol w:w="836"/>
        <w:gridCol w:w="73"/>
        <w:gridCol w:w="762"/>
      </w:tblGrid>
      <w:tr w:rsidR="00B87A2D" w:rsidRPr="00BD55BD" w:rsidTr="00D32C9E">
        <w:trPr>
          <w:cantSplit/>
          <w:trHeight w:val="20"/>
        </w:trPr>
        <w:tc>
          <w:tcPr>
            <w:tcW w:w="369" w:type="dxa"/>
            <w:tcBorders>
              <w:left w:val="single" w:sz="4" w:space="0" w:color="auto"/>
              <w:bottom w:val="single" w:sz="4" w:space="0" w:color="auto"/>
              <w:right w:val="single" w:sz="4" w:space="0" w:color="auto"/>
            </w:tcBorders>
            <w:vAlign w:val="center"/>
          </w:tcPr>
          <w:p w:rsidR="00B87A2D" w:rsidRPr="003A0FD0" w:rsidRDefault="00B87A2D" w:rsidP="003A362B">
            <w:pPr>
              <w:spacing w:before="80" w:after="80" w:line="160" w:lineRule="exact"/>
              <w:ind w:left="-150"/>
              <w:jc w:val="right"/>
              <w:rPr>
                <w:i/>
                <w:snapToGrid w:val="0"/>
                <w:sz w:val="16"/>
                <w:szCs w:val="16"/>
                <w:lang w:val="en-US" w:eastAsia="de-DE"/>
              </w:rPr>
            </w:pPr>
          </w:p>
        </w:tc>
        <w:tc>
          <w:tcPr>
            <w:tcW w:w="2496" w:type="dxa"/>
            <w:tcBorders>
              <w:left w:val="single" w:sz="4" w:space="0" w:color="auto"/>
              <w:bottom w:val="single" w:sz="4" w:space="0" w:color="auto"/>
              <w:right w:val="single" w:sz="4" w:space="0" w:color="auto"/>
            </w:tcBorders>
            <w:vAlign w:val="center"/>
          </w:tcPr>
          <w:p w:rsidR="00B87A2D" w:rsidRPr="003A0FD0" w:rsidRDefault="00B87A2D" w:rsidP="003A362B">
            <w:pPr>
              <w:tabs>
                <w:tab w:val="left" w:pos="3363"/>
              </w:tabs>
              <w:spacing w:before="80" w:after="80" w:line="160" w:lineRule="exact"/>
              <w:ind w:left="210"/>
              <w:rPr>
                <w:i/>
                <w:strike/>
                <w:snapToGrid w:val="0"/>
                <w:sz w:val="16"/>
                <w:szCs w:val="16"/>
              </w:rPr>
            </w:pPr>
            <w:r>
              <w:rPr>
                <w:i/>
                <w:strike/>
                <w:snapToGrid w:val="0"/>
                <w:sz w:val="16"/>
                <w:szCs w:val="16"/>
              </w:rPr>
              <w:t xml:space="preserve"> </w:t>
            </w:r>
          </w:p>
        </w:tc>
        <w:tc>
          <w:tcPr>
            <w:tcW w:w="1761" w:type="dxa"/>
            <w:gridSpan w:val="3"/>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91"/>
              <w:jc w:val="center"/>
              <w:rPr>
                <w:i/>
                <w:snapToGrid w:val="0"/>
                <w:sz w:val="16"/>
                <w:szCs w:val="16"/>
              </w:rPr>
            </w:pPr>
            <w:r>
              <w:rPr>
                <w:i/>
                <w:snapToGrid w:val="0"/>
                <w:sz w:val="16"/>
                <w:szCs w:val="16"/>
              </w:rPr>
              <w:t>Faisceau de croisement classe C</w:t>
            </w:r>
          </w:p>
        </w:tc>
        <w:tc>
          <w:tcPr>
            <w:tcW w:w="1717" w:type="dxa"/>
            <w:gridSpan w:val="4"/>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91"/>
              <w:jc w:val="center"/>
              <w:rPr>
                <w:i/>
                <w:snapToGrid w:val="0"/>
                <w:sz w:val="16"/>
                <w:szCs w:val="16"/>
              </w:rPr>
            </w:pPr>
            <w:r>
              <w:rPr>
                <w:i/>
                <w:snapToGrid w:val="0"/>
                <w:sz w:val="16"/>
                <w:szCs w:val="16"/>
              </w:rPr>
              <w:t xml:space="preserve">Faisceau de croisement classe V </w:t>
            </w:r>
          </w:p>
        </w:tc>
        <w:tc>
          <w:tcPr>
            <w:tcW w:w="1625" w:type="dxa"/>
            <w:gridSpan w:val="3"/>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jc w:val="center"/>
              <w:rPr>
                <w:i/>
                <w:snapToGrid w:val="0"/>
                <w:sz w:val="16"/>
                <w:szCs w:val="16"/>
              </w:rPr>
            </w:pPr>
            <w:r>
              <w:rPr>
                <w:i/>
                <w:snapToGrid w:val="0"/>
                <w:sz w:val="16"/>
                <w:szCs w:val="16"/>
              </w:rPr>
              <w:t>Faisceau de croisement classe E</w:t>
            </w:r>
          </w:p>
        </w:tc>
        <w:tc>
          <w:tcPr>
            <w:tcW w:w="1671" w:type="dxa"/>
            <w:gridSpan w:val="3"/>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jc w:val="center"/>
              <w:rPr>
                <w:i/>
                <w:snapToGrid w:val="0"/>
                <w:sz w:val="16"/>
                <w:szCs w:val="16"/>
              </w:rPr>
            </w:pPr>
            <w:r>
              <w:rPr>
                <w:i/>
                <w:snapToGrid w:val="0"/>
                <w:sz w:val="16"/>
                <w:szCs w:val="16"/>
              </w:rPr>
              <w:t>Faisceau de croisement classe W</w:t>
            </w:r>
          </w:p>
        </w:tc>
      </w:tr>
      <w:tr w:rsidR="00B87A2D" w:rsidRPr="00BD55BD" w:rsidTr="00D32C9E">
        <w:trPr>
          <w:cantSplit/>
          <w:trHeight w:val="20"/>
        </w:trPr>
        <w:tc>
          <w:tcPr>
            <w:tcW w:w="369" w:type="dxa"/>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jc w:val="center"/>
              <w:rPr>
                <w:i/>
                <w:snapToGrid w:val="0"/>
                <w:sz w:val="16"/>
                <w:szCs w:val="16"/>
              </w:rPr>
            </w:pPr>
            <w:r>
              <w:rPr>
                <w:i/>
                <w:snapToGrid w:val="0"/>
                <w:sz w:val="16"/>
                <w:szCs w:val="16"/>
              </w:rPr>
              <w:t>N°</w:t>
            </w:r>
          </w:p>
        </w:tc>
        <w:tc>
          <w:tcPr>
            <w:tcW w:w="2496" w:type="dxa"/>
            <w:tcBorders>
              <w:left w:val="single" w:sz="4" w:space="0" w:color="auto"/>
              <w:bottom w:val="single" w:sz="4" w:space="0" w:color="auto"/>
              <w:right w:val="single" w:sz="4" w:space="0" w:color="auto"/>
            </w:tcBorders>
            <w:vAlign w:val="center"/>
          </w:tcPr>
          <w:p w:rsidR="00B87A2D" w:rsidRPr="003A0FD0" w:rsidRDefault="00B87A2D" w:rsidP="003A362B">
            <w:pPr>
              <w:spacing w:before="80" w:after="80" w:line="160" w:lineRule="exact"/>
              <w:ind w:left="70"/>
              <w:rPr>
                <w:i/>
                <w:snapToGrid w:val="0"/>
                <w:sz w:val="16"/>
                <w:szCs w:val="16"/>
              </w:rPr>
            </w:pPr>
            <w:r>
              <w:rPr>
                <w:i/>
                <w:snapToGrid w:val="0"/>
                <w:sz w:val="16"/>
                <w:szCs w:val="16"/>
              </w:rPr>
              <w:t xml:space="preserve">Désignation de la partie du faisceau et prescriptions </w:t>
            </w:r>
          </w:p>
        </w:tc>
        <w:tc>
          <w:tcPr>
            <w:tcW w:w="926" w:type="dxa"/>
            <w:gridSpan w:val="2"/>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horizontale</w:t>
            </w:r>
          </w:p>
        </w:tc>
        <w:tc>
          <w:tcPr>
            <w:tcW w:w="835" w:type="dxa"/>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verticale</w:t>
            </w:r>
          </w:p>
        </w:tc>
        <w:tc>
          <w:tcPr>
            <w:tcW w:w="892" w:type="dxa"/>
            <w:gridSpan w:val="2"/>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horizontale</w:t>
            </w:r>
          </w:p>
        </w:tc>
        <w:tc>
          <w:tcPr>
            <w:tcW w:w="825" w:type="dxa"/>
            <w:gridSpan w:val="2"/>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verticale</w:t>
            </w:r>
          </w:p>
        </w:tc>
        <w:tc>
          <w:tcPr>
            <w:tcW w:w="868" w:type="dxa"/>
            <w:gridSpan w:val="2"/>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horizontale</w:t>
            </w:r>
          </w:p>
        </w:tc>
        <w:tc>
          <w:tcPr>
            <w:tcW w:w="757" w:type="dxa"/>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verticale</w:t>
            </w:r>
          </w:p>
        </w:tc>
        <w:tc>
          <w:tcPr>
            <w:tcW w:w="909" w:type="dxa"/>
            <w:gridSpan w:val="2"/>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horizontale</w:t>
            </w:r>
          </w:p>
        </w:tc>
        <w:tc>
          <w:tcPr>
            <w:tcW w:w="762" w:type="dxa"/>
            <w:tcBorders>
              <w:left w:val="single" w:sz="4" w:space="0" w:color="auto"/>
              <w:bottom w:val="single" w:sz="4" w:space="0" w:color="auto"/>
              <w:right w:val="single" w:sz="4" w:space="0" w:color="auto"/>
            </w:tcBorders>
            <w:vAlign w:val="center"/>
          </w:tcPr>
          <w:p w:rsidR="00B87A2D" w:rsidRPr="00BD55BD" w:rsidRDefault="00B87A2D" w:rsidP="003A362B">
            <w:pPr>
              <w:spacing w:before="80" w:after="80" w:line="160" w:lineRule="exact"/>
              <w:ind w:left="57"/>
              <w:rPr>
                <w:i/>
                <w:snapToGrid w:val="0"/>
                <w:sz w:val="16"/>
                <w:szCs w:val="16"/>
              </w:rPr>
            </w:pPr>
            <w:r>
              <w:rPr>
                <w:i/>
                <w:snapToGrid w:val="0"/>
                <w:sz w:val="16"/>
                <w:szCs w:val="16"/>
              </w:rPr>
              <w:t>verticale</w:t>
            </w:r>
          </w:p>
        </w:tc>
      </w:tr>
      <w:tr w:rsidR="00B87A2D" w:rsidRPr="003A362B" w:rsidTr="005D7B8E">
        <w:trPr>
          <w:cantSplit/>
          <w:trHeight w:hRule="exact" w:val="938"/>
        </w:trPr>
        <w:tc>
          <w:tcPr>
            <w:tcW w:w="369" w:type="dxa"/>
            <w:tcBorders>
              <w:left w:val="single" w:sz="4" w:space="0" w:color="auto"/>
              <w:bottom w:val="nil"/>
              <w:right w:val="single" w:sz="4" w:space="0" w:color="auto"/>
            </w:tcBorders>
          </w:tcPr>
          <w:p w:rsidR="00B87A2D" w:rsidRPr="003A362B" w:rsidRDefault="00B87A2D" w:rsidP="003A362B">
            <w:pPr>
              <w:spacing w:before="40" w:after="40" w:line="220" w:lineRule="exact"/>
              <w:rPr>
                <w:snapToGrid w:val="0"/>
                <w:sz w:val="16"/>
                <w:szCs w:val="16"/>
              </w:rPr>
            </w:pPr>
          </w:p>
        </w:tc>
        <w:tc>
          <w:tcPr>
            <w:tcW w:w="2496" w:type="dxa"/>
            <w:tcBorders>
              <w:left w:val="single" w:sz="4" w:space="0" w:color="auto"/>
              <w:bottom w:val="nil"/>
              <w:right w:val="single" w:sz="4" w:space="0" w:color="auto"/>
            </w:tcBorders>
          </w:tcPr>
          <w:p w:rsidR="00B87A2D" w:rsidRPr="003A362B" w:rsidRDefault="00B87A2D" w:rsidP="003A362B">
            <w:pPr>
              <w:spacing w:before="40" w:after="40" w:line="220" w:lineRule="exact"/>
              <w:ind w:left="6"/>
              <w:rPr>
                <w:snapToGrid w:val="0"/>
                <w:sz w:val="16"/>
                <w:szCs w:val="16"/>
                <w:vertAlign w:val="subscript"/>
              </w:rPr>
            </w:pPr>
            <w:r w:rsidRPr="003A362B">
              <w:rPr>
                <w:snapToGrid w:val="0"/>
                <w:sz w:val="16"/>
                <w:szCs w:val="16"/>
              </w:rPr>
              <w:t>Position angulaire/valeur en degrés</w:t>
            </w:r>
            <w:r w:rsidRPr="003A362B">
              <w:rPr>
                <w:snapToGrid w:val="0"/>
                <w:sz w:val="16"/>
                <w:szCs w:val="16"/>
              </w:rPr>
              <w:br/>
              <w:t>pour le segment I</w:t>
            </w:r>
            <w:r w:rsidRPr="003A362B">
              <w:rPr>
                <w:snapToGrid w:val="0"/>
                <w:sz w:val="16"/>
                <w:szCs w:val="16"/>
                <w:vertAlign w:val="subscript"/>
              </w:rPr>
              <w:t>max</w:t>
            </w:r>
          </w:p>
        </w:tc>
        <w:tc>
          <w:tcPr>
            <w:tcW w:w="926" w:type="dxa"/>
            <w:gridSpan w:val="2"/>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rPr>
            </w:pPr>
          </w:p>
        </w:tc>
        <w:tc>
          <w:tcPr>
            <w:tcW w:w="835" w:type="dxa"/>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rPr>
            </w:pPr>
          </w:p>
        </w:tc>
        <w:tc>
          <w:tcPr>
            <w:tcW w:w="892" w:type="dxa"/>
            <w:gridSpan w:val="2"/>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lang w:eastAsia="de-DE"/>
              </w:rPr>
            </w:pPr>
          </w:p>
        </w:tc>
        <w:tc>
          <w:tcPr>
            <w:tcW w:w="825" w:type="dxa"/>
            <w:gridSpan w:val="2"/>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rPr>
            </w:pPr>
          </w:p>
        </w:tc>
        <w:tc>
          <w:tcPr>
            <w:tcW w:w="868" w:type="dxa"/>
            <w:gridSpan w:val="2"/>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rPr>
            </w:pPr>
          </w:p>
        </w:tc>
        <w:tc>
          <w:tcPr>
            <w:tcW w:w="757" w:type="dxa"/>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rPr>
            </w:pPr>
          </w:p>
        </w:tc>
        <w:tc>
          <w:tcPr>
            <w:tcW w:w="909" w:type="dxa"/>
            <w:gridSpan w:val="2"/>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rPr>
            </w:pPr>
          </w:p>
        </w:tc>
        <w:tc>
          <w:tcPr>
            <w:tcW w:w="762" w:type="dxa"/>
            <w:tcBorders>
              <w:left w:val="single" w:sz="4" w:space="0" w:color="auto"/>
              <w:bottom w:val="nil"/>
              <w:right w:val="single" w:sz="4" w:space="0" w:color="auto"/>
            </w:tcBorders>
          </w:tcPr>
          <w:p w:rsidR="00B87A2D" w:rsidRPr="003A362B" w:rsidRDefault="00B87A2D" w:rsidP="003A362B">
            <w:pPr>
              <w:spacing w:before="40" w:after="40" w:line="220" w:lineRule="exact"/>
              <w:ind w:left="57"/>
              <w:rPr>
                <w:snapToGrid w:val="0"/>
                <w:sz w:val="16"/>
                <w:szCs w:val="16"/>
              </w:rPr>
            </w:pPr>
          </w:p>
        </w:tc>
      </w:tr>
      <w:tr w:rsidR="003A362B" w:rsidRPr="003A362B" w:rsidTr="005D7B8E">
        <w:trPr>
          <w:cantSplit/>
          <w:trHeight w:hRule="exact" w:val="1703"/>
        </w:trPr>
        <w:tc>
          <w:tcPr>
            <w:tcW w:w="369" w:type="dxa"/>
            <w:tcBorders>
              <w:top w:val="nil"/>
              <w:left w:val="single" w:sz="4" w:space="0" w:color="auto"/>
              <w:bottom w:val="single" w:sz="4" w:space="0" w:color="auto"/>
              <w:right w:val="single" w:sz="4" w:space="0" w:color="auto"/>
            </w:tcBorders>
          </w:tcPr>
          <w:p w:rsidR="003A362B" w:rsidRPr="003A362B" w:rsidRDefault="003A362B" w:rsidP="003A362B">
            <w:pPr>
              <w:spacing w:before="40" w:after="40" w:line="220" w:lineRule="exact"/>
              <w:rPr>
                <w:snapToGrid w:val="0"/>
                <w:sz w:val="16"/>
                <w:szCs w:val="16"/>
              </w:rPr>
            </w:pPr>
            <w:r w:rsidRPr="003A362B">
              <w:rPr>
                <w:snapToGrid w:val="0"/>
                <w:sz w:val="16"/>
                <w:szCs w:val="16"/>
              </w:rPr>
              <w:t>2.1</w:t>
            </w:r>
          </w:p>
        </w:tc>
        <w:tc>
          <w:tcPr>
            <w:tcW w:w="2496" w:type="dxa"/>
            <w:tcBorders>
              <w:top w:val="nil"/>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6"/>
              <w:rPr>
                <w:snapToGrid w:val="0"/>
                <w:sz w:val="16"/>
                <w:szCs w:val="16"/>
              </w:rPr>
            </w:pPr>
            <w:r w:rsidRPr="003A362B">
              <w:rPr>
                <w:snapToGrid w:val="0"/>
                <w:sz w:val="16"/>
                <w:szCs w:val="16"/>
              </w:rPr>
              <w:t>La valeur de l’intensité lumineuse maximale sur le segment I</w:t>
            </w:r>
            <w:r w:rsidRPr="003A362B">
              <w:rPr>
                <w:snapToGrid w:val="0"/>
                <w:sz w:val="16"/>
                <w:szCs w:val="16"/>
                <w:vertAlign w:val="subscript"/>
              </w:rPr>
              <w:t>max</w:t>
            </w:r>
            <w:r w:rsidRPr="003A362B">
              <w:rPr>
                <w:snapToGrid w:val="0"/>
                <w:sz w:val="16"/>
                <w:szCs w:val="16"/>
              </w:rPr>
              <w:t>, telle qu’indiquée dans le présent tableau, doit se trouver dans les limites prescrites à la ligne 18 du tableau 1.</w:t>
            </w:r>
          </w:p>
        </w:tc>
        <w:tc>
          <w:tcPr>
            <w:tcW w:w="926" w:type="dxa"/>
            <w:gridSpan w:val="2"/>
            <w:tcBorders>
              <w:top w:val="nil"/>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rPr>
            </w:pPr>
            <w:r w:rsidRPr="003A362B">
              <w:rPr>
                <w:snapToGrid w:val="0"/>
                <w:sz w:val="16"/>
                <w:szCs w:val="16"/>
              </w:rPr>
              <w:t>entre 0,5 L</w:t>
            </w:r>
            <w:r w:rsidRPr="003A362B">
              <w:rPr>
                <w:snapToGrid w:val="0"/>
                <w:sz w:val="16"/>
                <w:szCs w:val="16"/>
              </w:rPr>
              <w:br/>
              <w:t>et 3 R</w:t>
            </w:r>
          </w:p>
        </w:tc>
        <w:tc>
          <w:tcPr>
            <w:tcW w:w="835" w:type="dxa"/>
            <w:tcBorders>
              <w:top w:val="nil"/>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rPr>
            </w:pPr>
            <w:r w:rsidRPr="003A362B">
              <w:rPr>
                <w:snapToGrid w:val="0"/>
                <w:sz w:val="16"/>
                <w:szCs w:val="16"/>
              </w:rPr>
              <w:t>entre 0,3 D et 1,72 D</w:t>
            </w:r>
          </w:p>
        </w:tc>
        <w:tc>
          <w:tcPr>
            <w:tcW w:w="892" w:type="dxa"/>
            <w:gridSpan w:val="2"/>
            <w:tcBorders>
              <w:top w:val="nil"/>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lang w:eastAsia="de-DE"/>
              </w:rPr>
            </w:pPr>
          </w:p>
        </w:tc>
        <w:tc>
          <w:tcPr>
            <w:tcW w:w="825" w:type="dxa"/>
            <w:gridSpan w:val="2"/>
            <w:tcBorders>
              <w:top w:val="nil"/>
              <w:left w:val="single" w:sz="4" w:space="0" w:color="auto"/>
              <w:bottom w:val="single" w:sz="4" w:space="0" w:color="auto"/>
              <w:right w:val="single" w:sz="4" w:space="0" w:color="auto"/>
            </w:tcBorders>
          </w:tcPr>
          <w:p w:rsidR="003A362B" w:rsidRPr="003A362B" w:rsidRDefault="002D0075" w:rsidP="003A362B">
            <w:pPr>
              <w:spacing w:before="40" w:after="40" w:line="220" w:lineRule="exact"/>
              <w:ind w:left="57"/>
              <w:rPr>
                <w:snapToGrid w:val="0"/>
                <w:sz w:val="16"/>
                <w:szCs w:val="16"/>
              </w:rPr>
            </w:pPr>
            <w:r>
              <w:rPr>
                <w:snapToGrid w:val="0"/>
                <w:sz w:val="16"/>
                <w:szCs w:val="16"/>
              </w:rPr>
              <w:t>entre</w:t>
            </w:r>
            <w:r>
              <w:rPr>
                <w:snapToGrid w:val="0"/>
                <w:sz w:val="16"/>
                <w:szCs w:val="16"/>
              </w:rPr>
              <w:br/>
            </w:r>
            <w:r w:rsidR="003A362B" w:rsidRPr="003A362B">
              <w:rPr>
                <w:snapToGrid w:val="0"/>
                <w:sz w:val="16"/>
                <w:szCs w:val="16"/>
              </w:rPr>
              <w:t>0,3 D</w:t>
            </w:r>
            <w:r w:rsidR="003A362B">
              <w:rPr>
                <w:snapToGrid w:val="0"/>
                <w:sz w:val="16"/>
                <w:szCs w:val="16"/>
              </w:rPr>
              <w:t xml:space="preserve"> </w:t>
            </w:r>
            <w:r w:rsidR="003A362B" w:rsidRPr="003A362B">
              <w:rPr>
                <w:snapToGrid w:val="0"/>
                <w:sz w:val="16"/>
                <w:szCs w:val="16"/>
              </w:rPr>
              <w:t>et 1,72 D</w:t>
            </w:r>
          </w:p>
        </w:tc>
        <w:tc>
          <w:tcPr>
            <w:tcW w:w="868" w:type="dxa"/>
            <w:gridSpan w:val="2"/>
            <w:tcBorders>
              <w:top w:val="nil"/>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rPr>
            </w:pPr>
            <w:r w:rsidRPr="003A362B">
              <w:rPr>
                <w:snapToGrid w:val="0"/>
                <w:sz w:val="16"/>
                <w:szCs w:val="16"/>
              </w:rPr>
              <w:t>entre 0,5 L</w:t>
            </w:r>
            <w:r w:rsidRPr="003A362B">
              <w:rPr>
                <w:snapToGrid w:val="0"/>
                <w:sz w:val="16"/>
                <w:szCs w:val="16"/>
              </w:rPr>
              <w:br/>
              <w:t>et 3 R</w:t>
            </w:r>
          </w:p>
        </w:tc>
        <w:tc>
          <w:tcPr>
            <w:tcW w:w="757" w:type="dxa"/>
            <w:tcBorders>
              <w:top w:val="nil"/>
              <w:left w:val="single" w:sz="4" w:space="0" w:color="auto"/>
              <w:bottom w:val="single" w:sz="4" w:space="0" w:color="auto"/>
              <w:right w:val="single" w:sz="4" w:space="0" w:color="auto"/>
            </w:tcBorders>
          </w:tcPr>
          <w:p w:rsidR="003A362B" w:rsidRPr="003A362B" w:rsidRDefault="002D0075" w:rsidP="003A362B">
            <w:pPr>
              <w:spacing w:before="40" w:after="40" w:line="220" w:lineRule="exact"/>
              <w:ind w:left="57"/>
              <w:rPr>
                <w:snapToGrid w:val="0"/>
                <w:sz w:val="16"/>
                <w:szCs w:val="16"/>
              </w:rPr>
            </w:pPr>
            <w:r>
              <w:rPr>
                <w:snapToGrid w:val="0"/>
                <w:sz w:val="16"/>
                <w:szCs w:val="16"/>
              </w:rPr>
              <w:t>entre</w:t>
            </w:r>
            <w:r>
              <w:rPr>
                <w:snapToGrid w:val="0"/>
                <w:sz w:val="16"/>
                <w:szCs w:val="16"/>
              </w:rPr>
              <w:br/>
            </w:r>
            <w:r w:rsidR="003A362B" w:rsidRPr="003A362B">
              <w:rPr>
                <w:snapToGrid w:val="0"/>
                <w:sz w:val="16"/>
                <w:szCs w:val="16"/>
              </w:rPr>
              <w:t>0,1 D</w:t>
            </w:r>
            <w:r w:rsidR="003A362B" w:rsidRPr="003A362B">
              <w:rPr>
                <w:snapToGrid w:val="0"/>
                <w:sz w:val="16"/>
                <w:szCs w:val="16"/>
              </w:rPr>
              <w:br/>
              <w:t>et 1,72 D</w:t>
            </w:r>
          </w:p>
        </w:tc>
        <w:tc>
          <w:tcPr>
            <w:tcW w:w="909" w:type="dxa"/>
            <w:gridSpan w:val="2"/>
            <w:tcBorders>
              <w:top w:val="nil"/>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rPr>
            </w:pPr>
            <w:r w:rsidRPr="003A362B">
              <w:rPr>
                <w:snapToGrid w:val="0"/>
                <w:sz w:val="16"/>
                <w:szCs w:val="16"/>
              </w:rPr>
              <w:t>entre 0,5 L</w:t>
            </w:r>
            <w:r w:rsidRPr="003A362B">
              <w:rPr>
                <w:snapToGrid w:val="0"/>
                <w:sz w:val="16"/>
                <w:szCs w:val="16"/>
              </w:rPr>
              <w:br/>
              <w:t>et 3 R</w:t>
            </w:r>
          </w:p>
        </w:tc>
        <w:tc>
          <w:tcPr>
            <w:tcW w:w="762" w:type="dxa"/>
            <w:tcBorders>
              <w:top w:val="nil"/>
              <w:left w:val="single" w:sz="4" w:space="0" w:color="auto"/>
              <w:bottom w:val="single" w:sz="4" w:space="0" w:color="auto"/>
              <w:right w:val="single" w:sz="4" w:space="0" w:color="auto"/>
            </w:tcBorders>
          </w:tcPr>
          <w:p w:rsidR="003A362B" w:rsidRPr="003A362B" w:rsidRDefault="002D0075" w:rsidP="003A362B">
            <w:pPr>
              <w:spacing w:before="40" w:after="40" w:line="220" w:lineRule="exact"/>
              <w:ind w:left="57"/>
              <w:rPr>
                <w:snapToGrid w:val="0"/>
                <w:sz w:val="16"/>
                <w:szCs w:val="16"/>
              </w:rPr>
            </w:pPr>
            <w:r>
              <w:rPr>
                <w:snapToGrid w:val="0"/>
                <w:sz w:val="16"/>
                <w:szCs w:val="16"/>
              </w:rPr>
              <w:t>entre</w:t>
            </w:r>
            <w:r>
              <w:rPr>
                <w:snapToGrid w:val="0"/>
                <w:sz w:val="16"/>
                <w:szCs w:val="16"/>
              </w:rPr>
              <w:br/>
            </w:r>
            <w:r w:rsidR="003A362B" w:rsidRPr="003A362B">
              <w:rPr>
                <w:snapToGrid w:val="0"/>
                <w:sz w:val="16"/>
                <w:szCs w:val="16"/>
              </w:rPr>
              <w:t>0,3 D</w:t>
            </w:r>
            <w:r w:rsidR="003A362B">
              <w:rPr>
                <w:snapToGrid w:val="0"/>
                <w:sz w:val="16"/>
                <w:szCs w:val="16"/>
              </w:rPr>
              <w:t xml:space="preserve"> </w:t>
            </w:r>
            <w:r w:rsidR="003A362B" w:rsidRPr="003A362B">
              <w:rPr>
                <w:snapToGrid w:val="0"/>
                <w:sz w:val="16"/>
                <w:szCs w:val="16"/>
              </w:rPr>
              <w:t>et 1,72 D</w:t>
            </w:r>
          </w:p>
        </w:tc>
      </w:tr>
      <w:tr w:rsidR="003A362B" w:rsidRPr="003A362B" w:rsidTr="00D32C9E">
        <w:trPr>
          <w:cantSplit/>
          <w:trHeight w:hRule="exact" w:val="700"/>
        </w:trPr>
        <w:tc>
          <w:tcPr>
            <w:tcW w:w="369" w:type="dxa"/>
            <w:tcBorders>
              <w:left w:val="single" w:sz="4" w:space="0" w:color="auto"/>
              <w:bottom w:val="single" w:sz="4" w:space="0" w:color="auto"/>
              <w:right w:val="single" w:sz="4" w:space="0" w:color="auto"/>
            </w:tcBorders>
          </w:tcPr>
          <w:p w:rsidR="003A362B" w:rsidRPr="003A362B" w:rsidRDefault="003A362B" w:rsidP="008869DA">
            <w:pPr>
              <w:spacing w:before="40" w:after="40" w:line="220" w:lineRule="exact"/>
              <w:jc w:val="center"/>
              <w:rPr>
                <w:snapToGrid w:val="0"/>
                <w:sz w:val="16"/>
                <w:szCs w:val="16"/>
              </w:rPr>
            </w:pPr>
            <w:r w:rsidRPr="003A362B">
              <w:rPr>
                <w:snapToGrid w:val="0"/>
                <w:sz w:val="16"/>
                <w:szCs w:val="16"/>
              </w:rPr>
              <w:t>2.2</w:t>
            </w:r>
          </w:p>
        </w:tc>
        <w:tc>
          <w:tcPr>
            <w:tcW w:w="9270" w:type="dxa"/>
            <w:gridSpan w:val="14"/>
            <w:tcBorders>
              <w:left w:val="single" w:sz="4" w:space="0" w:color="auto"/>
              <w:bottom w:val="single" w:sz="4" w:space="0" w:color="auto"/>
              <w:right w:val="single" w:sz="4" w:space="0" w:color="auto"/>
            </w:tcBorders>
          </w:tcPr>
          <w:p w:rsidR="003A362B" w:rsidRPr="003A362B" w:rsidRDefault="003A362B" w:rsidP="003A362B">
            <w:pPr>
              <w:spacing w:before="40" w:after="40" w:line="220" w:lineRule="exact"/>
              <w:rPr>
                <w:snapToGrid w:val="0"/>
                <w:sz w:val="16"/>
                <w:szCs w:val="16"/>
              </w:rPr>
            </w:pPr>
            <w:r w:rsidRPr="003A362B">
              <w:rPr>
                <w:snapToGrid w:val="0"/>
                <w:sz w:val="16"/>
                <w:szCs w:val="16"/>
              </w:rPr>
              <w:t>La coupure et ses parties doivent :</w:t>
            </w:r>
          </w:p>
          <w:p w:rsidR="003A362B" w:rsidRPr="003A362B" w:rsidRDefault="003A362B" w:rsidP="003A362B">
            <w:pPr>
              <w:tabs>
                <w:tab w:val="left" w:pos="2939"/>
                <w:tab w:val="left" w:pos="3569"/>
              </w:tabs>
              <w:spacing w:before="40" w:after="40" w:line="220" w:lineRule="exact"/>
              <w:ind w:left="112"/>
              <w:rPr>
                <w:snapToGrid w:val="0"/>
                <w:sz w:val="16"/>
                <w:szCs w:val="16"/>
              </w:rPr>
            </w:pPr>
            <w:r w:rsidRPr="003A362B">
              <w:rPr>
                <w:snapToGrid w:val="0"/>
                <w:sz w:val="16"/>
                <w:szCs w:val="16"/>
              </w:rPr>
              <w:t xml:space="preserve">a) satisfaire aux prescriptions du paragraphe 1 de l’annexe 8 du présent Règlement et </w:t>
            </w:r>
          </w:p>
        </w:tc>
      </w:tr>
      <w:tr w:rsidR="003A362B" w:rsidRPr="003A362B" w:rsidTr="005D7B8E">
        <w:trPr>
          <w:cantSplit/>
          <w:trHeight w:hRule="exact" w:val="1142"/>
        </w:trPr>
        <w:tc>
          <w:tcPr>
            <w:tcW w:w="369" w:type="dxa"/>
            <w:tcBorders>
              <w:left w:val="single" w:sz="4" w:space="0" w:color="auto"/>
              <w:bottom w:val="single" w:sz="4" w:space="0" w:color="auto"/>
              <w:right w:val="single" w:sz="4" w:space="0" w:color="auto"/>
            </w:tcBorders>
          </w:tcPr>
          <w:p w:rsidR="003A362B" w:rsidRPr="003A362B" w:rsidRDefault="003A362B" w:rsidP="008869DA">
            <w:pPr>
              <w:spacing w:before="40" w:after="40" w:line="220" w:lineRule="exact"/>
              <w:jc w:val="center"/>
              <w:rPr>
                <w:snapToGrid w:val="0"/>
                <w:sz w:val="16"/>
                <w:szCs w:val="16"/>
                <w:lang w:val="en-US" w:eastAsia="de-DE"/>
              </w:rPr>
            </w:pPr>
          </w:p>
        </w:tc>
        <w:tc>
          <w:tcPr>
            <w:tcW w:w="2585" w:type="dxa"/>
            <w:gridSpan w:val="2"/>
            <w:tcBorders>
              <w:left w:val="single" w:sz="4" w:space="0" w:color="auto"/>
              <w:bottom w:val="single" w:sz="4" w:space="0" w:color="auto"/>
              <w:right w:val="single" w:sz="4" w:space="0" w:color="auto"/>
            </w:tcBorders>
          </w:tcPr>
          <w:p w:rsidR="003A362B" w:rsidRPr="003A362B" w:rsidRDefault="003A362B" w:rsidP="003A362B">
            <w:pPr>
              <w:tabs>
                <w:tab w:val="left" w:pos="2939"/>
                <w:tab w:val="left" w:pos="3569"/>
              </w:tabs>
              <w:spacing w:before="40" w:after="40" w:line="220" w:lineRule="exact"/>
              <w:ind w:left="374" w:hanging="262"/>
              <w:rPr>
                <w:snapToGrid w:val="0"/>
                <w:sz w:val="16"/>
                <w:szCs w:val="16"/>
              </w:rPr>
            </w:pPr>
            <w:r w:rsidRPr="003A362B">
              <w:rPr>
                <w:snapToGrid w:val="0"/>
                <w:sz w:val="16"/>
                <w:szCs w:val="16"/>
              </w:rPr>
              <w:t>b) être positionnées de telle sorte que la partie horizontale soit :</w:t>
            </w:r>
          </w:p>
        </w:tc>
        <w:tc>
          <w:tcPr>
            <w:tcW w:w="837" w:type="dxa"/>
            <w:tcBorders>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lang w:val="en-US" w:eastAsia="de-DE"/>
              </w:rPr>
            </w:pPr>
          </w:p>
        </w:tc>
        <w:tc>
          <w:tcPr>
            <w:tcW w:w="835" w:type="dxa"/>
            <w:tcBorders>
              <w:left w:val="single" w:sz="4" w:space="0" w:color="auto"/>
              <w:bottom w:val="single" w:sz="4" w:space="0" w:color="auto"/>
              <w:right w:val="single" w:sz="4" w:space="0" w:color="auto"/>
            </w:tcBorders>
          </w:tcPr>
          <w:p w:rsidR="003A362B" w:rsidRPr="003A362B" w:rsidRDefault="003A362B" w:rsidP="003A362B">
            <w:pPr>
              <w:tabs>
                <w:tab w:val="left" w:pos="293"/>
              </w:tabs>
              <w:spacing w:before="40" w:after="40" w:line="220" w:lineRule="exact"/>
              <w:ind w:left="57"/>
              <w:rPr>
                <w:snapToGrid w:val="0"/>
                <w:sz w:val="16"/>
                <w:szCs w:val="16"/>
                <w:lang w:eastAsia="de-DE"/>
              </w:rPr>
            </w:pPr>
            <w:r w:rsidRPr="003A362B">
              <w:rPr>
                <w:snapToGrid w:val="0"/>
                <w:sz w:val="16"/>
                <w:szCs w:val="16"/>
              </w:rPr>
              <w:t>à V = 0,57</w:t>
            </w:r>
          </w:p>
        </w:tc>
        <w:tc>
          <w:tcPr>
            <w:tcW w:w="836" w:type="dxa"/>
            <w:tcBorders>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lang w:eastAsia="de-DE"/>
              </w:rPr>
            </w:pPr>
          </w:p>
        </w:tc>
        <w:tc>
          <w:tcPr>
            <w:tcW w:w="835" w:type="dxa"/>
            <w:gridSpan w:val="2"/>
            <w:tcBorders>
              <w:left w:val="single" w:sz="4" w:space="0" w:color="auto"/>
              <w:bottom w:val="single" w:sz="4" w:space="0" w:color="auto"/>
              <w:right w:val="single" w:sz="4" w:space="0" w:color="auto"/>
            </w:tcBorders>
          </w:tcPr>
          <w:p w:rsidR="003A362B" w:rsidRPr="003A362B" w:rsidRDefault="003A362B" w:rsidP="003A362B">
            <w:pPr>
              <w:tabs>
                <w:tab w:val="left" w:pos="357"/>
                <w:tab w:val="left" w:pos="477"/>
              </w:tabs>
              <w:spacing w:before="40" w:after="40" w:line="220" w:lineRule="exact"/>
              <w:rPr>
                <w:snapToGrid w:val="0"/>
                <w:sz w:val="16"/>
                <w:szCs w:val="16"/>
              </w:rPr>
            </w:pPr>
            <w:r w:rsidRPr="003A362B">
              <w:rPr>
                <w:snapToGrid w:val="0"/>
                <w:sz w:val="16"/>
                <w:szCs w:val="16"/>
              </w:rPr>
              <w:t>≤ 0,57 D</w:t>
            </w:r>
            <w:r w:rsidRPr="003A362B">
              <w:rPr>
                <w:snapToGrid w:val="0"/>
                <w:sz w:val="16"/>
                <w:szCs w:val="16"/>
              </w:rPr>
              <w:br/>
              <w:t>≥ 1,3 D</w:t>
            </w:r>
          </w:p>
        </w:tc>
        <w:tc>
          <w:tcPr>
            <w:tcW w:w="836" w:type="dxa"/>
            <w:gridSpan w:val="2"/>
            <w:tcBorders>
              <w:left w:val="single" w:sz="4" w:space="0" w:color="auto"/>
              <w:bottom w:val="single" w:sz="4" w:space="0" w:color="auto"/>
              <w:right w:val="single" w:sz="4" w:space="0" w:color="auto"/>
            </w:tcBorders>
          </w:tcPr>
          <w:p w:rsidR="003A362B" w:rsidRPr="003A362B" w:rsidRDefault="003A362B" w:rsidP="003A362B">
            <w:pPr>
              <w:tabs>
                <w:tab w:val="left" w:pos="357"/>
                <w:tab w:val="left" w:pos="477"/>
              </w:tabs>
              <w:spacing w:before="40" w:after="40" w:line="220" w:lineRule="exact"/>
              <w:ind w:left="57"/>
              <w:rPr>
                <w:snapToGrid w:val="0"/>
                <w:sz w:val="16"/>
                <w:szCs w:val="16"/>
                <w:lang w:val="en-US" w:eastAsia="de-DE"/>
              </w:rPr>
            </w:pPr>
          </w:p>
        </w:tc>
        <w:tc>
          <w:tcPr>
            <w:tcW w:w="835" w:type="dxa"/>
            <w:gridSpan w:val="2"/>
            <w:tcBorders>
              <w:left w:val="single" w:sz="4" w:space="0" w:color="auto"/>
              <w:bottom w:val="single" w:sz="4" w:space="0" w:color="auto"/>
              <w:right w:val="single" w:sz="4" w:space="0" w:color="auto"/>
            </w:tcBorders>
          </w:tcPr>
          <w:p w:rsidR="003A362B" w:rsidRPr="003A362B" w:rsidRDefault="003A362B" w:rsidP="003A362B">
            <w:pPr>
              <w:tabs>
                <w:tab w:val="left" w:pos="357"/>
                <w:tab w:val="left" w:pos="477"/>
              </w:tabs>
              <w:spacing w:before="40" w:after="40" w:line="220" w:lineRule="exact"/>
              <w:ind w:right="-28"/>
              <w:rPr>
                <w:snapToGrid w:val="0"/>
                <w:sz w:val="16"/>
                <w:szCs w:val="16"/>
              </w:rPr>
            </w:pPr>
            <w:r w:rsidRPr="003A362B">
              <w:rPr>
                <w:snapToGrid w:val="0"/>
                <w:sz w:val="16"/>
                <w:szCs w:val="16"/>
              </w:rPr>
              <w:t>≤ 0,23 D</w:t>
            </w:r>
            <w:r w:rsidRPr="003A362B">
              <w:rPr>
                <w:snapToGrid w:val="0"/>
                <w:sz w:val="16"/>
                <w:szCs w:val="16"/>
                <w:vertAlign w:val="superscript"/>
              </w:rPr>
              <w:t xml:space="preserve">8 </w:t>
            </w:r>
            <w:r w:rsidRPr="003A362B">
              <w:rPr>
                <w:snapToGrid w:val="0"/>
                <w:sz w:val="16"/>
                <w:szCs w:val="16"/>
              </w:rPr>
              <w:t>≥ 0,57 D</w:t>
            </w:r>
          </w:p>
        </w:tc>
        <w:tc>
          <w:tcPr>
            <w:tcW w:w="836" w:type="dxa"/>
            <w:tcBorders>
              <w:left w:val="single" w:sz="4" w:space="0" w:color="auto"/>
              <w:bottom w:val="single" w:sz="4" w:space="0" w:color="auto"/>
              <w:right w:val="single" w:sz="4" w:space="0" w:color="auto"/>
            </w:tcBorders>
          </w:tcPr>
          <w:p w:rsidR="003A362B" w:rsidRPr="003A362B" w:rsidRDefault="003A362B" w:rsidP="003A362B">
            <w:pPr>
              <w:spacing w:before="40" w:after="40" w:line="220" w:lineRule="exact"/>
              <w:ind w:left="57"/>
              <w:rPr>
                <w:snapToGrid w:val="0"/>
                <w:sz w:val="16"/>
                <w:szCs w:val="16"/>
                <w:lang w:val="en-US" w:eastAsia="de-DE"/>
              </w:rPr>
            </w:pPr>
          </w:p>
        </w:tc>
        <w:tc>
          <w:tcPr>
            <w:tcW w:w="835" w:type="dxa"/>
            <w:gridSpan w:val="2"/>
            <w:tcBorders>
              <w:left w:val="single" w:sz="4" w:space="0" w:color="auto"/>
              <w:bottom w:val="single" w:sz="4" w:space="0" w:color="auto"/>
              <w:right w:val="single" w:sz="4" w:space="0" w:color="auto"/>
            </w:tcBorders>
          </w:tcPr>
          <w:p w:rsidR="003A362B" w:rsidRPr="003A362B" w:rsidRDefault="003A362B" w:rsidP="005D7B8E">
            <w:pPr>
              <w:tabs>
                <w:tab w:val="left" w:pos="357"/>
                <w:tab w:val="left" w:pos="477"/>
              </w:tabs>
              <w:spacing w:before="40" w:after="40" w:line="220" w:lineRule="exact"/>
              <w:ind w:right="-57"/>
              <w:rPr>
                <w:snapToGrid w:val="0"/>
                <w:sz w:val="16"/>
                <w:szCs w:val="16"/>
              </w:rPr>
            </w:pPr>
            <w:r w:rsidRPr="003A362B">
              <w:rPr>
                <w:snapToGrid w:val="0"/>
                <w:sz w:val="16"/>
                <w:szCs w:val="16"/>
              </w:rPr>
              <w:t>≤ 0,23 D</w:t>
            </w:r>
            <w:r w:rsidRPr="003A362B">
              <w:rPr>
                <w:snapToGrid w:val="0"/>
                <w:sz w:val="16"/>
                <w:szCs w:val="16"/>
              </w:rPr>
              <w:br/>
              <w:t>≥ 0,57 D</w:t>
            </w:r>
          </w:p>
        </w:tc>
      </w:tr>
      <w:tr w:rsidR="003A362B" w:rsidRPr="00342A7F" w:rsidTr="00D32C9E">
        <w:trPr>
          <w:cantSplit/>
          <w:trHeight w:val="280"/>
        </w:trPr>
        <w:tc>
          <w:tcPr>
            <w:tcW w:w="369" w:type="dxa"/>
            <w:tcBorders>
              <w:top w:val="single" w:sz="4" w:space="0" w:color="auto"/>
            </w:tcBorders>
            <w:vAlign w:val="center"/>
          </w:tcPr>
          <w:p w:rsidR="003A362B" w:rsidRPr="00BD55BD" w:rsidRDefault="003A362B" w:rsidP="008869DA">
            <w:pPr>
              <w:rPr>
                <w:snapToGrid w:val="0"/>
                <w:sz w:val="18"/>
                <w:szCs w:val="18"/>
                <w:vertAlign w:val="superscript"/>
              </w:rPr>
            </w:pPr>
            <w:r>
              <w:rPr>
                <w:snapToGrid w:val="0"/>
                <w:sz w:val="18"/>
                <w:szCs w:val="18"/>
                <w:vertAlign w:val="superscript"/>
              </w:rPr>
              <w:t xml:space="preserve">  8</w:t>
            </w:r>
          </w:p>
        </w:tc>
        <w:tc>
          <w:tcPr>
            <w:tcW w:w="9270" w:type="dxa"/>
            <w:gridSpan w:val="14"/>
            <w:tcBorders>
              <w:top w:val="single" w:sz="4" w:space="0" w:color="auto"/>
            </w:tcBorders>
            <w:vAlign w:val="center"/>
          </w:tcPr>
          <w:p w:rsidR="003A362B" w:rsidRPr="003A0FD0" w:rsidRDefault="003A362B" w:rsidP="008869DA">
            <w:pPr>
              <w:rPr>
                <w:snapToGrid w:val="0"/>
                <w:sz w:val="18"/>
                <w:szCs w:val="18"/>
                <w:u w:val="single"/>
              </w:rPr>
            </w:pPr>
            <w:r>
              <w:rPr>
                <w:snapToGrid w:val="0"/>
                <w:sz w:val="18"/>
                <w:szCs w:val="18"/>
              </w:rPr>
              <w:t>Les prescriptions conformes aux dispositions du tableau 6 ci-dessous s’appliquent elles aussi.</w:t>
            </w:r>
          </w:p>
        </w:tc>
      </w:tr>
    </w:tbl>
    <w:p w:rsidR="00B87A2D" w:rsidRPr="00052475" w:rsidRDefault="00B87A2D" w:rsidP="00B71A83">
      <w:pPr>
        <w:pStyle w:val="SingleTxtG"/>
        <w:jc w:val="right"/>
      </w:pPr>
      <w:r>
        <w:t>».</w:t>
      </w:r>
    </w:p>
    <w:p w:rsidR="00B87A2D" w:rsidRPr="00B71A83" w:rsidRDefault="00B87A2D" w:rsidP="00B71A83">
      <w:pPr>
        <w:pStyle w:val="SingleTxtG"/>
        <w:rPr>
          <w:i/>
        </w:rPr>
      </w:pPr>
      <w:r w:rsidRPr="00B71A83">
        <w:rPr>
          <w:i/>
        </w:rPr>
        <w:t xml:space="preserve">Annexe 4, </w:t>
      </w:r>
    </w:p>
    <w:p w:rsidR="00B87A2D" w:rsidRPr="00AB05E0" w:rsidRDefault="00B87A2D" w:rsidP="00823963">
      <w:pPr>
        <w:pStyle w:val="SingleTxtG"/>
        <w:keepNext/>
      </w:pPr>
      <w:r w:rsidRPr="00514D3B">
        <w:rPr>
          <w:i/>
        </w:rPr>
        <w:t>Partie introductive</w:t>
      </w:r>
      <w:r>
        <w:t>, lire :</w:t>
      </w:r>
    </w:p>
    <w:p w:rsidR="00B87A2D" w:rsidRPr="00AB05E0" w:rsidRDefault="00B87A2D" w:rsidP="00514D3B">
      <w:pPr>
        <w:pStyle w:val="HChG"/>
      </w:pPr>
      <w:r>
        <w:tab/>
      </w:r>
      <w:r>
        <w:tab/>
        <w:t xml:space="preserve">« Essais </w:t>
      </w:r>
      <w:r w:rsidRPr="00514D3B">
        <w:t>de</w:t>
      </w:r>
      <w:r>
        <w:t xml:space="preserve"> stabilité des </w:t>
      </w:r>
      <w:r w:rsidR="00514D3B">
        <w:t>caractéristiques photométriques</w:t>
      </w:r>
      <w:r w:rsidR="00514D3B">
        <w:br/>
      </w:r>
      <w:r w:rsidR="00823963">
        <w:t>des systèmes en fonctionnement </w:t>
      </w:r>
      <w:r w:rsidR="00514D3B">
        <w:t>−</w:t>
      </w:r>
      <w:r w:rsidR="00823963">
        <w:t> </w:t>
      </w:r>
      <w:r w:rsidR="00514D3B">
        <w:t>Essais de systèmes</w:t>
      </w:r>
      <w:r w:rsidR="00514D3B">
        <w:br/>
      </w:r>
      <w:r w:rsidR="00823963">
        <w:t>complets</w:t>
      </w:r>
    </w:p>
    <w:p w:rsidR="00B87A2D" w:rsidRPr="00AB05E0" w:rsidRDefault="00514D3B" w:rsidP="00823963">
      <w:pPr>
        <w:pStyle w:val="SingleTxtG"/>
        <w:ind w:left="2268"/>
      </w:pPr>
      <w:r>
        <w:tab/>
      </w:r>
      <w:r w:rsidR="00B87A2D">
        <w:t>Essais sur des systèmes complets</w:t>
      </w:r>
    </w:p>
    <w:p w:rsidR="00B87A2D" w:rsidRPr="009068C7" w:rsidRDefault="00514D3B" w:rsidP="00823963">
      <w:pPr>
        <w:pStyle w:val="SingleTxtG"/>
        <w:ind w:left="2268"/>
        <w:rPr>
          <w:szCs w:val="24"/>
        </w:rPr>
      </w:pPr>
      <w:r>
        <w:rPr>
          <w:szCs w:val="24"/>
        </w:rPr>
        <w:tab/>
      </w:r>
      <w:r w:rsidR="00B87A2D" w:rsidRPr="009068C7">
        <w:rPr>
          <w:szCs w:val="24"/>
        </w:rPr>
        <w:t>Une fois mesurées les valeurs photométriques conformément aux prescriptions du présent Règlement, au point I</w:t>
      </w:r>
      <w:r w:rsidR="00B87A2D" w:rsidRPr="009068C7">
        <w:rPr>
          <w:szCs w:val="24"/>
          <w:vertAlign w:val="subscript"/>
        </w:rPr>
        <w:t>max</w:t>
      </w:r>
      <w:r w:rsidR="00B87A2D" w:rsidRPr="009068C7">
        <w:rPr>
          <w:szCs w:val="24"/>
        </w:rPr>
        <w:t xml:space="preserve"> pour le faisceau de route et aux points 25L, 50V et B50L (ou R) selon le cas, pour le faisceau de croisement, un échantillon de système complet doit être soumis à un essai de stabilité des caractéristiques photométriques en fonctionnement.</w:t>
      </w:r>
    </w:p>
    <w:p w:rsidR="00B87A2D" w:rsidRPr="009068C7" w:rsidRDefault="00514D3B" w:rsidP="00823963">
      <w:pPr>
        <w:pStyle w:val="SingleTxtG"/>
        <w:ind w:left="2268"/>
      </w:pPr>
      <w:r>
        <w:tab/>
      </w:r>
      <w:r w:rsidR="00B87A2D" w:rsidRPr="009068C7">
        <w:t>…</w:t>
      </w:r>
      <w:r>
        <w:t> </w:t>
      </w:r>
      <w:r w:rsidR="00B87A2D" w:rsidRPr="009068C7">
        <w:t>».</w:t>
      </w:r>
    </w:p>
    <w:p w:rsidR="00B87A2D" w:rsidRPr="00D55AB8" w:rsidRDefault="00B87A2D" w:rsidP="00514D3B">
      <w:pPr>
        <w:pStyle w:val="SingleTxtG"/>
        <w:keepNext/>
        <w:rPr>
          <w:bCs/>
        </w:rPr>
      </w:pPr>
      <w:r w:rsidRPr="00514D3B">
        <w:rPr>
          <w:i/>
        </w:rPr>
        <w:t>Paragraphe 1.2.1.2</w:t>
      </w:r>
      <w:r>
        <w:t>, lire :</w:t>
      </w:r>
    </w:p>
    <w:p w:rsidR="00B87A2D" w:rsidRPr="00D55AB8" w:rsidRDefault="00B87A2D" w:rsidP="00514D3B">
      <w:pPr>
        <w:pStyle w:val="SingleTxtG"/>
        <w:ind w:left="2268" w:hanging="1134"/>
      </w:pPr>
      <w:r>
        <w:t>« 1.2.1.2</w:t>
      </w:r>
      <w:r>
        <w:tab/>
        <w:t>Pour un système dont la lentille extérieure de l’une ou de plusieurs de ses parties est en plastique, le mélange d’eau et de polluant à appliquer sur l’échantillon soumis à l’essai doit être constitué de :</w:t>
      </w:r>
    </w:p>
    <w:p w:rsidR="00B87A2D" w:rsidRPr="00D55AB8" w:rsidRDefault="00514D3B" w:rsidP="00873A8D">
      <w:pPr>
        <w:pStyle w:val="SingleTxtG"/>
        <w:tabs>
          <w:tab w:val="left" w:pos="2835"/>
        </w:tabs>
        <w:ind w:left="2835" w:hanging="567"/>
      </w:pPr>
      <w:r>
        <w:t>a)</w:t>
      </w:r>
      <w:r>
        <w:tab/>
      </w:r>
      <w:r w:rsidR="00873A8D">
        <w:t>9 </w:t>
      </w:r>
      <w:r w:rsidR="00B87A2D">
        <w:t>parties (en poids) de sable de silice dont la granulométrie est comprise entre 0 et 100</w:t>
      </w:r>
      <w:r w:rsidR="00873A8D">
        <w:t> μm </w:t>
      </w:r>
      <w:r w:rsidR="00B87A2D">
        <w:t>;</w:t>
      </w:r>
    </w:p>
    <w:p w:rsidR="00B87A2D" w:rsidRPr="00D55AB8" w:rsidRDefault="00873A8D" w:rsidP="00873A8D">
      <w:pPr>
        <w:pStyle w:val="SingleTxtG"/>
        <w:tabs>
          <w:tab w:val="left" w:pos="2835"/>
        </w:tabs>
        <w:ind w:left="2835" w:hanging="567"/>
      </w:pPr>
      <w:r>
        <w:t>b)</w:t>
      </w:r>
      <w:r>
        <w:tab/>
      </w:r>
      <w:r w:rsidR="00B71A83">
        <w:t>1 </w:t>
      </w:r>
      <w:r w:rsidR="00B87A2D">
        <w:t>partie (en poids) de poussière de charbon végétal (bois de hêtre), de granulomé</w:t>
      </w:r>
      <w:r>
        <w:t>trie comprise entre 0 et 100 μm </w:t>
      </w:r>
      <w:r w:rsidR="00B87A2D">
        <w:t>;</w:t>
      </w:r>
    </w:p>
    <w:p w:rsidR="00B87A2D" w:rsidRPr="00D55AB8" w:rsidRDefault="00873A8D" w:rsidP="00873A8D">
      <w:pPr>
        <w:pStyle w:val="SingleTxtG"/>
        <w:tabs>
          <w:tab w:val="left" w:pos="2835"/>
        </w:tabs>
        <w:ind w:left="2835" w:hanging="567"/>
      </w:pPr>
      <w:r>
        <w:t>c)</w:t>
      </w:r>
      <w:r>
        <w:tab/>
      </w:r>
      <w:r w:rsidR="00B71A83">
        <w:t>0,2 </w:t>
      </w:r>
      <w:r w:rsidR="00B87A2D">
        <w:t>partie (en poids) de NaCMC</w:t>
      </w:r>
      <w:r w:rsidR="00B87A2D">
        <w:rPr>
          <w:vertAlign w:val="superscript"/>
        </w:rPr>
        <w:t>5</w:t>
      </w:r>
      <w:r>
        <w:t> </w:t>
      </w:r>
      <w:r w:rsidR="00B87A2D">
        <w:t>;</w:t>
      </w:r>
    </w:p>
    <w:p w:rsidR="00B87A2D" w:rsidRPr="00D55AB8" w:rsidRDefault="00873A8D" w:rsidP="00873A8D">
      <w:pPr>
        <w:pStyle w:val="SingleTxtG"/>
        <w:tabs>
          <w:tab w:val="left" w:pos="2835"/>
        </w:tabs>
        <w:ind w:left="2835" w:hanging="567"/>
      </w:pPr>
      <w:r>
        <w:t>d)</w:t>
      </w:r>
      <w:r>
        <w:tab/>
      </w:r>
      <w:r w:rsidR="00B71A83">
        <w:t>5 </w:t>
      </w:r>
      <w:r w:rsidR="00B87A2D">
        <w:t xml:space="preserve">parties (en poids) </w:t>
      </w:r>
      <w:r>
        <w:t>de chlorure de sodium (pur à 99 %) </w:t>
      </w:r>
      <w:r w:rsidR="00B87A2D">
        <w:t>;</w:t>
      </w:r>
    </w:p>
    <w:p w:rsidR="00B87A2D" w:rsidRPr="00D55AB8" w:rsidRDefault="00873A8D" w:rsidP="00873A8D">
      <w:pPr>
        <w:pStyle w:val="SingleTxtG"/>
        <w:tabs>
          <w:tab w:val="left" w:pos="2835"/>
        </w:tabs>
        <w:ind w:left="2835" w:hanging="567"/>
      </w:pPr>
      <w:r>
        <w:t>e)</w:t>
      </w:r>
      <w:r>
        <w:tab/>
      </w:r>
      <w:r w:rsidR="00B71A83">
        <w:t>13 </w:t>
      </w:r>
      <w:r w:rsidR="00B87A2D">
        <w:t xml:space="preserve">parties d’eau distillée de conductivité </w:t>
      </w:r>
      <w:r w:rsidR="00B87A2D">
        <w:sym w:font="Symbol" w:char="F0A3"/>
      </w:r>
      <w:r>
        <w:t xml:space="preserve"> 1 </w:t>
      </w:r>
      <w:r w:rsidR="00B87A2D">
        <w:t xml:space="preserve">μmS/m ; </w:t>
      </w:r>
    </w:p>
    <w:p w:rsidR="00B87A2D" w:rsidRPr="00AB05E0" w:rsidRDefault="00873A8D" w:rsidP="00873A8D">
      <w:pPr>
        <w:pStyle w:val="SingleTxtG"/>
        <w:tabs>
          <w:tab w:val="left" w:pos="2835"/>
        </w:tabs>
        <w:ind w:left="2835" w:hanging="567"/>
        <w:rPr>
          <w:vertAlign w:val="superscript"/>
        </w:rPr>
      </w:pPr>
      <w:r>
        <w:t>f)</w:t>
      </w:r>
      <w:r>
        <w:tab/>
      </w:r>
      <w:r w:rsidR="00B71A83">
        <w:t>2 </w:t>
      </w:r>
      <w:r>
        <w:sym w:font="Symbol" w:char="F0B1"/>
      </w:r>
      <w:r w:rsidR="00B71A83">
        <w:t> </w:t>
      </w:r>
      <w:r w:rsidR="00B87A2D">
        <w:t>1 partie gouttes d’agent mouillant</w:t>
      </w:r>
      <w:r w:rsidR="00B87A2D">
        <w:rPr>
          <w:vertAlign w:val="superscript"/>
        </w:rPr>
        <w:t>6</w:t>
      </w:r>
      <w:r w:rsidR="00B87A2D">
        <w:t>. ».</w:t>
      </w:r>
    </w:p>
    <w:p w:rsidR="00B87A2D" w:rsidRPr="00C12B42" w:rsidRDefault="00B87A2D" w:rsidP="00B87A2D">
      <w:pPr>
        <w:spacing w:after="120"/>
        <w:ind w:left="2268" w:right="1134" w:hanging="1134"/>
      </w:pPr>
      <w:r>
        <w:rPr>
          <w:i/>
        </w:rPr>
        <w:t>Paragraphe 1.2.1.5</w:t>
      </w:r>
      <w:r>
        <w:t>, lire :</w:t>
      </w:r>
    </w:p>
    <w:p w:rsidR="00B87A2D" w:rsidRPr="00C12B42" w:rsidRDefault="00B87A2D" w:rsidP="00873A8D">
      <w:pPr>
        <w:pStyle w:val="SingleTxtG"/>
        <w:ind w:left="2268" w:hanging="1134"/>
      </w:pPr>
      <w:r>
        <w:t>« 1.2.1.5</w:t>
      </w:r>
      <w:r>
        <w:tab/>
        <w:t>Application du mélange d’essai sur l’échantillon</w:t>
      </w:r>
    </w:p>
    <w:p w:rsidR="00B87A2D" w:rsidRPr="00C12B42" w:rsidRDefault="00B87A2D" w:rsidP="00873A8D">
      <w:pPr>
        <w:pStyle w:val="SingleTxtG"/>
        <w:ind w:left="2268"/>
      </w:pPr>
      <w:r>
        <w:tab/>
        <w:t>On applique uniformément le mélange d’essai sur toute</w:t>
      </w:r>
      <w:r w:rsidR="00B94C6C">
        <w:t>(s)</w:t>
      </w:r>
      <w:r>
        <w:t xml:space="preserve"> la ou les surfaces de sortie de la lumière de l’échantillon d’essai puis on laisse </w:t>
      </w:r>
      <w:r w:rsidR="00873A8D">
        <w:t xml:space="preserve">sécher. </w:t>
      </w:r>
      <w:r>
        <w:t>On répète cette opération jusqu’à baisser l’éclairement à une valeur comprise entre 15 et 20 % des valeurs mesurées à chacun des points suivants, dans les conditions décrites dans la présente annexe :</w:t>
      </w:r>
    </w:p>
    <w:p w:rsidR="00B87A2D" w:rsidRPr="00C12B42" w:rsidRDefault="00B87A2D" w:rsidP="00873A8D">
      <w:pPr>
        <w:pStyle w:val="SingleTxtG"/>
        <w:ind w:left="2268"/>
      </w:pPr>
      <w:r>
        <w:tab/>
        <w:t>I</w:t>
      </w:r>
      <w:r>
        <w:rPr>
          <w:vertAlign w:val="subscript"/>
        </w:rPr>
        <w:t>max</w:t>
      </w:r>
      <w:r>
        <w:t xml:space="preserve"> pour un feu de route, à l’état neutre,</w:t>
      </w:r>
    </w:p>
    <w:p w:rsidR="00B87A2D" w:rsidRDefault="00B87A2D" w:rsidP="00873A8D">
      <w:pPr>
        <w:pStyle w:val="SingleTxtG"/>
        <w:ind w:left="2268"/>
      </w:pPr>
      <w:r>
        <w:tab/>
        <w:t>50V pour un faisceau de croisement de classe C et pour chacun de ses modes indiqués. ».</w:t>
      </w:r>
    </w:p>
    <w:p w:rsidR="00B87A2D" w:rsidRPr="00EE3E75" w:rsidRDefault="00B87A2D" w:rsidP="00B87A2D">
      <w:pPr>
        <w:pStyle w:val="SingleTxtG"/>
      </w:pPr>
      <w:r>
        <w:rPr>
          <w:i/>
        </w:rPr>
        <w:t>Paragraphes 2.2.1. et 2.2.2</w:t>
      </w:r>
      <w:r>
        <w:t>, lire :</w:t>
      </w:r>
    </w:p>
    <w:p w:rsidR="00B87A2D" w:rsidRPr="00873A8D" w:rsidRDefault="00B87A2D" w:rsidP="00873A8D">
      <w:pPr>
        <w:pStyle w:val="SingleTxtG"/>
        <w:ind w:left="2268" w:hanging="1134"/>
      </w:pPr>
      <w:r w:rsidRPr="00873A8D">
        <w:t>« 2.2.1</w:t>
      </w:r>
      <w:r w:rsidR="00873A8D">
        <w:tab/>
      </w:r>
      <w:r w:rsidRPr="00873A8D">
        <w:tab/>
        <w:t xml:space="preserve">Le résultat exprimé en milliradians (mrad) est considéré comme acceptable pour un feu de croisement quand la valeur absolue </w:t>
      </w:r>
      <w:r w:rsidRPr="00873A8D">
        <w:sym w:font="Symbol" w:char="F044"/>
      </w:r>
      <w:r w:rsidRPr="00873A8D">
        <w:t xml:space="preserve"> r1 = </w:t>
      </w:r>
      <w:r w:rsidRPr="00873A8D">
        <w:sym w:font="Symbol" w:char="F0BD"/>
      </w:r>
      <w:r w:rsidRPr="00873A8D">
        <w:t xml:space="preserve"> r3 – r60 </w:t>
      </w:r>
      <w:r w:rsidRPr="00873A8D">
        <w:sym w:font="Symbol" w:char="F0BD"/>
      </w:r>
      <w:r w:rsidRPr="00873A8D">
        <w:t xml:space="preserve"> enregistrée sur le projecteur n’est pas supérieure à 1,0 mrad (</w:t>
      </w:r>
      <w:r w:rsidRPr="00873A8D">
        <w:sym w:font="Symbol" w:char="F044"/>
      </w:r>
      <w:r w:rsidRPr="00873A8D">
        <w:t xml:space="preserve"> r1 </w:t>
      </w:r>
      <w:r w:rsidRPr="00873A8D">
        <w:sym w:font="Symbol" w:char="F0A3"/>
      </w:r>
      <w:r w:rsidRPr="00873A8D">
        <w:t xml:space="preserve"> 1.0 mrad) vers le haut ni à 2,0 mrad (</w:t>
      </w:r>
      <w:r w:rsidRPr="00873A8D">
        <w:sym w:font="Symbol" w:char="F044"/>
      </w:r>
      <w:r w:rsidRPr="00873A8D">
        <w:t xml:space="preserve"> r1 </w:t>
      </w:r>
      <w:r w:rsidRPr="00873A8D">
        <w:sym w:font="Symbol" w:char="F0A3"/>
      </w:r>
      <w:r w:rsidRPr="00873A8D">
        <w:t xml:space="preserve"> 2,0 mrad) vers le bas.</w:t>
      </w:r>
    </w:p>
    <w:p w:rsidR="00B87A2D" w:rsidRPr="00873A8D" w:rsidRDefault="00B87A2D" w:rsidP="00873A8D">
      <w:pPr>
        <w:pStyle w:val="SingleTxtG"/>
      </w:pPr>
      <w:r w:rsidRPr="00873A8D">
        <w:t>2.2.2</w:t>
      </w:r>
      <w:r w:rsidRPr="00873A8D">
        <w:tab/>
      </w:r>
      <w:r w:rsidR="00873A8D">
        <w:tab/>
      </w:r>
      <w:r w:rsidRPr="00873A8D">
        <w:t>Cependant, si cette valeur est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394"/>
      </w:tblGrid>
      <w:tr w:rsidR="00B87A2D" w:rsidRPr="00F44C17" w:rsidTr="00B94C6C">
        <w:tc>
          <w:tcPr>
            <w:tcW w:w="2977" w:type="dxa"/>
          </w:tcPr>
          <w:p w:rsidR="00B87A2D" w:rsidRPr="003D6AE4" w:rsidRDefault="00B87A2D" w:rsidP="00B71A83">
            <w:pPr>
              <w:widowControl w:val="0"/>
              <w:tabs>
                <w:tab w:val="left" w:pos="1851"/>
                <w:tab w:val="left" w:pos="2268"/>
                <w:tab w:val="left" w:pos="2475"/>
                <w:tab w:val="left" w:pos="3627"/>
                <w:tab w:val="left" w:pos="4779"/>
                <w:tab w:val="left" w:pos="5931"/>
                <w:tab w:val="left" w:pos="7083"/>
                <w:tab w:val="left" w:pos="8235"/>
              </w:tabs>
              <w:spacing w:before="80" w:after="80" w:line="160" w:lineRule="exact"/>
              <w:ind w:right="1134"/>
              <w:rPr>
                <w:i/>
                <w:sz w:val="16"/>
                <w:szCs w:val="16"/>
              </w:rPr>
            </w:pPr>
            <w:r>
              <w:rPr>
                <w:i/>
                <w:sz w:val="16"/>
                <w:szCs w:val="16"/>
              </w:rPr>
              <w:t>Sens de déplacement</w:t>
            </w:r>
          </w:p>
        </w:tc>
        <w:tc>
          <w:tcPr>
            <w:tcW w:w="4394" w:type="dxa"/>
          </w:tcPr>
          <w:p w:rsidR="00B87A2D" w:rsidRPr="00F44C17" w:rsidRDefault="00B87A2D" w:rsidP="00B71A83">
            <w:pPr>
              <w:widowControl w:val="0"/>
              <w:tabs>
                <w:tab w:val="left" w:pos="1851"/>
                <w:tab w:val="left" w:pos="2268"/>
                <w:tab w:val="left" w:pos="2475"/>
                <w:tab w:val="left" w:pos="3627"/>
                <w:tab w:val="left" w:pos="4779"/>
                <w:tab w:val="left" w:pos="5931"/>
                <w:tab w:val="left" w:pos="7083"/>
                <w:tab w:val="left" w:pos="8235"/>
              </w:tabs>
              <w:spacing w:before="80" w:after="80" w:line="160" w:lineRule="exact"/>
              <w:ind w:right="1134"/>
              <w:jc w:val="both"/>
              <w:rPr>
                <w:lang w:eastAsia="ja-JP"/>
              </w:rPr>
            </w:pPr>
          </w:p>
        </w:tc>
      </w:tr>
      <w:tr w:rsidR="00B87A2D" w:rsidRPr="00F44C17" w:rsidTr="00B94C6C">
        <w:tc>
          <w:tcPr>
            <w:tcW w:w="2977" w:type="dxa"/>
            <w:vAlign w:val="center"/>
          </w:tcPr>
          <w:p w:rsidR="00B87A2D" w:rsidRPr="00AF345D" w:rsidRDefault="00B87A2D" w:rsidP="00557EE6">
            <w:pPr>
              <w:widowControl w:val="0"/>
              <w:tabs>
                <w:tab w:val="left" w:pos="1851"/>
                <w:tab w:val="left" w:pos="2268"/>
                <w:tab w:val="left" w:pos="2475"/>
                <w:tab w:val="left" w:pos="3627"/>
                <w:tab w:val="left" w:pos="4779"/>
                <w:tab w:val="left" w:pos="5931"/>
                <w:tab w:val="left" w:pos="7083"/>
                <w:tab w:val="left" w:pos="8235"/>
              </w:tabs>
              <w:spacing w:before="40" w:after="120"/>
              <w:ind w:right="1134"/>
            </w:pPr>
            <w:r w:rsidRPr="00AF345D">
              <w:t>Vers le haut</w:t>
            </w:r>
          </w:p>
        </w:tc>
        <w:tc>
          <w:tcPr>
            <w:tcW w:w="4394" w:type="dxa"/>
          </w:tcPr>
          <w:p w:rsidR="00B87A2D" w:rsidRPr="00AF345D" w:rsidRDefault="00B87A2D" w:rsidP="00557EE6">
            <w:pPr>
              <w:widowControl w:val="0"/>
              <w:tabs>
                <w:tab w:val="left" w:pos="1851"/>
                <w:tab w:val="left" w:pos="2268"/>
                <w:tab w:val="left" w:pos="2475"/>
                <w:tab w:val="left" w:pos="5931"/>
                <w:tab w:val="left" w:pos="7083"/>
                <w:tab w:val="left" w:pos="8235"/>
              </w:tabs>
              <w:spacing w:before="40" w:after="120"/>
            </w:pPr>
            <w:r w:rsidRPr="00AF345D">
              <w:t>Supérieure à 1,0 mrad</w:t>
            </w:r>
            <w:r w:rsidR="00B71A83">
              <w:t xml:space="preserve"> mais inférieure ou égale</w:t>
            </w:r>
            <w:r w:rsidR="00B71A83">
              <w:br/>
            </w:r>
            <w:r w:rsidRPr="00AF345D">
              <w:t>à 1,5 mrad</w:t>
            </w:r>
            <w:r w:rsidR="00B71A83">
              <w:t xml:space="preserve"> </w:t>
            </w:r>
            <w:r w:rsidRPr="00AF345D">
              <w:t>(1,0 mrad &lt; Δ r</w:t>
            </w:r>
            <w:r w:rsidRPr="00AF345D">
              <w:rPr>
                <w:vertAlign w:val="subscript"/>
              </w:rPr>
              <w:t>I</w:t>
            </w:r>
            <w:r w:rsidRPr="00AF345D">
              <w:t xml:space="preserve"> </w:t>
            </w:r>
            <w:r w:rsidRPr="00AF345D">
              <w:rPr>
                <w:u w:val="single"/>
              </w:rPr>
              <w:t>&lt;</w:t>
            </w:r>
            <w:r w:rsidRPr="00AF345D">
              <w:t xml:space="preserve"> 1,5 mrad)</w:t>
            </w:r>
          </w:p>
        </w:tc>
      </w:tr>
      <w:tr w:rsidR="00B87A2D" w:rsidRPr="00F44C17" w:rsidTr="00B94C6C">
        <w:tc>
          <w:tcPr>
            <w:tcW w:w="2977" w:type="dxa"/>
            <w:vAlign w:val="center"/>
          </w:tcPr>
          <w:p w:rsidR="00B87A2D" w:rsidRPr="00AF345D" w:rsidRDefault="00B87A2D" w:rsidP="00557EE6">
            <w:pPr>
              <w:widowControl w:val="0"/>
              <w:tabs>
                <w:tab w:val="left" w:pos="1851"/>
                <w:tab w:val="left" w:pos="2268"/>
                <w:tab w:val="left" w:pos="2475"/>
                <w:tab w:val="left" w:pos="3627"/>
                <w:tab w:val="left" w:pos="4779"/>
                <w:tab w:val="left" w:pos="5931"/>
                <w:tab w:val="left" w:pos="7083"/>
                <w:tab w:val="left" w:pos="8235"/>
              </w:tabs>
              <w:spacing w:before="40" w:after="120"/>
              <w:ind w:right="1134"/>
            </w:pPr>
            <w:r w:rsidRPr="00AF345D">
              <w:t>Vers le bas</w:t>
            </w:r>
          </w:p>
        </w:tc>
        <w:tc>
          <w:tcPr>
            <w:tcW w:w="4394" w:type="dxa"/>
          </w:tcPr>
          <w:p w:rsidR="00B87A2D" w:rsidRPr="00AF345D" w:rsidRDefault="00B87A2D" w:rsidP="00557EE6">
            <w:pPr>
              <w:widowControl w:val="0"/>
              <w:tabs>
                <w:tab w:val="left" w:pos="1851"/>
                <w:tab w:val="left" w:pos="2268"/>
                <w:tab w:val="left" w:pos="2475"/>
                <w:tab w:val="left" w:pos="3627"/>
                <w:tab w:val="left" w:pos="4144"/>
                <w:tab w:val="left" w:pos="4779"/>
                <w:tab w:val="left" w:pos="5931"/>
                <w:tab w:val="left" w:pos="7083"/>
                <w:tab w:val="left" w:pos="8235"/>
              </w:tabs>
              <w:spacing w:before="40" w:after="120"/>
              <w:ind w:right="188"/>
            </w:pPr>
            <w:r w:rsidRPr="00AF345D">
              <w:t>Supérieure à 2,</w:t>
            </w:r>
            <w:r w:rsidR="00557EE6">
              <w:t>0 mrad mais inférieure ou égale</w:t>
            </w:r>
            <w:r w:rsidR="00557EE6">
              <w:br/>
            </w:r>
            <w:r w:rsidRPr="00AF345D">
              <w:t>à 3,0 mrad</w:t>
            </w:r>
            <w:r w:rsidR="00B71A83">
              <w:t xml:space="preserve"> </w:t>
            </w:r>
            <w:r w:rsidRPr="00AF345D">
              <w:t>(2,0 mrad &lt; Δ r</w:t>
            </w:r>
            <w:r w:rsidRPr="00AF345D">
              <w:rPr>
                <w:vertAlign w:val="subscript"/>
              </w:rPr>
              <w:t>I</w:t>
            </w:r>
            <w:r w:rsidRPr="00AF345D">
              <w:t xml:space="preserve"> </w:t>
            </w:r>
            <w:r w:rsidRPr="00AF345D">
              <w:rPr>
                <w:u w:val="single"/>
              </w:rPr>
              <w:t>&lt;</w:t>
            </w:r>
            <w:r w:rsidRPr="00AF345D">
              <w:t xml:space="preserve"> 3,0 mrad)</w:t>
            </w:r>
          </w:p>
        </w:tc>
      </w:tr>
    </w:tbl>
    <w:p w:rsidR="00B87A2D" w:rsidRPr="00EE3E75" w:rsidRDefault="00B87A2D" w:rsidP="00873A8D">
      <w:pPr>
        <w:pStyle w:val="SingleTxtG"/>
        <w:spacing w:before="240"/>
        <w:ind w:left="2268"/>
      </w:pPr>
      <w:r>
        <w:t>Un autre échantillon de projecteur monté sur un appareillage d’essai représentatif de son installation correcte sur le véhicule est mis à l’</w:t>
      </w:r>
      <w:r w:rsidR="00873A8D">
        <w:t>essai comme prévu au paragraphe </w:t>
      </w:r>
      <w:r>
        <w:t>2.1 ci-dessus, après avoir été soumis trois fois de suite au cycle décrit ci-dessous, afin de stabiliser la position des p</w:t>
      </w:r>
      <w:r w:rsidR="00873A8D">
        <w:t>arties mécaniques du projecteur </w:t>
      </w:r>
      <w:r>
        <w:t xml:space="preserve">: </w:t>
      </w:r>
    </w:p>
    <w:p w:rsidR="00B87A2D" w:rsidRPr="00EE3E75" w:rsidRDefault="00873A8D" w:rsidP="00873A8D">
      <w:pPr>
        <w:pStyle w:val="SingleTxtG"/>
        <w:tabs>
          <w:tab w:val="left" w:pos="2835"/>
        </w:tabs>
        <w:ind w:left="2835" w:hanging="567"/>
      </w:pPr>
      <w:r>
        <w:t>a)</w:t>
      </w:r>
      <w:r>
        <w:tab/>
      </w:r>
      <w:r w:rsidR="00B87A2D">
        <w:t>1</w:t>
      </w:r>
      <w:r>
        <w:t> </w:t>
      </w:r>
      <w:r w:rsidR="00B87A2D">
        <w:t>heure de fonctionnement du projecteur (la tension étant réglée comme prévu au paragraphe</w:t>
      </w:r>
      <w:r w:rsidR="00557EE6">
        <w:t xml:space="preserve"> 1.1.1.2 de la présente annexe) </w:t>
      </w:r>
      <w:r w:rsidR="00B87A2D">
        <w:t>;</w:t>
      </w:r>
    </w:p>
    <w:p w:rsidR="00B87A2D" w:rsidRPr="00EE3E75" w:rsidRDefault="00873A8D" w:rsidP="00873A8D">
      <w:pPr>
        <w:pStyle w:val="SingleTxtG"/>
        <w:tabs>
          <w:tab w:val="left" w:pos="2835"/>
        </w:tabs>
        <w:ind w:left="2835" w:hanging="567"/>
      </w:pPr>
      <w:r>
        <w:t>b)</w:t>
      </w:r>
      <w:r>
        <w:tab/>
      </w:r>
      <w:r w:rsidR="00B87A2D">
        <w:t>1</w:t>
      </w:r>
      <w:r>
        <w:t> </w:t>
      </w:r>
      <w:r w:rsidR="00B87A2D">
        <w:t>heure de mise hors tension du projecteur.</w:t>
      </w:r>
    </w:p>
    <w:p w:rsidR="00B87A2D" w:rsidRPr="00EE3E75" w:rsidRDefault="00B87A2D" w:rsidP="00B87A2D">
      <w:pPr>
        <w:widowControl w:val="0"/>
        <w:spacing w:after="120"/>
        <w:ind w:left="2268" w:right="1134"/>
        <w:jc w:val="both"/>
        <w:rPr>
          <w:rFonts w:eastAsia="MS Mincho"/>
          <w:szCs w:val="24"/>
        </w:rPr>
      </w:pPr>
      <w:r>
        <w:t>Après avoir été soumis trois fois de suite à ce cycle, le projecteur est considéré comme acceptable si les valeurs absolues ∆r mesurées sur cet autre échant</w:t>
      </w:r>
      <w:r w:rsidR="00873A8D">
        <w:t>illon comme prévu au paragraphe </w:t>
      </w:r>
      <w:r>
        <w:t xml:space="preserve">2.1 ci-dessus satisfont </w:t>
      </w:r>
      <w:r w:rsidR="002D0075">
        <w:t>aux prescriptions du paragraphe </w:t>
      </w:r>
      <w:r>
        <w:t>2.2.1 ci-dessus. ».</w:t>
      </w:r>
    </w:p>
    <w:p w:rsidR="00B87A2D" w:rsidRPr="009068C7" w:rsidRDefault="00B87A2D" w:rsidP="00B71A83">
      <w:pPr>
        <w:keepNext/>
        <w:tabs>
          <w:tab w:val="left" w:pos="8505"/>
        </w:tabs>
        <w:spacing w:after="120"/>
        <w:ind w:left="2268" w:right="1134" w:hanging="1134"/>
        <w:rPr>
          <w:i/>
          <w:szCs w:val="24"/>
        </w:rPr>
      </w:pPr>
      <w:r w:rsidRPr="009068C7">
        <w:rPr>
          <w:i/>
          <w:szCs w:val="24"/>
        </w:rPr>
        <w:t xml:space="preserve">Annexe 5, </w:t>
      </w:r>
    </w:p>
    <w:p w:rsidR="00B87A2D" w:rsidRPr="009068C7" w:rsidRDefault="00B87A2D" w:rsidP="00B71A83">
      <w:pPr>
        <w:keepNext/>
        <w:tabs>
          <w:tab w:val="left" w:pos="8505"/>
        </w:tabs>
        <w:spacing w:after="120"/>
        <w:ind w:left="2268" w:right="1134" w:hanging="1134"/>
        <w:rPr>
          <w:szCs w:val="24"/>
        </w:rPr>
      </w:pPr>
      <w:r w:rsidRPr="009068C7">
        <w:rPr>
          <w:i/>
          <w:szCs w:val="24"/>
        </w:rPr>
        <w:t>Paragraphe 1.2.1.1</w:t>
      </w:r>
      <w:r w:rsidRPr="009068C7">
        <w:rPr>
          <w:szCs w:val="24"/>
        </w:rPr>
        <w:t>, lire :</w:t>
      </w:r>
      <w:r w:rsidRPr="009068C7">
        <w:rPr>
          <w:color w:val="FF0000"/>
          <w:szCs w:val="24"/>
        </w:rPr>
        <w:t xml:space="preserve"> </w:t>
      </w:r>
    </w:p>
    <w:p w:rsidR="00B87A2D" w:rsidRPr="009068C7" w:rsidRDefault="00B87A2D" w:rsidP="00B71A83">
      <w:pPr>
        <w:pStyle w:val="SingleTxtG"/>
        <w:keepNext/>
        <w:ind w:left="2268" w:hanging="1134"/>
        <w:rPr>
          <w:i/>
        </w:rPr>
      </w:pPr>
      <w:r w:rsidRPr="009068C7">
        <w:t>« 1.2.1.1</w:t>
      </w:r>
      <w:r w:rsidRPr="009068C7">
        <w:tab/>
        <w:t>Pour les valeurs ci-dessous du faisceau de croisement et de ses modes, l</w:t>
      </w:r>
      <w:r>
        <w:t>’</w:t>
      </w:r>
      <w:r w:rsidRPr="009068C7">
        <w:t>écart maximum défavorable est le suivant :</w:t>
      </w:r>
      <w:r w:rsidRPr="009068C7">
        <w:rPr>
          <w:i/>
        </w:rPr>
        <w:t xml:space="preserve"> </w:t>
      </w:r>
    </w:p>
    <w:p w:rsidR="00B87A2D" w:rsidRPr="009068C7" w:rsidRDefault="00B87A2D" w:rsidP="00873A8D">
      <w:pPr>
        <w:pStyle w:val="SingleTxtG"/>
        <w:tabs>
          <w:tab w:val="left" w:pos="2835"/>
        </w:tabs>
        <w:ind w:left="2835" w:hanging="567"/>
        <w:rPr>
          <w:szCs w:val="24"/>
        </w:rPr>
      </w:pPr>
      <w:r w:rsidRPr="006856FC">
        <w:rPr>
          <w:szCs w:val="24"/>
        </w:rPr>
        <w:t>a)</w:t>
      </w:r>
      <w:r w:rsidRPr="006856FC">
        <w:rPr>
          <w:szCs w:val="24"/>
        </w:rPr>
        <w:tab/>
      </w:r>
      <w:r w:rsidRPr="009068C7">
        <w:rPr>
          <w:szCs w:val="24"/>
        </w:rPr>
        <w:t xml:space="preserve">Pour les valeurs maximales au point B50L : 170 cd équivalant à 20 % et 255 cd équivalant à 30 % ; </w:t>
      </w:r>
    </w:p>
    <w:p w:rsidR="00B87A2D" w:rsidRPr="009068C7" w:rsidRDefault="00B87A2D" w:rsidP="00873A8D">
      <w:pPr>
        <w:pStyle w:val="SingleTxtG"/>
        <w:tabs>
          <w:tab w:val="left" w:pos="2835"/>
        </w:tabs>
        <w:ind w:left="2835" w:hanging="567"/>
        <w:rPr>
          <w:szCs w:val="24"/>
        </w:rPr>
      </w:pPr>
      <w:r w:rsidRPr="006856FC">
        <w:rPr>
          <w:szCs w:val="24"/>
        </w:rPr>
        <w:t>b)</w:t>
      </w:r>
      <w:r w:rsidRPr="006856FC">
        <w:rPr>
          <w:szCs w:val="24"/>
        </w:rPr>
        <w:tab/>
      </w:r>
      <w:r w:rsidRPr="009068C7">
        <w:rPr>
          <w:szCs w:val="24"/>
        </w:rPr>
        <w:t>Pour les valeurs maximales dans la zone III et sur le segment BLL :  255 cd équivalant à 20 % et 380 cd équivalant à 30 % ;</w:t>
      </w:r>
    </w:p>
    <w:p w:rsidR="00B87A2D" w:rsidRPr="009068C7" w:rsidRDefault="0016777B" w:rsidP="00873A8D">
      <w:pPr>
        <w:pStyle w:val="SingleTxtG"/>
        <w:tabs>
          <w:tab w:val="left" w:pos="2835"/>
        </w:tabs>
        <w:ind w:left="2835" w:hanging="567"/>
        <w:rPr>
          <w:szCs w:val="24"/>
        </w:rPr>
      </w:pPr>
      <w:r w:rsidRPr="006856FC">
        <w:rPr>
          <w:szCs w:val="24"/>
        </w:rPr>
        <w:t>c)</w:t>
      </w:r>
      <w:r w:rsidRPr="006856FC">
        <w:rPr>
          <w:szCs w:val="24"/>
        </w:rPr>
        <w:tab/>
      </w:r>
      <w:r w:rsidRPr="009068C7">
        <w:rPr>
          <w:szCs w:val="24"/>
        </w:rPr>
        <w:t xml:space="preserve">Pour les valeurs maximales sur </w:t>
      </w:r>
      <w:r>
        <w:rPr>
          <w:szCs w:val="24"/>
        </w:rPr>
        <w:t xml:space="preserve">les segments E, F1, F2 et F3 : </w:t>
      </w:r>
      <w:r w:rsidRPr="009068C7">
        <w:rPr>
          <w:szCs w:val="24"/>
        </w:rPr>
        <w:t>170 cd équivalant à 20 % et 255 cd équivalant à 30 % ;</w:t>
      </w:r>
    </w:p>
    <w:p w:rsidR="00B87A2D" w:rsidRPr="00873A8D" w:rsidRDefault="00B87A2D" w:rsidP="00873A8D">
      <w:pPr>
        <w:pStyle w:val="SingleTxtG"/>
        <w:tabs>
          <w:tab w:val="left" w:pos="2835"/>
        </w:tabs>
        <w:ind w:left="2835" w:hanging="567"/>
        <w:rPr>
          <w:b/>
        </w:rPr>
      </w:pPr>
      <w:r w:rsidRPr="00873A8D">
        <w:t>d)</w:t>
      </w:r>
      <w:r w:rsidRPr="00873A8D">
        <w:tab/>
        <w:t>Pour les valeurs minimales aux points BR, P, S 50 + S 50LL + S 50RR et S 100 + S 100LL + S 100RR, et à ceux prescrits à la note </w:t>
      </w:r>
      <w:r w:rsidRPr="00873A8D">
        <w:rPr>
          <w:u w:val="single"/>
          <w:vertAlign w:val="superscript"/>
        </w:rPr>
        <w:t>4</w:t>
      </w:r>
      <w:r w:rsidRPr="00873A8D">
        <w:rPr>
          <w:vertAlign w:val="superscript"/>
        </w:rPr>
        <w:t>/</w:t>
      </w:r>
      <w:r w:rsidRPr="00873A8D">
        <w:t xml:space="preserve"> du tableau 1 de l’annexe 3 du présent Règlement (B50L, BR, BRR et BLL) : la moitié de la valeur requise, équivalant à 20 %, et les trois quarts de la valeur requise, équivalant à 30 %</w:t>
      </w:r>
      <w:r w:rsidR="00B94C6C">
        <w:t>.</w:t>
      </w:r>
      <w:r w:rsidRPr="00873A8D">
        <w:t> ».</w:t>
      </w:r>
    </w:p>
    <w:p w:rsidR="00B87A2D" w:rsidRPr="009068C7" w:rsidRDefault="00B87A2D" w:rsidP="00B71A83">
      <w:pPr>
        <w:pStyle w:val="SingleTxtG"/>
        <w:keepNext/>
      </w:pPr>
      <w:r w:rsidRPr="00873A8D">
        <w:rPr>
          <w:i/>
        </w:rPr>
        <w:t>Paragraphe 2.4</w:t>
      </w:r>
      <w:r w:rsidRPr="009068C7">
        <w:t>, lire :</w:t>
      </w:r>
    </w:p>
    <w:p w:rsidR="00B87A2D" w:rsidRPr="007E2B9C" w:rsidRDefault="00B87A2D" w:rsidP="00B71A83">
      <w:pPr>
        <w:pStyle w:val="SingleTxtG"/>
        <w:keepNext/>
      </w:pPr>
      <w:r w:rsidRPr="007E2B9C">
        <w:t>« 2.4</w:t>
      </w:r>
      <w:r w:rsidRPr="007E2B9C">
        <w:tab/>
      </w:r>
      <w:r w:rsidRPr="007E2B9C">
        <w:tab/>
        <w:t>Caractéristiques photométriques mesurées et relevées</w:t>
      </w:r>
    </w:p>
    <w:p w:rsidR="00B87A2D" w:rsidRPr="007E2B9C" w:rsidRDefault="00B87A2D" w:rsidP="00873A8D">
      <w:pPr>
        <w:widowControl w:val="0"/>
        <w:spacing w:after="120"/>
        <w:ind w:left="2268" w:right="1134"/>
        <w:jc w:val="both"/>
        <w:rPr>
          <w:szCs w:val="24"/>
        </w:rPr>
      </w:pPr>
      <w:r w:rsidRPr="007E2B9C">
        <w:rPr>
          <w:szCs w:val="24"/>
        </w:rPr>
        <w:t>Les projecteurs prélevés sont soumis à des mesures photométriques aux points prévus par le Règlement, en limitant le relevé :</w:t>
      </w:r>
    </w:p>
    <w:p w:rsidR="00B87A2D" w:rsidRPr="007E2B9C" w:rsidRDefault="00B87A2D" w:rsidP="00873A8D">
      <w:pPr>
        <w:widowControl w:val="0"/>
        <w:spacing w:after="120"/>
        <w:ind w:left="2268" w:right="1134"/>
        <w:jc w:val="both"/>
        <w:rPr>
          <w:szCs w:val="24"/>
        </w:rPr>
      </w:pPr>
      <w:r w:rsidRPr="007E2B9C">
        <w:rPr>
          <w:szCs w:val="24"/>
        </w:rPr>
        <w:t>aux points I</w:t>
      </w:r>
      <w:r w:rsidRPr="007E2B9C">
        <w:rPr>
          <w:szCs w:val="24"/>
          <w:vertAlign w:val="subscript"/>
        </w:rPr>
        <w:t>max</w:t>
      </w:r>
      <w:r w:rsidRPr="007E2B9C">
        <w:rPr>
          <w:szCs w:val="24"/>
        </w:rPr>
        <w:t>, HV</w:t>
      </w:r>
      <w:r w:rsidRPr="007E2B9C">
        <w:rPr>
          <w:szCs w:val="24"/>
          <w:vertAlign w:val="superscript"/>
        </w:rPr>
        <w:t>1</w:t>
      </w:r>
      <w:r w:rsidRPr="007E2B9C">
        <w:rPr>
          <w:szCs w:val="24"/>
        </w:rPr>
        <w:t>, “ HL ” et “ HR ”</w:t>
      </w:r>
      <w:r w:rsidRPr="007E2B9C">
        <w:rPr>
          <w:szCs w:val="24"/>
          <w:vertAlign w:val="superscript"/>
        </w:rPr>
        <w:t>2</w:t>
      </w:r>
      <w:r w:rsidRPr="007E2B9C">
        <w:rPr>
          <w:szCs w:val="24"/>
        </w:rPr>
        <w:t xml:space="preserve"> dans le cas du faisceau-route,</w:t>
      </w:r>
    </w:p>
    <w:p w:rsidR="00B87A2D" w:rsidRPr="00873A8D" w:rsidRDefault="00B87A2D" w:rsidP="00873A8D">
      <w:pPr>
        <w:widowControl w:val="0"/>
        <w:spacing w:after="120"/>
        <w:ind w:left="2268" w:right="1134"/>
        <w:jc w:val="both"/>
      </w:pPr>
      <w:r w:rsidRPr="00873A8D">
        <w:t>Aux points B50L, 50L 50V, 75R le cas échéant, et 25LL dans le cas du fa</w:t>
      </w:r>
      <w:r w:rsidR="00873A8D">
        <w:t>isceau de croisement (voir fig. </w:t>
      </w:r>
      <w:r w:rsidRPr="00873A8D">
        <w:t>1 à l’annexe 3). ».</w:t>
      </w:r>
    </w:p>
    <w:p w:rsidR="00B87A2D" w:rsidRPr="007E2B9C" w:rsidRDefault="00B87A2D" w:rsidP="00B71A83">
      <w:pPr>
        <w:pStyle w:val="SingleTxtG"/>
        <w:keepNext/>
      </w:pPr>
      <w:r w:rsidRPr="00873A8D">
        <w:rPr>
          <w:i/>
        </w:rPr>
        <w:t>Annexe 6</w:t>
      </w:r>
      <w:r>
        <w:t>,</w:t>
      </w:r>
    </w:p>
    <w:p w:rsidR="00B87A2D" w:rsidRPr="007E2B9C" w:rsidRDefault="00B87A2D" w:rsidP="00B71A83">
      <w:pPr>
        <w:pStyle w:val="SingleTxtG"/>
        <w:keepNext/>
      </w:pPr>
      <w:r w:rsidRPr="00873A8D">
        <w:rPr>
          <w:i/>
        </w:rPr>
        <w:t>Paragraphe 2.1.2.1</w:t>
      </w:r>
      <w:r w:rsidRPr="007E2B9C">
        <w:t>, lire :</w:t>
      </w:r>
    </w:p>
    <w:p w:rsidR="00B87A2D" w:rsidRPr="007E2B9C" w:rsidRDefault="00B87A2D" w:rsidP="00B71A83">
      <w:pPr>
        <w:pStyle w:val="SingleTxtG"/>
        <w:keepNext/>
      </w:pPr>
      <w:r w:rsidRPr="007E2B9C">
        <w:t>« 2.1.2.1</w:t>
      </w:r>
      <w:r w:rsidRPr="007E2B9C">
        <w:tab/>
        <w:t>Méthode</w:t>
      </w:r>
    </w:p>
    <w:p w:rsidR="00B87A2D" w:rsidRPr="00C12B42" w:rsidRDefault="00B87A2D" w:rsidP="00873A8D">
      <w:pPr>
        <w:widowControl w:val="0"/>
        <w:spacing w:after="120"/>
        <w:ind w:left="2268" w:right="1134"/>
        <w:jc w:val="both"/>
      </w:pPr>
      <w:r>
        <w:tab/>
        <w:t>Les échantillons subissent des mesures photométriques avant et après essai.</w:t>
      </w:r>
    </w:p>
    <w:p w:rsidR="00B87A2D" w:rsidRPr="00C12B42" w:rsidRDefault="00B87A2D" w:rsidP="00873A8D">
      <w:pPr>
        <w:widowControl w:val="0"/>
        <w:spacing w:after="120"/>
        <w:ind w:left="2268" w:right="1134"/>
        <w:jc w:val="both"/>
      </w:pPr>
      <w:r>
        <w:tab/>
        <w:t>Les mesures photométriques sont faites conformément à l’annexe 9 du présent Règlement, aux points suivants :</w:t>
      </w:r>
    </w:p>
    <w:p w:rsidR="00B87A2D" w:rsidRPr="00C12B42" w:rsidRDefault="00B87A2D" w:rsidP="00873A8D">
      <w:pPr>
        <w:widowControl w:val="0"/>
        <w:spacing w:after="120"/>
        <w:ind w:left="2268" w:right="1134"/>
        <w:jc w:val="both"/>
      </w:pPr>
      <w:r>
        <w:tab/>
        <w:t>B50L et 50V pour un faisceau de croisement de classe C ;</w:t>
      </w:r>
    </w:p>
    <w:p w:rsidR="00B87A2D" w:rsidRPr="00C12B42" w:rsidRDefault="00B87A2D" w:rsidP="00873A8D">
      <w:pPr>
        <w:widowControl w:val="0"/>
        <w:spacing w:after="120"/>
        <w:ind w:left="2268" w:right="1134"/>
        <w:jc w:val="both"/>
        <w:rPr>
          <w:i/>
        </w:rPr>
      </w:pPr>
      <w:r>
        <w:tab/>
        <w:t>I</w:t>
      </w:r>
      <w:r>
        <w:rPr>
          <w:vertAlign w:val="subscript"/>
        </w:rPr>
        <w:t>max</w:t>
      </w:r>
      <w:r>
        <w:t xml:space="preserve"> pour le faisceau de route du système. ».</w:t>
      </w:r>
    </w:p>
    <w:p w:rsidR="00B87A2D" w:rsidRPr="007E2B9C" w:rsidRDefault="00B87A2D" w:rsidP="00B71A83">
      <w:pPr>
        <w:pStyle w:val="SingleTxtG"/>
        <w:keepNext/>
        <w:rPr>
          <w:szCs w:val="24"/>
        </w:rPr>
      </w:pPr>
      <w:r w:rsidRPr="007E2B9C">
        <w:rPr>
          <w:i/>
          <w:szCs w:val="24"/>
        </w:rPr>
        <w:t>Paragraphe 2.6.1.2</w:t>
      </w:r>
      <w:r w:rsidRPr="007E2B9C">
        <w:rPr>
          <w:szCs w:val="24"/>
        </w:rPr>
        <w:t>, lire :</w:t>
      </w:r>
    </w:p>
    <w:p w:rsidR="00B87A2D" w:rsidRPr="007E2B9C" w:rsidRDefault="00B87A2D" w:rsidP="00B71A83">
      <w:pPr>
        <w:pStyle w:val="SingleTxtG"/>
        <w:keepNext/>
        <w:rPr>
          <w:szCs w:val="24"/>
        </w:rPr>
      </w:pPr>
      <w:r w:rsidRPr="007E2B9C">
        <w:rPr>
          <w:szCs w:val="24"/>
        </w:rPr>
        <w:t>« 2.6.1.2</w:t>
      </w:r>
      <w:r w:rsidRPr="007E2B9C">
        <w:rPr>
          <w:szCs w:val="24"/>
        </w:rPr>
        <w:tab/>
        <w:t>Résultats</w:t>
      </w:r>
    </w:p>
    <w:p w:rsidR="00B87A2D" w:rsidRPr="007E2B9C" w:rsidRDefault="00B87A2D" w:rsidP="00873A8D">
      <w:pPr>
        <w:widowControl w:val="0"/>
        <w:spacing w:after="120"/>
        <w:ind w:left="2268" w:right="1134"/>
        <w:jc w:val="both"/>
        <w:rPr>
          <w:szCs w:val="24"/>
        </w:rPr>
      </w:pPr>
      <w:r w:rsidRPr="007E2B9C">
        <w:rPr>
          <w:szCs w:val="24"/>
        </w:rPr>
        <w:tab/>
        <w:t>Après essai, les résultats des mesures photométriques sur un système ou l</w:t>
      </w:r>
      <w:r>
        <w:rPr>
          <w:szCs w:val="24"/>
        </w:rPr>
        <w:t>’</w:t>
      </w:r>
      <w:r w:rsidRPr="007E2B9C">
        <w:rPr>
          <w:szCs w:val="24"/>
        </w:rPr>
        <w:t>une ou plusieurs de ses parties, exécutées conformément au présent Règlement</w:t>
      </w:r>
      <w:r w:rsidR="00B94C6C">
        <w:rPr>
          <w:szCs w:val="24"/>
        </w:rPr>
        <w:t>,</w:t>
      </w:r>
      <w:r w:rsidRPr="007E2B9C">
        <w:rPr>
          <w:szCs w:val="24"/>
        </w:rPr>
        <w:t xml:space="preserve"> ne doivent pas être supérieurs à 30 % des valeurs limites prescrites au point B50L et ni inférieurs à 90 % de la valeur limite prescrite au point 75R, le cas échéant. ».</w:t>
      </w:r>
    </w:p>
    <w:p w:rsidR="00B87A2D" w:rsidRPr="007E2B9C" w:rsidRDefault="00B87A2D" w:rsidP="00B71A83">
      <w:pPr>
        <w:pStyle w:val="SingleTxtG"/>
        <w:keepNext/>
      </w:pPr>
      <w:r w:rsidRPr="00873A8D">
        <w:rPr>
          <w:i/>
        </w:rPr>
        <w:t>Annexe 7, paragraphe 1.2.1.1</w:t>
      </w:r>
      <w:r w:rsidRPr="007E2B9C">
        <w:t xml:space="preserve">, lire : </w:t>
      </w:r>
    </w:p>
    <w:p w:rsidR="00B87A2D" w:rsidRPr="007E2B9C" w:rsidRDefault="00B87A2D" w:rsidP="00B71A83">
      <w:pPr>
        <w:pStyle w:val="SingleTxtG"/>
        <w:keepNext/>
        <w:ind w:left="2268" w:hanging="1134"/>
      </w:pPr>
      <w:r w:rsidRPr="007E2B9C">
        <w:t>« 1.2.1.1</w:t>
      </w:r>
      <w:r w:rsidRPr="007E2B9C">
        <w:tab/>
        <w:t>Pour les valeurs ci-dessous du faisceau de croisement et de ses modes, l</w:t>
      </w:r>
      <w:r>
        <w:t>’</w:t>
      </w:r>
      <w:r w:rsidRPr="007E2B9C">
        <w:t xml:space="preserve">écart maximum défavorable est le suivant : </w:t>
      </w:r>
    </w:p>
    <w:p w:rsidR="00B87A2D" w:rsidRPr="007E2B9C" w:rsidRDefault="00B87A2D" w:rsidP="00873A8D">
      <w:pPr>
        <w:pStyle w:val="SingleTxtG"/>
        <w:ind w:left="2835" w:hanging="567"/>
      </w:pPr>
      <w:r w:rsidRPr="007E2B9C">
        <w:t>a)</w:t>
      </w:r>
      <w:r w:rsidRPr="007E2B9C">
        <w:tab/>
        <w:t>Pour les valeurs maximales au point B50L : 170 cd équivalant à 20 </w:t>
      </w:r>
      <w:r>
        <w:t>% et 255 cd équivalant à 30 % ;</w:t>
      </w:r>
    </w:p>
    <w:p w:rsidR="00B87A2D" w:rsidRPr="007E2B9C" w:rsidRDefault="00B87A2D" w:rsidP="00873A8D">
      <w:pPr>
        <w:pStyle w:val="SingleTxtG"/>
        <w:ind w:left="2835" w:hanging="567"/>
        <w:rPr>
          <w:szCs w:val="24"/>
        </w:rPr>
      </w:pPr>
      <w:r w:rsidRPr="007E2B9C">
        <w:rPr>
          <w:szCs w:val="24"/>
        </w:rPr>
        <w:t>b)</w:t>
      </w:r>
      <w:r w:rsidRPr="007E2B9C">
        <w:rPr>
          <w:szCs w:val="24"/>
        </w:rPr>
        <w:tab/>
        <w:t>Pour les valeurs maximales dans la zo</w:t>
      </w:r>
      <w:r>
        <w:rPr>
          <w:szCs w:val="24"/>
        </w:rPr>
        <w:t xml:space="preserve">ne III et sur le segment BLL : </w:t>
      </w:r>
      <w:r w:rsidRPr="007E2B9C">
        <w:rPr>
          <w:szCs w:val="24"/>
        </w:rPr>
        <w:t>255 cd équivalant à 20 % et 380 cd équivalant à 30 % ;</w:t>
      </w:r>
    </w:p>
    <w:p w:rsidR="00B87A2D" w:rsidRPr="007E2B9C" w:rsidRDefault="0016777B" w:rsidP="00873A8D">
      <w:pPr>
        <w:pStyle w:val="SingleTxtG"/>
        <w:ind w:left="2835" w:hanging="567"/>
        <w:rPr>
          <w:szCs w:val="24"/>
        </w:rPr>
      </w:pPr>
      <w:r w:rsidRPr="007E2B9C">
        <w:rPr>
          <w:szCs w:val="24"/>
        </w:rPr>
        <w:t>c)</w:t>
      </w:r>
      <w:r w:rsidRPr="007E2B9C">
        <w:rPr>
          <w:szCs w:val="24"/>
        </w:rPr>
        <w:tab/>
        <w:t xml:space="preserve">Pour les valeurs maximales sur </w:t>
      </w:r>
      <w:r>
        <w:rPr>
          <w:szCs w:val="24"/>
        </w:rPr>
        <w:t>les segments E, F1, F2 et F3 :</w:t>
      </w:r>
      <w:r w:rsidRPr="007E2B9C">
        <w:rPr>
          <w:szCs w:val="24"/>
        </w:rPr>
        <w:t xml:space="preserve"> 170 cd équivalant à 20 % et 255 cd équivalant à 30 % ;</w:t>
      </w:r>
    </w:p>
    <w:p w:rsidR="00B87A2D" w:rsidRPr="007E2B9C" w:rsidRDefault="00B87A2D" w:rsidP="00873A8D">
      <w:pPr>
        <w:pStyle w:val="SingleTxtG"/>
        <w:ind w:left="2835" w:hanging="567"/>
        <w:rPr>
          <w:szCs w:val="24"/>
        </w:rPr>
      </w:pPr>
      <w:r w:rsidRPr="007E2B9C">
        <w:rPr>
          <w:szCs w:val="24"/>
        </w:rPr>
        <w:t>d)</w:t>
      </w:r>
      <w:r w:rsidRPr="007E2B9C">
        <w:rPr>
          <w:szCs w:val="24"/>
        </w:rPr>
        <w:tab/>
        <w:t>Pour les valeurs minimales aux points BR, P, S 50 + S 50LL + S 50RR et S 100 + S 100LL + S 100RR, et à ceux prescrits à la note </w:t>
      </w:r>
      <w:r w:rsidRPr="007E2B9C">
        <w:rPr>
          <w:szCs w:val="24"/>
          <w:u w:val="single"/>
          <w:vertAlign w:val="superscript"/>
        </w:rPr>
        <w:t>4</w:t>
      </w:r>
      <w:r w:rsidRPr="007E2B9C">
        <w:rPr>
          <w:szCs w:val="24"/>
          <w:vertAlign w:val="superscript"/>
        </w:rPr>
        <w:t>/</w:t>
      </w:r>
      <w:r w:rsidRPr="007E2B9C">
        <w:rPr>
          <w:szCs w:val="24"/>
        </w:rPr>
        <w:t xml:space="preserve"> du tableau 1 de l</w:t>
      </w:r>
      <w:r>
        <w:rPr>
          <w:szCs w:val="24"/>
        </w:rPr>
        <w:t>’</w:t>
      </w:r>
      <w:r w:rsidRPr="007E2B9C">
        <w:rPr>
          <w:szCs w:val="24"/>
        </w:rPr>
        <w:t>annexe 3 du présent Règlement (B50L, BR, BRR et BLL) : la moitié de la valeur requise, équivalant à 20 %, et les</w:t>
      </w:r>
      <w:r w:rsidR="00CF359E">
        <w:rPr>
          <w:szCs w:val="24"/>
        </w:rPr>
        <w:t xml:space="preserve"> </w:t>
      </w:r>
      <w:r w:rsidRPr="007E2B9C">
        <w:rPr>
          <w:szCs w:val="24"/>
        </w:rPr>
        <w:t>trois quarts de la valeur requise, équivalant à 30 %. ».</w:t>
      </w:r>
    </w:p>
    <w:p w:rsidR="00B87A2D" w:rsidRPr="00AF2205" w:rsidRDefault="00B87A2D" w:rsidP="00B87A2D">
      <w:pPr>
        <w:spacing w:before="240"/>
        <w:ind w:left="1134" w:right="1134"/>
        <w:jc w:val="center"/>
        <w:rPr>
          <w:u w:val="single"/>
        </w:rPr>
      </w:pPr>
      <w:r>
        <w:rPr>
          <w:u w:val="single"/>
        </w:rPr>
        <w:tab/>
      </w:r>
      <w:r>
        <w:rPr>
          <w:u w:val="single"/>
        </w:rPr>
        <w:tab/>
      </w:r>
      <w:r>
        <w:rPr>
          <w:u w:val="single"/>
        </w:rPr>
        <w:tab/>
      </w:r>
    </w:p>
    <w:sectPr w:rsidR="00B87A2D" w:rsidRPr="00AF2205" w:rsidSect="00B87A2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A2" w:rsidRDefault="00EE62A2" w:rsidP="00F95C08">
      <w:pPr>
        <w:spacing w:line="240" w:lineRule="auto"/>
      </w:pPr>
    </w:p>
  </w:endnote>
  <w:endnote w:type="continuationSeparator" w:id="0">
    <w:p w:rsidR="00EE62A2" w:rsidRPr="00AC3823" w:rsidRDefault="00EE62A2" w:rsidP="00AC3823">
      <w:pPr>
        <w:pStyle w:val="Footer"/>
      </w:pPr>
    </w:p>
  </w:endnote>
  <w:endnote w:type="continuationNotice" w:id="1">
    <w:p w:rsidR="00EE62A2" w:rsidRDefault="00EE62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2D" w:rsidRPr="00B87A2D" w:rsidRDefault="00B87A2D" w:rsidP="00B87A2D">
    <w:pPr>
      <w:pStyle w:val="Footer"/>
      <w:tabs>
        <w:tab w:val="right" w:pos="9638"/>
      </w:tabs>
    </w:pPr>
    <w:r w:rsidRPr="00B87A2D">
      <w:rPr>
        <w:b/>
        <w:sz w:val="18"/>
      </w:rPr>
      <w:fldChar w:fldCharType="begin"/>
    </w:r>
    <w:r w:rsidRPr="00B87A2D">
      <w:rPr>
        <w:b/>
        <w:sz w:val="18"/>
      </w:rPr>
      <w:instrText xml:space="preserve"> PAGE  \* MERGEFORMAT </w:instrText>
    </w:r>
    <w:r w:rsidRPr="00B87A2D">
      <w:rPr>
        <w:b/>
        <w:sz w:val="18"/>
      </w:rPr>
      <w:fldChar w:fldCharType="separate"/>
    </w:r>
    <w:r w:rsidR="006463A2">
      <w:rPr>
        <w:b/>
        <w:noProof/>
        <w:sz w:val="18"/>
      </w:rPr>
      <w:t>2</w:t>
    </w:r>
    <w:r w:rsidRPr="00B87A2D">
      <w:rPr>
        <w:b/>
        <w:sz w:val="18"/>
      </w:rPr>
      <w:fldChar w:fldCharType="end"/>
    </w:r>
    <w:r>
      <w:rPr>
        <w:b/>
        <w:sz w:val="18"/>
      </w:rPr>
      <w:tab/>
    </w:r>
    <w:r>
      <w:t>GE.16-22506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2D" w:rsidRPr="00B87A2D" w:rsidRDefault="00B87A2D" w:rsidP="00B87A2D">
    <w:pPr>
      <w:pStyle w:val="Footer"/>
      <w:tabs>
        <w:tab w:val="right" w:pos="9638"/>
      </w:tabs>
      <w:rPr>
        <w:b/>
        <w:sz w:val="18"/>
      </w:rPr>
    </w:pPr>
    <w:r>
      <w:t>GE.16-22506</w:t>
    </w:r>
    <w:r>
      <w:tab/>
    </w:r>
    <w:r w:rsidRPr="00B87A2D">
      <w:rPr>
        <w:b/>
        <w:sz w:val="18"/>
      </w:rPr>
      <w:fldChar w:fldCharType="begin"/>
    </w:r>
    <w:r w:rsidRPr="00B87A2D">
      <w:rPr>
        <w:b/>
        <w:sz w:val="18"/>
      </w:rPr>
      <w:instrText xml:space="preserve"> PAGE  \* MERGEFORMAT </w:instrText>
    </w:r>
    <w:r w:rsidRPr="00B87A2D">
      <w:rPr>
        <w:b/>
        <w:sz w:val="18"/>
      </w:rPr>
      <w:fldChar w:fldCharType="separate"/>
    </w:r>
    <w:r w:rsidR="006463A2">
      <w:rPr>
        <w:b/>
        <w:noProof/>
        <w:sz w:val="18"/>
      </w:rPr>
      <w:t>7</w:t>
    </w:r>
    <w:r w:rsidRPr="00B87A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87A2D" w:rsidRDefault="00B87A2D" w:rsidP="00B87A2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FBF9E49" wp14:editId="052824C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16-22506  (F)</w:t>
    </w:r>
    <w:r w:rsidR="00760D7C">
      <w:rPr>
        <w:sz w:val="20"/>
      </w:rPr>
      <w:t xml:space="preserve">    120117    170117</w:t>
    </w:r>
    <w:r>
      <w:rPr>
        <w:sz w:val="20"/>
      </w:rPr>
      <w:br/>
    </w:r>
    <w:r w:rsidRPr="00B87A2D">
      <w:rPr>
        <w:rFonts w:ascii="C39T30Lfz" w:hAnsi="C39T30Lfz"/>
        <w:sz w:val="56"/>
      </w:rPr>
      <w:t></w:t>
    </w:r>
    <w:r w:rsidRPr="00B87A2D">
      <w:rPr>
        <w:rFonts w:ascii="C39T30Lfz" w:hAnsi="C39T30Lfz"/>
        <w:sz w:val="56"/>
      </w:rPr>
      <w:t></w:t>
    </w:r>
    <w:r w:rsidRPr="00B87A2D">
      <w:rPr>
        <w:rFonts w:ascii="C39T30Lfz" w:hAnsi="C39T30Lfz"/>
        <w:sz w:val="56"/>
      </w:rPr>
      <w:t></w:t>
    </w:r>
    <w:r w:rsidRPr="00B87A2D">
      <w:rPr>
        <w:rFonts w:ascii="C39T30Lfz" w:hAnsi="C39T30Lfz"/>
        <w:sz w:val="56"/>
      </w:rPr>
      <w:t></w:t>
    </w:r>
    <w:r w:rsidRPr="00B87A2D">
      <w:rPr>
        <w:rFonts w:ascii="C39T30Lfz" w:hAnsi="C39T30Lfz"/>
        <w:sz w:val="56"/>
      </w:rPr>
      <w:t></w:t>
    </w:r>
    <w:r w:rsidRPr="00B87A2D">
      <w:rPr>
        <w:rFonts w:ascii="C39T30Lfz" w:hAnsi="C39T30Lfz"/>
        <w:sz w:val="56"/>
      </w:rPr>
      <w:t></w:t>
    </w:r>
    <w:r w:rsidRPr="00B87A2D">
      <w:rPr>
        <w:rFonts w:ascii="C39T30Lfz" w:hAnsi="C39T30Lfz"/>
        <w:sz w:val="56"/>
      </w:rPr>
      <w:t></w:t>
    </w:r>
    <w:r w:rsidRPr="00B87A2D">
      <w:rPr>
        <w:rFonts w:ascii="C39T30Lfz" w:hAnsi="C39T30Lfz"/>
        <w:sz w:val="56"/>
      </w:rPr>
      <w:t></w:t>
    </w:r>
    <w:r w:rsidRPr="00B87A2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A2" w:rsidRPr="00AC3823" w:rsidRDefault="00EE62A2" w:rsidP="00AC3823">
      <w:pPr>
        <w:pStyle w:val="Footer"/>
        <w:tabs>
          <w:tab w:val="right" w:pos="2155"/>
        </w:tabs>
        <w:spacing w:after="80" w:line="240" w:lineRule="atLeast"/>
        <w:ind w:left="680"/>
        <w:rPr>
          <w:u w:val="single"/>
        </w:rPr>
      </w:pPr>
      <w:r>
        <w:rPr>
          <w:u w:val="single"/>
        </w:rPr>
        <w:tab/>
      </w:r>
    </w:p>
  </w:footnote>
  <w:footnote w:type="continuationSeparator" w:id="0">
    <w:p w:rsidR="00EE62A2" w:rsidRPr="00AC3823" w:rsidRDefault="00EE62A2" w:rsidP="00AC3823">
      <w:pPr>
        <w:pStyle w:val="Footer"/>
        <w:tabs>
          <w:tab w:val="right" w:pos="2155"/>
        </w:tabs>
        <w:spacing w:after="80" w:line="240" w:lineRule="atLeast"/>
        <w:ind w:left="680"/>
        <w:rPr>
          <w:u w:val="single"/>
        </w:rPr>
      </w:pPr>
      <w:r>
        <w:rPr>
          <w:u w:val="single"/>
        </w:rPr>
        <w:tab/>
      </w:r>
    </w:p>
  </w:footnote>
  <w:footnote w:type="continuationNotice" w:id="1">
    <w:p w:rsidR="00EE62A2" w:rsidRPr="00AC3823" w:rsidRDefault="00EE62A2">
      <w:pPr>
        <w:spacing w:line="240" w:lineRule="auto"/>
        <w:rPr>
          <w:sz w:val="2"/>
          <w:szCs w:val="2"/>
        </w:rPr>
      </w:pPr>
    </w:p>
  </w:footnote>
  <w:footnote w:id="2">
    <w:p w:rsidR="00B87A2D" w:rsidRPr="00706101" w:rsidRDefault="00B87A2D" w:rsidP="00760D7C">
      <w:pPr>
        <w:pStyle w:val="FootnoteText"/>
      </w:pPr>
      <w:r>
        <w:tab/>
      </w:r>
      <w:r>
        <w:rPr>
          <w:sz w:val="20"/>
        </w:rPr>
        <w:t>*</w:t>
      </w:r>
      <w:r>
        <w:rPr>
          <w:sz w:val="20"/>
        </w:rPr>
        <w:tab/>
      </w:r>
      <w:r>
        <w:t>Conformément au programme de travail du Comité des transports intérieurs pour la période 2016</w:t>
      </w:r>
      <w:r w:rsidR="00760D7C">
        <w:noBreakHyphen/>
      </w:r>
      <w:r w:rsidR="00823963">
        <w:t>2017 (ECE/TRANS/254, par. </w:t>
      </w:r>
      <w:r>
        <w:t>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2D" w:rsidRPr="00B87A2D" w:rsidRDefault="00B87A2D">
    <w:pPr>
      <w:pStyle w:val="Header"/>
    </w:pPr>
    <w:r>
      <w:t>ECE/TRANS/WP.29/2017/41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2D" w:rsidRPr="00B87A2D" w:rsidRDefault="00B87A2D" w:rsidP="00B87A2D">
    <w:pPr>
      <w:pStyle w:val="Header"/>
      <w:jc w:val="right"/>
    </w:pPr>
    <w:r>
      <w:t>ECE/TRANS/WP.29/2017/41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073EF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A2"/>
    <w:rsid w:val="00013E11"/>
    <w:rsid w:val="00017F94"/>
    <w:rsid w:val="00023842"/>
    <w:rsid w:val="000334F9"/>
    <w:rsid w:val="0007796D"/>
    <w:rsid w:val="000B7790"/>
    <w:rsid w:val="00111F2F"/>
    <w:rsid w:val="0014365E"/>
    <w:rsid w:val="00143C66"/>
    <w:rsid w:val="0016777B"/>
    <w:rsid w:val="00176178"/>
    <w:rsid w:val="001F525A"/>
    <w:rsid w:val="00223272"/>
    <w:rsid w:val="0024779E"/>
    <w:rsid w:val="00257168"/>
    <w:rsid w:val="002744B8"/>
    <w:rsid w:val="002832AC"/>
    <w:rsid w:val="002D0075"/>
    <w:rsid w:val="002D7C93"/>
    <w:rsid w:val="00305801"/>
    <w:rsid w:val="003916DE"/>
    <w:rsid w:val="003A362B"/>
    <w:rsid w:val="00441C3B"/>
    <w:rsid w:val="00446FE5"/>
    <w:rsid w:val="00452396"/>
    <w:rsid w:val="004837D8"/>
    <w:rsid w:val="004E468C"/>
    <w:rsid w:val="00514D3B"/>
    <w:rsid w:val="005505B7"/>
    <w:rsid w:val="00557EE6"/>
    <w:rsid w:val="00573BE5"/>
    <w:rsid w:val="00586ED3"/>
    <w:rsid w:val="00596AA9"/>
    <w:rsid w:val="005D7B8E"/>
    <w:rsid w:val="006463A2"/>
    <w:rsid w:val="0071601D"/>
    <w:rsid w:val="00760D7C"/>
    <w:rsid w:val="007A62E6"/>
    <w:rsid w:val="007F20FA"/>
    <w:rsid w:val="0080684C"/>
    <w:rsid w:val="00823963"/>
    <w:rsid w:val="00871C75"/>
    <w:rsid w:val="00873A8D"/>
    <w:rsid w:val="008776DC"/>
    <w:rsid w:val="009705C8"/>
    <w:rsid w:val="009C1CF4"/>
    <w:rsid w:val="009F6B74"/>
    <w:rsid w:val="00A30353"/>
    <w:rsid w:val="00AC3823"/>
    <w:rsid w:val="00AE323C"/>
    <w:rsid w:val="00AF0CB5"/>
    <w:rsid w:val="00B00181"/>
    <w:rsid w:val="00B00B0D"/>
    <w:rsid w:val="00B71A83"/>
    <w:rsid w:val="00B765F7"/>
    <w:rsid w:val="00B87A2D"/>
    <w:rsid w:val="00B94C6C"/>
    <w:rsid w:val="00BA0CA9"/>
    <w:rsid w:val="00BC2997"/>
    <w:rsid w:val="00C02897"/>
    <w:rsid w:val="00CF359E"/>
    <w:rsid w:val="00D32C9E"/>
    <w:rsid w:val="00D3439C"/>
    <w:rsid w:val="00DB1831"/>
    <w:rsid w:val="00DD3BFD"/>
    <w:rsid w:val="00DF6678"/>
    <w:rsid w:val="00E85C74"/>
    <w:rsid w:val="00EA6547"/>
    <w:rsid w:val="00EE62A2"/>
    <w:rsid w:val="00EF2E22"/>
    <w:rsid w:val="00F35BAF"/>
    <w:rsid w:val="00F660DF"/>
    <w:rsid w:val="00F94664"/>
    <w:rsid w:val="00F9573C"/>
    <w:rsid w:val="00F95C08"/>
    <w:rsid w:val="00FF782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C21C94-AF86-4192-B17C-1B4860CE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87A2D"/>
    <w:rPr>
      <w:rFonts w:ascii="Times New Roman" w:hAnsi="Times New Roman" w:cs="Times New Roman"/>
      <w:sz w:val="20"/>
      <w:szCs w:val="20"/>
      <w:lang w:eastAsia="en-US"/>
    </w:rPr>
  </w:style>
  <w:style w:type="character" w:customStyle="1" w:styleId="HChGChar">
    <w:name w:val="_ H _Ch_G Char"/>
    <w:link w:val="HChG"/>
    <w:rsid w:val="00B87A2D"/>
    <w:rPr>
      <w:rFonts w:ascii="Times New Roman" w:hAnsi="Times New Roman" w:cs="Times New Roman"/>
      <w:b/>
      <w:sz w:val="28"/>
      <w:szCs w:val="20"/>
      <w:lang w:eastAsia="en-US"/>
    </w:rPr>
  </w:style>
  <w:style w:type="paragraph" w:customStyle="1" w:styleId="para">
    <w:name w:val="para"/>
    <w:basedOn w:val="Normal"/>
    <w:link w:val="paraChar"/>
    <w:qFormat/>
    <w:rsid w:val="00B87A2D"/>
    <w:pPr>
      <w:kinsoku/>
      <w:overflowPunct/>
      <w:autoSpaceDE/>
      <w:autoSpaceDN/>
      <w:adjustRightInd/>
      <w:snapToGrid/>
      <w:spacing w:after="120"/>
      <w:ind w:left="2268" w:right="1134" w:hanging="1134"/>
      <w:jc w:val="both"/>
    </w:pPr>
  </w:style>
  <w:style w:type="character" w:customStyle="1" w:styleId="paraChar">
    <w:name w:val="para Char"/>
    <w:link w:val="para"/>
    <w:rsid w:val="00B87A2D"/>
    <w:rPr>
      <w:rFonts w:ascii="Times New Roman" w:hAnsi="Times New Roman" w:cs="Times New Roman"/>
      <w:sz w:val="20"/>
      <w:szCs w:val="20"/>
      <w:lang w:eastAsia="en-US"/>
    </w:rPr>
  </w:style>
  <w:style w:type="character" w:styleId="Strong">
    <w:name w:val="Strong"/>
    <w:uiPriority w:val="22"/>
    <w:qFormat/>
    <w:rsid w:val="00B87A2D"/>
    <w:rPr>
      <w:b/>
      <w:bCs/>
    </w:rPr>
  </w:style>
  <w:style w:type="paragraph" w:customStyle="1" w:styleId="Regelungneu2-0times">
    <w:name w:val="Regelung neu 2-0 times"/>
    <w:basedOn w:val="Normal"/>
    <w:rsid w:val="00B87A2D"/>
    <w:pPr>
      <w:tabs>
        <w:tab w:val="left" w:pos="2268"/>
      </w:tabs>
      <w:suppressAutoHyphens w:val="0"/>
      <w:kinsoku/>
      <w:overflowPunct/>
      <w:autoSpaceDE/>
      <w:autoSpaceDN/>
      <w:adjustRightInd/>
      <w:snapToGrid/>
      <w:spacing w:after="120" w:line="240" w:lineRule="auto"/>
      <w:ind w:left="1134" w:hanging="1134"/>
    </w:pPr>
    <w:rPr>
      <w:rFonts w:eastAsia="SimSun"/>
      <w:sz w:val="24"/>
    </w:rPr>
  </w:style>
  <w:style w:type="paragraph" w:customStyle="1" w:styleId="rxxxannex">
    <w:name w:val="rxxx annex"/>
    <w:basedOn w:val="Normal"/>
    <w:rsid w:val="00B87A2D"/>
    <w:pPr>
      <w:kinsoku/>
      <w:overflowPunct/>
      <w:autoSpaceDE/>
      <w:autoSpaceDN/>
      <w:adjustRightInd/>
      <w:snapToGrid/>
      <w:spacing w:after="120" w:line="240" w:lineRule="auto"/>
    </w:pPr>
    <w:rPr>
      <w:rFonts w:eastAsia="SimSun"/>
      <w:sz w:val="24"/>
    </w:rPr>
  </w:style>
  <w:style w:type="paragraph" w:customStyle="1" w:styleId="rxxxannex1">
    <w:name w:val="rxxx annex (1)"/>
    <w:basedOn w:val="rxxxannex"/>
    <w:rsid w:val="00B87A2D"/>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1872</Words>
  <Characters>10671</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ECE/TRANS/WP.29/2017/41</vt:lpstr>
      <vt:lpstr>ECE/TRANS/WP.29/2017/41</vt:lpstr>
    </vt:vector>
  </TitlesOfParts>
  <Company>DCM</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ECE/TRANS/WP.29/2017/41</dc:title>
  <dc:subject>final</dc:subject>
  <dc:creator>Beaunee</dc:creator>
  <cp:keywords/>
  <dc:description/>
  <cp:lastModifiedBy>Lucille</cp:lastModifiedBy>
  <cp:revision>2</cp:revision>
  <cp:lastPrinted>2017-01-17T10:20:00Z</cp:lastPrinted>
  <dcterms:created xsi:type="dcterms:W3CDTF">2017-01-18T10:50:00Z</dcterms:created>
  <dcterms:modified xsi:type="dcterms:W3CDTF">2017-01-18T10:50:00Z</dcterms:modified>
</cp:coreProperties>
</file>