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41003">
              <w:fldChar w:fldCharType="begin"/>
            </w:r>
            <w:r w:rsidR="00341003">
              <w:instrText xml:space="preserve"> FILLIN  "Введите символ после ЕCE/"  \* MERGEFORMAT </w:instrText>
            </w:r>
            <w:r w:rsidR="00341003">
              <w:fldChar w:fldCharType="separate"/>
            </w:r>
            <w:r w:rsidR="00AB78F2">
              <w:t>TRANS/WP.29/2017/39</w:t>
            </w:r>
            <w:r w:rsidR="0034100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4100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AB78F2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4100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B78F2" w:rsidRPr="00AB78F2" w:rsidRDefault="00AB78F2" w:rsidP="00AB78F2">
      <w:pPr>
        <w:spacing w:before="120" w:after="120" w:line="240" w:lineRule="auto"/>
        <w:rPr>
          <w:sz w:val="28"/>
          <w:szCs w:val="28"/>
        </w:rPr>
      </w:pPr>
      <w:r w:rsidRPr="00AB78F2">
        <w:rPr>
          <w:sz w:val="28"/>
          <w:szCs w:val="28"/>
        </w:rPr>
        <w:t>Комитет по внутреннему транспорту</w:t>
      </w:r>
    </w:p>
    <w:p w:rsidR="00AB78F2" w:rsidRPr="00AB78F2" w:rsidRDefault="00AB78F2" w:rsidP="00AB78F2">
      <w:pPr>
        <w:spacing w:after="120" w:line="240" w:lineRule="auto"/>
        <w:rPr>
          <w:b/>
          <w:bCs/>
          <w:sz w:val="24"/>
          <w:szCs w:val="24"/>
        </w:rPr>
      </w:pPr>
      <w:r w:rsidRPr="00AB78F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B78F2">
        <w:rPr>
          <w:b/>
          <w:bCs/>
          <w:sz w:val="24"/>
          <w:szCs w:val="24"/>
        </w:rPr>
        <w:br/>
        <w:t>в области транспортных средств</w:t>
      </w:r>
    </w:p>
    <w:p w:rsidR="00AB78F2" w:rsidRPr="00AB78F2" w:rsidRDefault="00AB78F2" w:rsidP="00AB78F2">
      <w:pPr>
        <w:spacing w:line="240" w:lineRule="auto"/>
        <w:rPr>
          <w:b/>
        </w:rPr>
      </w:pPr>
      <w:r w:rsidRPr="00AB78F2">
        <w:rPr>
          <w:b/>
          <w:bCs/>
        </w:rPr>
        <w:t>171-я сессия</w:t>
      </w:r>
    </w:p>
    <w:p w:rsidR="00AB78F2" w:rsidRPr="00AB78F2" w:rsidRDefault="00AB78F2" w:rsidP="00AB78F2">
      <w:pPr>
        <w:spacing w:line="240" w:lineRule="auto"/>
      </w:pPr>
      <w:r w:rsidRPr="00AB78F2">
        <w:t>Женева, 14–17 марта 2017 года</w:t>
      </w:r>
    </w:p>
    <w:p w:rsidR="00AB78F2" w:rsidRPr="00AB78F2" w:rsidRDefault="00AB78F2" w:rsidP="00AB78F2">
      <w:pPr>
        <w:spacing w:line="240" w:lineRule="auto"/>
      </w:pPr>
      <w:r w:rsidRPr="00AB78F2">
        <w:t>Пункт 4.9.21 предварительной повестки дня</w:t>
      </w:r>
    </w:p>
    <w:p w:rsidR="00A658DB" w:rsidRPr="00AB78F2" w:rsidRDefault="00AB78F2" w:rsidP="00AB78F2">
      <w:pPr>
        <w:spacing w:line="240" w:lineRule="auto"/>
      </w:pPr>
      <w:r w:rsidRPr="00AB78F2">
        <w:rPr>
          <w:b/>
          <w:bCs/>
        </w:rPr>
        <w:t xml:space="preserve">Соглашение 1958 года: </w:t>
      </w:r>
      <w:r w:rsidRPr="00AB78F2">
        <w:rPr>
          <w:b/>
          <w:bCs/>
        </w:rPr>
        <w:br/>
        <w:t xml:space="preserve">Рассмотрение проектов поправок </w:t>
      </w:r>
      <w:r w:rsidRPr="00AB78F2">
        <w:rPr>
          <w:b/>
          <w:bCs/>
        </w:rPr>
        <w:br/>
        <w:t>к существующим правилам, представленных GRE</w:t>
      </w:r>
    </w:p>
    <w:p w:rsidR="00AB78F2" w:rsidRPr="00AB78F2" w:rsidRDefault="00AB78F2" w:rsidP="00AB78F2">
      <w:pPr>
        <w:pStyle w:val="HChGR"/>
      </w:pPr>
      <w:r w:rsidRPr="00A609C0">
        <w:tab/>
      </w:r>
      <w:r w:rsidRPr="00A609C0">
        <w:tab/>
      </w:r>
      <w:r w:rsidRPr="00AB78F2">
        <w:t xml:space="preserve">Предложение по дополнению 7 к поправкам серии 01 к Правилам № 113 (фары, испускающие симметричный луч ближнего света) </w:t>
      </w:r>
    </w:p>
    <w:p w:rsidR="00AB78F2" w:rsidRPr="00AB78F2" w:rsidRDefault="00AB78F2" w:rsidP="00AB78F2">
      <w:pPr>
        <w:pStyle w:val="H1GR"/>
      </w:pPr>
      <w:r w:rsidRPr="00A609C0">
        <w:tab/>
      </w:r>
      <w:r w:rsidRPr="00A609C0">
        <w:tab/>
      </w:r>
      <w:r w:rsidRPr="00AB78F2">
        <w:t xml:space="preserve">Представлено Рабочей </w:t>
      </w:r>
      <w:r w:rsidR="00197B68">
        <w:t>группой по вопросам освещения и </w:t>
      </w:r>
      <w:r w:rsidRPr="00AB78F2">
        <w:t>световой сигнализации</w:t>
      </w:r>
      <w:r w:rsidRPr="00AB78F2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AB78F2" w:rsidRPr="00AB78F2" w:rsidRDefault="00AB78F2" w:rsidP="00AB78F2">
      <w:pPr>
        <w:pStyle w:val="SingleTxtGR"/>
      </w:pPr>
      <w:r w:rsidRPr="00197B68">
        <w:tab/>
      </w:r>
      <w:r w:rsidRPr="00AB78F2">
        <w:t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 и 15). В его основу положены документы</w:t>
      </w:r>
      <w:r w:rsidRPr="00197B68">
        <w:t xml:space="preserve"> </w:t>
      </w:r>
      <w:r w:rsidRPr="00197B68">
        <w:rPr>
          <w:lang w:val="en-GB"/>
        </w:rPr>
        <w:t>ECE</w:t>
      </w:r>
      <w:r w:rsidRPr="00197B68">
        <w:t>/</w:t>
      </w:r>
      <w:r w:rsidRPr="00197B68">
        <w:rPr>
          <w:lang w:val="en-GB"/>
        </w:rPr>
        <w:t>TRANS</w:t>
      </w:r>
      <w:r w:rsidRPr="00197B68">
        <w:t>/</w:t>
      </w:r>
      <w:r w:rsidRPr="00197B68">
        <w:rPr>
          <w:lang w:val="en-GB"/>
        </w:rPr>
        <w:t>WP</w:t>
      </w:r>
      <w:r w:rsidRPr="00197B68">
        <w:t xml:space="preserve">.29/2013/93, </w:t>
      </w:r>
      <w:r w:rsidRPr="00197B68">
        <w:rPr>
          <w:lang w:val="en-GB"/>
        </w:rPr>
        <w:t>ECE</w:t>
      </w:r>
      <w:r w:rsidRPr="00197B68">
        <w:t>/</w:t>
      </w:r>
      <w:r w:rsidRPr="00197B68">
        <w:rPr>
          <w:lang w:val="en-GB"/>
        </w:rPr>
        <w:t>TRANS</w:t>
      </w:r>
      <w:r w:rsidRPr="00197B68">
        <w:t>/</w:t>
      </w:r>
      <w:r w:rsidRPr="00197B68">
        <w:rPr>
          <w:lang w:val="en-GB"/>
        </w:rPr>
        <w:t>WP</w:t>
      </w:r>
      <w:r w:rsidRPr="00197B68">
        <w:t>.29/</w:t>
      </w:r>
      <w:r w:rsidRPr="00197B68">
        <w:rPr>
          <w:lang w:val="en-GB"/>
        </w:rPr>
        <w:t>GRE</w:t>
      </w:r>
      <w:r w:rsidRPr="00197B68">
        <w:t>/2013/55/</w:t>
      </w:r>
      <w:r w:rsidRPr="00197B68">
        <w:rPr>
          <w:lang w:val="en-GB"/>
        </w:rPr>
        <w:t>Rev</w:t>
      </w:r>
      <w:r w:rsidRPr="00197B68">
        <w:t xml:space="preserve">.1, </w:t>
      </w:r>
      <w:r w:rsidRPr="00197B68">
        <w:rPr>
          <w:spacing w:val="0"/>
          <w:w w:val="100"/>
          <w:lang w:val="en-GB"/>
        </w:rPr>
        <w:t>ECE</w:t>
      </w:r>
      <w:r w:rsidRPr="00197B68">
        <w:rPr>
          <w:spacing w:val="0"/>
          <w:w w:val="100"/>
        </w:rPr>
        <w:t>/</w:t>
      </w:r>
      <w:r w:rsidRPr="00197B68">
        <w:rPr>
          <w:spacing w:val="0"/>
          <w:w w:val="100"/>
          <w:lang w:val="en-GB"/>
        </w:rPr>
        <w:t>TRANS</w:t>
      </w:r>
      <w:r w:rsidRPr="00197B68">
        <w:rPr>
          <w:spacing w:val="0"/>
          <w:w w:val="100"/>
        </w:rPr>
        <w:t>/</w:t>
      </w:r>
      <w:r w:rsidRPr="00197B68">
        <w:rPr>
          <w:spacing w:val="0"/>
          <w:w w:val="100"/>
          <w:lang w:val="en-GB"/>
        </w:rPr>
        <w:t>WP</w:t>
      </w:r>
      <w:r w:rsidRPr="00197B68">
        <w:rPr>
          <w:spacing w:val="0"/>
          <w:w w:val="100"/>
        </w:rPr>
        <w:t>.29/</w:t>
      </w:r>
      <w:r w:rsidRPr="00197B68">
        <w:rPr>
          <w:spacing w:val="0"/>
          <w:w w:val="100"/>
          <w:lang w:val="en-GB"/>
        </w:rPr>
        <w:t>GRE</w:t>
      </w:r>
      <w:r w:rsidRPr="00197B68">
        <w:rPr>
          <w:spacing w:val="0"/>
          <w:w w:val="100"/>
        </w:rPr>
        <w:t xml:space="preserve">/2014/3, </w:t>
      </w:r>
      <w:r w:rsidRPr="00197B68">
        <w:rPr>
          <w:spacing w:val="0"/>
          <w:w w:val="100"/>
          <w:lang w:val="en-GB"/>
        </w:rPr>
        <w:t>ECE</w:t>
      </w:r>
      <w:r w:rsidRPr="00197B68">
        <w:rPr>
          <w:spacing w:val="0"/>
          <w:w w:val="100"/>
        </w:rPr>
        <w:t>/</w:t>
      </w:r>
      <w:r w:rsidRPr="00197B68">
        <w:rPr>
          <w:spacing w:val="0"/>
          <w:w w:val="100"/>
          <w:lang w:val="en-GB"/>
        </w:rPr>
        <w:t>TRANS</w:t>
      </w:r>
      <w:r w:rsidRPr="00197B68">
        <w:rPr>
          <w:spacing w:val="0"/>
          <w:w w:val="100"/>
        </w:rPr>
        <w:t>/</w:t>
      </w:r>
      <w:r w:rsidRPr="00197B68">
        <w:rPr>
          <w:spacing w:val="0"/>
          <w:w w:val="100"/>
          <w:lang w:val="en-GB"/>
        </w:rPr>
        <w:t>WP</w:t>
      </w:r>
      <w:r w:rsidRPr="00197B68">
        <w:rPr>
          <w:spacing w:val="0"/>
          <w:w w:val="100"/>
        </w:rPr>
        <w:t>.29/</w:t>
      </w:r>
      <w:r w:rsidRPr="00197B68">
        <w:rPr>
          <w:spacing w:val="0"/>
          <w:w w:val="100"/>
          <w:lang w:val="en-GB"/>
        </w:rPr>
        <w:t>GRE</w:t>
      </w:r>
      <w:r w:rsidRPr="00197B68">
        <w:rPr>
          <w:spacing w:val="0"/>
          <w:w w:val="100"/>
        </w:rPr>
        <w:t>/2016/14, приложение</w:t>
      </w:r>
      <w:r w:rsidR="00197B68" w:rsidRPr="00197B68">
        <w:rPr>
          <w:spacing w:val="0"/>
          <w:w w:val="100"/>
        </w:rPr>
        <w:t> </w:t>
      </w:r>
      <w:r w:rsidRPr="00197B68">
        <w:rPr>
          <w:spacing w:val="0"/>
          <w:w w:val="100"/>
          <w:lang w:val="en-GB"/>
        </w:rPr>
        <w:t>IV</w:t>
      </w:r>
      <w:r w:rsidRPr="00AB78F2">
        <w:t xml:space="preserve"> </w:t>
      </w:r>
      <w:r w:rsidR="00197B68">
        <w:t>к </w:t>
      </w:r>
      <w:r w:rsidRPr="00AB78F2">
        <w:t xml:space="preserve">документу </w:t>
      </w:r>
      <w:r w:rsidRPr="00AB78F2">
        <w:rPr>
          <w:lang w:val="en-GB"/>
        </w:rPr>
        <w:t>ECE</w:t>
      </w:r>
      <w:r w:rsidRPr="00AB78F2">
        <w:t>/</w:t>
      </w:r>
      <w:r w:rsidRPr="00AB78F2">
        <w:rPr>
          <w:lang w:val="en-GB"/>
        </w:rPr>
        <w:t>TRANS</w:t>
      </w:r>
      <w:r w:rsidRPr="00AB78F2">
        <w:t>/</w:t>
      </w:r>
      <w:r w:rsidRPr="00AB78F2">
        <w:rPr>
          <w:lang w:val="en-GB"/>
        </w:rPr>
        <w:t>WP</w:t>
      </w:r>
      <w:r w:rsidRPr="00AB78F2">
        <w:t>.29/</w:t>
      </w:r>
      <w:r w:rsidRPr="00AB78F2">
        <w:rPr>
          <w:lang w:val="en-GB"/>
        </w:rPr>
        <w:t>GRE</w:t>
      </w:r>
      <w:r w:rsidRPr="00AB78F2">
        <w:t xml:space="preserve">/75 и </w:t>
      </w:r>
      <w:r w:rsidRPr="00AB78F2">
        <w:rPr>
          <w:lang w:val="en-GB"/>
        </w:rPr>
        <w:t>ECE</w:t>
      </w:r>
      <w:r w:rsidRPr="00AB78F2">
        <w:t>/</w:t>
      </w:r>
      <w:r w:rsidRPr="00AB78F2">
        <w:rPr>
          <w:lang w:val="en-GB"/>
        </w:rPr>
        <w:t>TRANS</w:t>
      </w:r>
      <w:r w:rsidRPr="00AB78F2">
        <w:t>/</w:t>
      </w:r>
      <w:r w:rsidRPr="00AB78F2">
        <w:rPr>
          <w:lang w:val="en-GB"/>
        </w:rPr>
        <w:t>WP</w:t>
      </w:r>
      <w:r w:rsidRPr="00AB78F2">
        <w:t>.29/</w:t>
      </w:r>
      <w:r w:rsidRPr="00AB78F2">
        <w:rPr>
          <w:lang w:val="en-GB"/>
        </w:rPr>
        <w:t>GRE</w:t>
      </w:r>
      <w:r w:rsidRPr="00AB78F2">
        <w:t>/2016/32.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AB78F2" w:rsidRDefault="00AB78F2">
      <w:pPr>
        <w:spacing w:line="240" w:lineRule="auto"/>
      </w:pPr>
      <w:r>
        <w:br w:type="page"/>
      </w:r>
    </w:p>
    <w:p w:rsidR="00B54ABA" w:rsidRPr="00B54ABA" w:rsidRDefault="00CF4D0E" w:rsidP="00CF4D0E">
      <w:pPr>
        <w:pStyle w:val="HChGR"/>
      </w:pPr>
      <w:r w:rsidRPr="00A609C0">
        <w:lastRenderedPageBreak/>
        <w:tab/>
      </w:r>
      <w:r w:rsidRPr="00A609C0">
        <w:tab/>
      </w:r>
      <w:r w:rsidR="00B54ABA" w:rsidRPr="00CF4D0E">
        <w:rPr>
          <w:spacing w:val="2"/>
        </w:rPr>
        <w:t xml:space="preserve">Дополнение 7 к </w:t>
      </w:r>
      <w:r w:rsidRPr="00CF4D0E">
        <w:rPr>
          <w:spacing w:val="2"/>
        </w:rPr>
        <w:t>поправкам серии 01 к Правилам №</w:t>
      </w:r>
      <w:r w:rsidRPr="00CF4D0E">
        <w:rPr>
          <w:spacing w:val="2"/>
          <w:lang w:val="en-US"/>
        </w:rPr>
        <w:t> </w:t>
      </w:r>
      <w:r w:rsidR="00B54ABA" w:rsidRPr="00CF4D0E">
        <w:rPr>
          <w:spacing w:val="2"/>
        </w:rPr>
        <w:t>113</w:t>
      </w:r>
      <w:r w:rsidR="00B54ABA" w:rsidRPr="00B54ABA">
        <w:t xml:space="preserve"> (фары, испускающие симметричный луч ближнего света) </w:t>
      </w:r>
    </w:p>
    <w:p w:rsidR="00B54ABA" w:rsidRPr="00B54ABA" w:rsidRDefault="00B54ABA" w:rsidP="00B54ABA">
      <w:pPr>
        <w:pStyle w:val="SingleTxtGR"/>
        <w:rPr>
          <w:i/>
          <w:iCs/>
        </w:rPr>
      </w:pPr>
      <w:r w:rsidRPr="00B54ABA">
        <w:rPr>
          <w:i/>
        </w:rPr>
        <w:t>Пункт 1.3.1</w:t>
      </w:r>
      <w:r w:rsidRPr="00B54ABA">
        <w:t xml:space="preserve"> изменить следующим образом:</w:t>
      </w:r>
    </w:p>
    <w:p w:rsidR="00B54ABA" w:rsidRPr="00B54ABA" w:rsidRDefault="00B54ABA" w:rsidP="00750030">
      <w:pPr>
        <w:pStyle w:val="SingleTxtGR"/>
        <w:tabs>
          <w:tab w:val="clear" w:pos="1701"/>
        </w:tabs>
        <w:rPr>
          <w:iCs/>
        </w:rPr>
      </w:pPr>
      <w:r w:rsidRPr="00B54ABA">
        <w:t>«1.3.1</w:t>
      </w:r>
      <w:r w:rsidRPr="00B54ABA">
        <w:tab/>
        <w:t>торговое наименование или товарный знак:</w:t>
      </w:r>
    </w:p>
    <w:p w:rsidR="00B54ABA" w:rsidRPr="00B54ABA" w:rsidRDefault="00B54ABA" w:rsidP="00750030">
      <w:pPr>
        <w:pStyle w:val="SingleTxtGR"/>
        <w:tabs>
          <w:tab w:val="clear" w:pos="1701"/>
        </w:tabs>
        <w:ind w:left="2835" w:hanging="1701"/>
        <w:rPr>
          <w:bCs/>
          <w:iCs/>
        </w:rPr>
      </w:pPr>
      <w:r w:rsidRPr="00B54ABA">
        <w:rPr>
          <w:b/>
        </w:rPr>
        <w:tab/>
      </w:r>
      <w:r w:rsidRPr="00B54ABA">
        <w:rPr>
          <w:bCs/>
          <w:lang w:val="en-US"/>
        </w:rPr>
        <w:t>a</w:t>
      </w:r>
      <w:r w:rsidRPr="00B54ABA">
        <w:rPr>
          <w:bCs/>
        </w:rPr>
        <w:t>)</w:t>
      </w:r>
      <w:r w:rsidRPr="00B54ABA">
        <w:rPr>
          <w:b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B54ABA" w:rsidRPr="00B54ABA" w:rsidRDefault="00B54ABA" w:rsidP="00750030">
      <w:pPr>
        <w:pStyle w:val="SingleTxtGR"/>
        <w:tabs>
          <w:tab w:val="clear" w:pos="1701"/>
        </w:tabs>
        <w:ind w:left="2835" w:hanging="1701"/>
        <w:rPr>
          <w:iCs/>
        </w:rPr>
      </w:pPr>
      <w:r w:rsidRPr="00B54ABA">
        <w:rPr>
          <w:bCs/>
        </w:rPr>
        <w:tab/>
      </w:r>
      <w:r w:rsidRPr="00B54ABA">
        <w:rPr>
          <w:bCs/>
          <w:lang w:val="en-US"/>
        </w:rPr>
        <w:t>b</w:t>
      </w:r>
      <w:r w:rsidRPr="00B54ABA">
        <w:rPr>
          <w:bCs/>
        </w:rPr>
        <w:t>)</w:t>
      </w:r>
      <w:r w:rsidRPr="00B54ABA">
        <w:rPr>
          <w:b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типа».</w:t>
      </w:r>
    </w:p>
    <w:p w:rsidR="00B54ABA" w:rsidRPr="00B54ABA" w:rsidRDefault="00B54ABA" w:rsidP="00B54ABA">
      <w:pPr>
        <w:pStyle w:val="SingleTxtGR"/>
      </w:pPr>
      <w:r w:rsidRPr="00B54ABA">
        <w:rPr>
          <w:i/>
          <w:iCs/>
        </w:rPr>
        <w:t>Включить новый пункт 2.4</w:t>
      </w:r>
      <w:r w:rsidRPr="00B54ABA">
        <w:t xml:space="preserve"> следующего содержания: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268" w:hanging="1134"/>
      </w:pPr>
      <w:r>
        <w:t>«</w:t>
      </w:r>
      <w:r w:rsidR="00B54ABA" w:rsidRPr="00B54ABA">
        <w:t>2.4</w:t>
      </w:r>
      <w:r w:rsidR="00B54ABA" w:rsidRPr="00B54ABA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B54ABA" w:rsidRPr="00B54ABA" w:rsidRDefault="00B54ABA" w:rsidP="00750030">
      <w:pPr>
        <w:pStyle w:val="SingleTxtGR"/>
        <w:tabs>
          <w:tab w:val="clear" w:pos="1701"/>
        </w:tabs>
        <w:ind w:left="2268" w:hanging="1134"/>
      </w:pPr>
      <w:r w:rsidRPr="00B54ABA">
        <w:t>2.4.1</w:t>
      </w:r>
      <w:r w:rsidRPr="00B54ABA">
        <w:tab/>
        <w:t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</w:t>
      </w:r>
    </w:p>
    <w:p w:rsidR="00B54ABA" w:rsidRPr="00B54ABA" w:rsidRDefault="00B54ABA" w:rsidP="00750030">
      <w:pPr>
        <w:pStyle w:val="SingleTxtGR"/>
        <w:tabs>
          <w:tab w:val="clear" w:pos="1701"/>
        </w:tabs>
        <w:ind w:left="2268" w:hanging="1134"/>
      </w:pPr>
      <w:r w:rsidRPr="00B54ABA">
        <w:t>2.4.2</w:t>
      </w:r>
      <w:r w:rsidRPr="00B54ABA">
        <w:tab/>
        <w:t>два образца с новым торговым наименованием или товарным знаком либо соответствующие</w:t>
      </w:r>
      <w:r w:rsidR="00750030">
        <w:t xml:space="preserve"> документы»</w:t>
      </w:r>
      <w:r w:rsidRPr="00B54ABA">
        <w:t>.</w:t>
      </w:r>
    </w:p>
    <w:p w:rsidR="00B54ABA" w:rsidRPr="00B54ABA" w:rsidRDefault="00B54ABA" w:rsidP="00B54ABA">
      <w:pPr>
        <w:pStyle w:val="SingleTxtGR"/>
        <w:rPr>
          <w:i/>
          <w:iCs/>
        </w:rPr>
      </w:pPr>
      <w:r w:rsidRPr="00B54ABA">
        <w:rPr>
          <w:i/>
          <w:iCs/>
        </w:rPr>
        <w:t xml:space="preserve">Пункт 5 </w:t>
      </w:r>
      <w:r w:rsidRPr="00B54ABA">
        <w:t>изменить следующим образом:</w:t>
      </w:r>
    </w:p>
    <w:p w:rsidR="00B54ABA" w:rsidRPr="00B54ABA" w:rsidRDefault="00A609C0" w:rsidP="00A609C0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B54ABA" w:rsidRPr="00A609C0">
        <w:rPr>
          <w:b w:val="0"/>
          <w:sz w:val="20"/>
        </w:rPr>
        <w:t>«</w:t>
      </w:r>
      <w:r w:rsidR="00B54ABA" w:rsidRPr="00B54ABA">
        <w:t>5.</w:t>
      </w:r>
      <w:r w:rsidR="00B54ABA" w:rsidRPr="00B54ABA">
        <w:tab/>
      </w:r>
      <w:r>
        <w:rPr>
          <w:lang w:val="en-US"/>
        </w:rPr>
        <w:tab/>
      </w:r>
      <w:r w:rsidR="00B54ABA" w:rsidRPr="00B54ABA">
        <w:t>Общие технические требования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268" w:hanging="1134"/>
      </w:pPr>
      <w:r>
        <w:tab/>
      </w:r>
      <w:r w:rsidR="00B54ABA" w:rsidRPr="00B54ABA"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53, 74 или 86 и серий поправок к ним, действующих на момент подачи заявки на официальное утверждение типа огня.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268" w:hanging="1134"/>
      </w:pPr>
      <w:r>
        <w:tab/>
      </w:r>
      <w:r w:rsidR="00B54ABA" w:rsidRPr="00B54ABA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B54ABA" w:rsidRPr="00B54ABA" w:rsidRDefault="00B54ABA" w:rsidP="00750030">
      <w:pPr>
        <w:pStyle w:val="SingleTxtGR"/>
        <w:tabs>
          <w:tab w:val="clear" w:pos="1701"/>
        </w:tabs>
      </w:pPr>
      <w:r w:rsidRPr="00B54ABA">
        <w:t>5.1</w:t>
      </w:r>
      <w:r w:rsidRPr="00B54ABA">
        <w:tab/>
        <w:t>…</w:t>
      </w:r>
      <w:r w:rsidR="00750030">
        <w:t>»</w:t>
      </w:r>
    </w:p>
    <w:p w:rsidR="00B54ABA" w:rsidRPr="00B54ABA" w:rsidRDefault="00B54ABA" w:rsidP="00B54ABA">
      <w:pPr>
        <w:pStyle w:val="SingleTxtGR"/>
      </w:pPr>
      <w:r w:rsidRPr="00B54ABA">
        <w:rPr>
          <w:i/>
        </w:rPr>
        <w:t xml:space="preserve">Пункт 9.1 </w:t>
      </w:r>
      <w:r w:rsidRPr="00B54ABA">
        <w:t>изменить следующим образом: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268" w:hanging="1134"/>
      </w:pPr>
      <w:r>
        <w:t>«</w:t>
      </w:r>
      <w:r w:rsidR="00B54ABA" w:rsidRPr="00B54ABA">
        <w:t>9.1</w:t>
      </w:r>
      <w:r w:rsidR="00B54ABA" w:rsidRPr="00B54ABA">
        <w:tab/>
        <w:t>Фары изготавливают таким образом, чтобы они соответствовали типу, официально утвержденному на основании настоящих Правил.</w:t>
      </w:r>
    </w:p>
    <w:p w:rsidR="00B54ABA" w:rsidRPr="00B54ABA" w:rsidRDefault="00B54ABA" w:rsidP="00750030">
      <w:pPr>
        <w:pStyle w:val="SingleTxtGR"/>
        <w:tabs>
          <w:tab w:val="clear" w:pos="1701"/>
        </w:tabs>
        <w:ind w:left="2268" w:hanging="1134"/>
      </w:pPr>
      <w:r w:rsidRPr="00B54ABA">
        <w:tab/>
        <w:t>Проверку соответствия требованиям, изложенным в пунктах 6 и 7 выше, проводят следующим образом:</w:t>
      </w:r>
      <w:r w:rsidR="00750030">
        <w:t>»</w:t>
      </w:r>
    </w:p>
    <w:p w:rsidR="00B54ABA" w:rsidRPr="00B54ABA" w:rsidRDefault="00B54ABA" w:rsidP="00B54ABA">
      <w:pPr>
        <w:pStyle w:val="SingleTxtGR"/>
      </w:pPr>
      <w:r w:rsidRPr="00B54ABA">
        <w:rPr>
          <w:i/>
        </w:rPr>
        <w:t>Пункт 9.2 (прежний)</w:t>
      </w:r>
      <w:r w:rsidRPr="00B54ABA">
        <w:t>, изменить нумерацию на 9.1.1.</w:t>
      </w:r>
    </w:p>
    <w:p w:rsidR="00B54ABA" w:rsidRPr="00B54ABA" w:rsidRDefault="00B54ABA" w:rsidP="00B54ABA">
      <w:pPr>
        <w:pStyle w:val="SingleTxtGR"/>
      </w:pPr>
      <w:r w:rsidRPr="00B54ABA">
        <w:rPr>
          <w:i/>
        </w:rPr>
        <w:lastRenderedPageBreak/>
        <w:t>Пункт 9.3 (прежний)</w:t>
      </w:r>
      <w:r w:rsidRPr="00B54ABA">
        <w:t>, изменить нумерацию на 9.1.2.</w:t>
      </w:r>
    </w:p>
    <w:p w:rsidR="00B54ABA" w:rsidRPr="00B54ABA" w:rsidRDefault="00B54ABA" w:rsidP="00B54ABA">
      <w:pPr>
        <w:pStyle w:val="SingleTxtGR"/>
      </w:pPr>
      <w:r w:rsidRPr="00B54ABA">
        <w:rPr>
          <w:i/>
        </w:rPr>
        <w:t>Пункт 9.4 (прежний)</w:t>
      </w:r>
      <w:r w:rsidRPr="00B54ABA">
        <w:t>, изменить нумерацию на 9.2.</w:t>
      </w:r>
    </w:p>
    <w:p w:rsidR="00B54ABA" w:rsidRPr="00B54ABA" w:rsidRDefault="00B54ABA" w:rsidP="00B54ABA">
      <w:pPr>
        <w:pStyle w:val="SingleTxtGR"/>
      </w:pPr>
      <w:r w:rsidRPr="00B54ABA">
        <w:rPr>
          <w:i/>
        </w:rPr>
        <w:t>Пункт 9.5 (прежний)</w:t>
      </w:r>
      <w:r w:rsidRPr="00B54ABA">
        <w:t>, изменить нумерацию на 9.3.</w:t>
      </w:r>
    </w:p>
    <w:p w:rsidR="00B54ABA" w:rsidRPr="00B54ABA" w:rsidRDefault="00B54ABA" w:rsidP="00B54ABA">
      <w:pPr>
        <w:pStyle w:val="SingleTxtGR"/>
      </w:pPr>
      <w:r w:rsidRPr="00B54ABA">
        <w:rPr>
          <w:i/>
        </w:rPr>
        <w:t>Пункт 9.6 (прежний)</w:t>
      </w:r>
      <w:r w:rsidRPr="00B54ABA">
        <w:t>, изменить нумерацию на 9.4.</w:t>
      </w:r>
    </w:p>
    <w:p w:rsidR="00A609C0" w:rsidRPr="00A609C0" w:rsidRDefault="00B54ABA" w:rsidP="00B54ABA">
      <w:pPr>
        <w:pStyle w:val="SingleTxtGR"/>
        <w:rPr>
          <w:i/>
          <w:iCs/>
        </w:rPr>
      </w:pPr>
      <w:r w:rsidRPr="00B54ABA">
        <w:rPr>
          <w:i/>
          <w:iCs/>
        </w:rPr>
        <w:t>Приложение 4</w:t>
      </w:r>
    </w:p>
    <w:p w:rsidR="00B54ABA" w:rsidRPr="00B54ABA" w:rsidRDefault="00A609C0" w:rsidP="00B54ABA">
      <w:pPr>
        <w:pStyle w:val="SingleTxtGR"/>
      </w:pPr>
      <w:r w:rsidRPr="00B54ABA">
        <w:rPr>
          <w:i/>
          <w:iCs/>
        </w:rPr>
        <w:t xml:space="preserve">Пункт </w:t>
      </w:r>
      <w:r w:rsidR="00B54ABA" w:rsidRPr="00B54ABA">
        <w:rPr>
          <w:i/>
          <w:iCs/>
        </w:rPr>
        <w:t xml:space="preserve">1.2.1.1.2 </w:t>
      </w:r>
      <w:r w:rsidR="00B54ABA" w:rsidRPr="00B54ABA">
        <w:t>изменить следующим образом:</w:t>
      </w:r>
    </w:p>
    <w:p w:rsidR="00B54ABA" w:rsidRPr="00B54ABA" w:rsidRDefault="00B54ABA" w:rsidP="00750030">
      <w:pPr>
        <w:pStyle w:val="SingleTxtGR"/>
        <w:tabs>
          <w:tab w:val="clear" w:pos="1701"/>
        </w:tabs>
      </w:pPr>
      <w:r w:rsidRPr="00B54ABA">
        <w:t>«1.2.1.1.2</w:t>
      </w:r>
      <w:r w:rsidRPr="00B54ABA">
        <w:tab/>
        <w:t>Для фары с внешним рассеивателем из пластического материала:</w:t>
      </w:r>
    </w:p>
    <w:p w:rsidR="00B54ABA" w:rsidRPr="00750030" w:rsidRDefault="00750030" w:rsidP="00750030">
      <w:pPr>
        <w:pStyle w:val="SingleTxtGR"/>
        <w:tabs>
          <w:tab w:val="clear" w:pos="1701"/>
        </w:tabs>
        <w:ind w:left="2268" w:hanging="1134"/>
      </w:pPr>
      <w:r w:rsidRPr="00750030">
        <w:tab/>
      </w:r>
      <w:r w:rsidR="00B54ABA" w:rsidRPr="00750030">
        <w:t>смесь воды и загрязняющего вещества, наносимая на фару, состоит из: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835" w:hanging="1701"/>
      </w:pPr>
      <w:r>
        <w:tab/>
      </w:r>
      <w:r w:rsidR="00B54ABA" w:rsidRPr="00B54ABA">
        <w:t>а)</w:t>
      </w:r>
      <w:r w:rsidR="00B54ABA" w:rsidRPr="00B54ABA">
        <w:tab/>
        <w:t xml:space="preserve">9 частей по весу силикатного песка, размер частиц которого составляет 0−100 мкм, 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835" w:hanging="1701"/>
      </w:pPr>
      <w:r>
        <w:tab/>
      </w:r>
      <w:r w:rsidR="00B54ABA" w:rsidRPr="00B54ABA">
        <w:t>b)</w:t>
      </w:r>
      <w:r w:rsidR="00B54ABA" w:rsidRPr="00B54ABA">
        <w:tab/>
        <w:t>1 части по весу угольной пыли органического происхождения, полученной из буковой древесины, размер частиц которой составляет 0−100 мкм,</w:t>
      </w:r>
    </w:p>
    <w:p w:rsidR="00B54ABA" w:rsidRPr="00B54ABA" w:rsidRDefault="00750030" w:rsidP="00750030">
      <w:pPr>
        <w:pStyle w:val="SingleTxtGR"/>
        <w:tabs>
          <w:tab w:val="clear" w:pos="1701"/>
        </w:tabs>
      </w:pPr>
      <w:r>
        <w:tab/>
      </w:r>
      <w:r w:rsidR="00B54ABA" w:rsidRPr="00B54ABA">
        <w:t>с)</w:t>
      </w:r>
      <w:r w:rsidR="00B54ABA" w:rsidRPr="00B54ABA">
        <w:tab/>
        <w:t>0,2 части по весу NaCMC</w:t>
      </w:r>
      <w:r w:rsidR="00B54ABA" w:rsidRPr="00B54ABA">
        <w:rPr>
          <w:vertAlign w:val="superscript"/>
        </w:rPr>
        <w:t>3</w:t>
      </w:r>
      <w:r w:rsidR="00B54ABA" w:rsidRPr="00B54ABA">
        <w:t>,</w:t>
      </w:r>
    </w:p>
    <w:p w:rsidR="00B54ABA" w:rsidRPr="00B54ABA" w:rsidRDefault="00750030" w:rsidP="00750030">
      <w:pPr>
        <w:pStyle w:val="SingleTxtGR"/>
        <w:tabs>
          <w:tab w:val="clear" w:pos="1701"/>
        </w:tabs>
      </w:pPr>
      <w:r>
        <w:tab/>
      </w:r>
      <w:r w:rsidR="00B54ABA" w:rsidRPr="00B54ABA">
        <w:t>d)</w:t>
      </w:r>
      <w:r w:rsidR="00B54ABA" w:rsidRPr="00B54ABA">
        <w:tab/>
        <w:t>5 частей по весу хлорида натрия (чистотой 99%),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835" w:hanging="1701"/>
      </w:pPr>
      <w:r>
        <w:tab/>
      </w:r>
      <w:r w:rsidR="00B54ABA" w:rsidRPr="00B54ABA">
        <w:t>е)</w:t>
      </w:r>
      <w:r w:rsidR="00B54ABA" w:rsidRPr="00B54ABA">
        <w:tab/>
        <w:t xml:space="preserve">13 частей по весу дистиллированной воды, проводимость которой </w:t>
      </w:r>
      <w:r w:rsidR="00B54ABA" w:rsidRPr="00B54ABA">
        <w:rPr>
          <w:u w:val="single"/>
        </w:rPr>
        <w:t>&lt;</w:t>
      </w:r>
      <w:r w:rsidR="00B54ABA" w:rsidRPr="00B54ABA">
        <w:t xml:space="preserve"> 1 мСм/м, </w:t>
      </w:r>
    </w:p>
    <w:p w:rsidR="00B54ABA" w:rsidRPr="00B54ABA" w:rsidRDefault="00750030" w:rsidP="00750030">
      <w:pPr>
        <w:pStyle w:val="SingleTxtGR"/>
        <w:tabs>
          <w:tab w:val="clear" w:pos="1701"/>
        </w:tabs>
        <w:ind w:left="2835" w:hanging="1701"/>
      </w:pPr>
      <w:r>
        <w:tab/>
      </w:r>
      <w:r w:rsidR="00B54ABA" w:rsidRPr="00B54ABA">
        <w:t>f)</w:t>
      </w:r>
      <w:r w:rsidR="00B54ABA" w:rsidRPr="00B54ABA">
        <w:tab/>
        <w:t>2 ± 1 капли поверхностно-активного вещества</w:t>
      </w:r>
      <w:r w:rsidR="00B54ABA" w:rsidRPr="00B54ABA">
        <w:rPr>
          <w:vertAlign w:val="superscript"/>
        </w:rPr>
        <w:t>4</w:t>
      </w:r>
      <w:r w:rsidR="00B54ABA" w:rsidRPr="00B54ABA">
        <w:t>.</w:t>
      </w:r>
    </w:p>
    <w:p w:rsidR="00B54ABA" w:rsidRPr="00B54ABA" w:rsidRDefault="00B54ABA" w:rsidP="00750030">
      <w:pPr>
        <w:pStyle w:val="SingleTxtGR"/>
        <w:tabs>
          <w:tab w:val="clear" w:pos="1701"/>
        </w:tabs>
        <w:ind w:left="2268" w:hanging="1134"/>
      </w:pPr>
      <w:r w:rsidRPr="00B54ABA">
        <w:tab/>
        <w:t>Эта смесь должна быть подготовлена не ранее чем за 14 дней до испытания».</w:t>
      </w:r>
    </w:p>
    <w:p w:rsidR="00B54ABA" w:rsidRPr="00B54ABA" w:rsidRDefault="00B54ABA" w:rsidP="00B54ABA">
      <w:pPr>
        <w:pStyle w:val="SingleTxtGR"/>
      </w:pPr>
      <w:r w:rsidRPr="00B54ABA">
        <w:rPr>
          <w:i/>
          <w:iCs/>
        </w:rPr>
        <w:t>Пункт 2.2</w:t>
      </w:r>
      <w:r w:rsidRPr="00B54ABA">
        <w:t xml:space="preserve"> изменить следующим образом:</w:t>
      </w:r>
    </w:p>
    <w:p w:rsidR="00B54ABA" w:rsidRPr="00B54ABA" w:rsidRDefault="00B54ABA" w:rsidP="00B54ABA">
      <w:pPr>
        <w:pStyle w:val="SingleTxtGR"/>
      </w:pPr>
      <w:r w:rsidRPr="00B54ABA">
        <w:t>«2.2</w:t>
      </w:r>
      <w:r w:rsidRPr="00B54ABA">
        <w:tab/>
      </w:r>
      <w:r w:rsidRPr="00B54ABA">
        <w:tab/>
        <w:t>Результаты испытаний</w:t>
      </w:r>
    </w:p>
    <w:p w:rsidR="00AB78F2" w:rsidRPr="00B54ABA" w:rsidRDefault="00B54ABA" w:rsidP="00750030">
      <w:pPr>
        <w:pStyle w:val="SingleTxtGR"/>
        <w:ind w:left="2268" w:hanging="1134"/>
      </w:pPr>
      <w:r w:rsidRPr="00B54ABA">
        <w:t>2.2.1</w:t>
      </w:r>
      <w:r w:rsidRPr="00B54ABA">
        <w:tab/>
      </w:r>
      <w:r w:rsidRPr="00B54ABA">
        <w:tab/>
        <w:t>Результат в миллирадианах (мрад) считают приемлемым для фары, создающей луч ближнего света, только в том случае, если абсолютное значение ∆</w:t>
      </w:r>
      <w:r w:rsidRPr="00B54ABA">
        <w:rPr>
          <w:lang w:val="en-GB"/>
        </w:rPr>
        <w:t>r</w:t>
      </w:r>
      <w:r w:rsidRPr="00B54ABA">
        <w:rPr>
          <w:vertAlign w:val="subscript"/>
          <w:lang w:val="en-GB"/>
        </w:rPr>
        <w:t>I</w:t>
      </w:r>
      <w:r w:rsidRPr="00B54ABA">
        <w:rPr>
          <w:lang w:val="en-GB"/>
        </w:rPr>
        <w:t> </w:t>
      </w:r>
      <w:r w:rsidRPr="00B54ABA">
        <w:t>=</w:t>
      </w:r>
      <w:r w:rsidRPr="00B54ABA">
        <w:rPr>
          <w:lang w:val="en-GB"/>
        </w:rPr>
        <w:t> </w:t>
      </w:r>
      <w:r w:rsidRPr="00B54ABA">
        <w:t>|</w:t>
      </w:r>
      <w:r w:rsidRPr="00B54ABA">
        <w:rPr>
          <w:lang w:val="en-GB"/>
        </w:rPr>
        <w:t> r</w:t>
      </w:r>
      <w:r w:rsidRPr="00B54ABA">
        <w:rPr>
          <w:vertAlign w:val="subscript"/>
        </w:rPr>
        <w:t>3</w:t>
      </w:r>
      <w:r w:rsidRPr="00B54ABA">
        <w:rPr>
          <w:lang w:val="en-GB"/>
        </w:rPr>
        <w:t> </w:t>
      </w:r>
      <w:r w:rsidRPr="00B54ABA">
        <w:t>−</w:t>
      </w:r>
      <w:r w:rsidRPr="00B54ABA">
        <w:rPr>
          <w:lang w:val="en-GB"/>
        </w:rPr>
        <w:t> r</w:t>
      </w:r>
      <w:r w:rsidRPr="00B54ABA">
        <w:rPr>
          <w:vertAlign w:val="subscript"/>
        </w:rPr>
        <w:t>60</w:t>
      </w:r>
      <w:r w:rsidRPr="00B54ABA">
        <w:rPr>
          <w:lang w:val="en-GB"/>
        </w:rPr>
        <w:t> </w:t>
      </w:r>
      <w:r w:rsidRPr="00B54ABA">
        <w:t>|, зарегистрированное на этой фаре, не превышает 1,0 мрад (</w:t>
      </w:r>
      <w:r w:rsidRPr="00B54ABA">
        <w:rPr>
          <w:lang w:val="fr-CH"/>
        </w:rPr>
        <w:t>Δ r</w:t>
      </w:r>
      <w:r w:rsidRPr="00B54ABA">
        <w:rPr>
          <w:vertAlign w:val="subscript"/>
        </w:rPr>
        <w:t>1</w:t>
      </w:r>
      <w:r w:rsidRPr="00B54ABA">
        <w:rPr>
          <w:lang w:val="fr-CH"/>
        </w:rPr>
        <w:t> </w:t>
      </w:r>
      <w:r w:rsidRPr="00B54ABA">
        <w:t>≤</w:t>
      </w:r>
      <w:r w:rsidRPr="00B54ABA">
        <w:rPr>
          <w:lang w:val="fr-CH"/>
        </w:rPr>
        <w:t> </w:t>
      </w:r>
      <w:r w:rsidRPr="00B54ABA">
        <w:t xml:space="preserve">1,0 </w:t>
      </w:r>
      <w:r w:rsidR="00197B68">
        <w:t>мрад) в направлении вверх и 2,0 </w:t>
      </w:r>
      <w:r w:rsidRPr="00B54ABA">
        <w:t>мрад (</w:t>
      </w:r>
      <w:r w:rsidRPr="00B54ABA">
        <w:rPr>
          <w:lang w:val="fr-CH"/>
        </w:rPr>
        <w:t>Δ</w:t>
      </w:r>
      <w:r w:rsidRPr="00B54ABA">
        <w:t xml:space="preserve"> </w:t>
      </w:r>
      <w:r w:rsidRPr="00B54ABA">
        <w:rPr>
          <w:lang w:val="fr-CH"/>
        </w:rPr>
        <w:t>r</w:t>
      </w:r>
      <w:r w:rsidRPr="00B54ABA">
        <w:rPr>
          <w:vertAlign w:val="subscript"/>
        </w:rPr>
        <w:t>1</w:t>
      </w:r>
      <w:r w:rsidRPr="00B54ABA">
        <w:t xml:space="preserve"> ≤ 2,0 мрад) в направлении вниз.</w:t>
      </w:r>
    </w:p>
    <w:p w:rsidR="00B54ABA" w:rsidRPr="00755192" w:rsidRDefault="00B54ABA" w:rsidP="00B54ABA">
      <w:pPr>
        <w:pStyle w:val="SingleTxtGR"/>
        <w:ind w:left="2268" w:hanging="1134"/>
      </w:pPr>
      <w:r w:rsidRPr="00755192">
        <w:t>2.2.2</w:t>
      </w:r>
      <w:r w:rsidRPr="00755192">
        <w:tab/>
      </w:r>
      <w:r w:rsidRPr="00755192">
        <w:tab/>
        <w:t>Однако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5"/>
        <w:gridCol w:w="4865"/>
      </w:tblGrid>
      <w:tr w:rsidR="00B54ABA" w:rsidRPr="00755192" w:rsidTr="0075003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4ABA" w:rsidRPr="00755192" w:rsidRDefault="00B54ABA" w:rsidP="00B47E83">
            <w:pPr>
              <w:spacing w:before="80" w:after="80" w:line="200" w:lineRule="exact"/>
              <w:rPr>
                <w:i/>
                <w:sz w:val="16"/>
              </w:rPr>
            </w:pPr>
            <w:r w:rsidRPr="00755192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4ABA" w:rsidRPr="00755192" w:rsidRDefault="00B54ABA" w:rsidP="00B47E83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B54ABA" w:rsidRPr="0075325C" w:rsidTr="00B47E83">
        <w:tc>
          <w:tcPr>
            <w:tcW w:w="2127" w:type="dxa"/>
            <w:tcBorders>
              <w:top w:val="single" w:sz="12" w:space="0" w:color="auto"/>
            </w:tcBorders>
          </w:tcPr>
          <w:p w:rsidR="00B54ABA" w:rsidRPr="00755192" w:rsidRDefault="00B54ABA" w:rsidP="00B47E83">
            <w:r w:rsidRPr="00755192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  <w:tcBorders>
              <w:top w:val="single" w:sz="12" w:space="0" w:color="auto"/>
            </w:tcBorders>
          </w:tcPr>
          <w:p w:rsidR="00B54ABA" w:rsidRPr="00A90A41" w:rsidRDefault="00B54ABA" w:rsidP="00B47E83">
            <w:r w:rsidRPr="00A90A41">
              <w:t xml:space="preserve">более 1,0 мрад, но не более 1,5 мрад </w:t>
            </w:r>
            <w:r w:rsidRPr="00A90A41">
              <w:br/>
              <w:t xml:space="preserve">(1,0 мрад &lt; </w:t>
            </w:r>
            <w:r w:rsidRPr="00755192">
              <w:t>Δr</w:t>
            </w:r>
            <w:r w:rsidRPr="00755192">
              <w:rPr>
                <w:vertAlign w:val="subscript"/>
              </w:rPr>
              <w:t>I</w:t>
            </w:r>
            <w:r w:rsidRPr="00A90A41">
              <w:t xml:space="preserve"> ≤ 1,5 мрад)</w:t>
            </w:r>
          </w:p>
        </w:tc>
      </w:tr>
      <w:tr w:rsidR="00B54ABA" w:rsidRPr="0075325C" w:rsidTr="00B47E83">
        <w:tc>
          <w:tcPr>
            <w:tcW w:w="2127" w:type="dxa"/>
          </w:tcPr>
          <w:p w:rsidR="00B54ABA" w:rsidRPr="00755192" w:rsidRDefault="00B54ABA" w:rsidP="00B47E83">
            <w:r w:rsidRPr="00755192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</w:tcPr>
          <w:p w:rsidR="00B54ABA" w:rsidRPr="00A90A41" w:rsidRDefault="00B54ABA" w:rsidP="00B47E83">
            <w:r w:rsidRPr="00A90A41">
              <w:t>более 2,0 мрад, но не более 3,0 мрад</w:t>
            </w:r>
            <w:r w:rsidRPr="00A90A41">
              <w:br/>
              <w:t xml:space="preserve">(2,0 мрад &lt; </w:t>
            </w:r>
            <w:r w:rsidRPr="00755192">
              <w:t>Δr</w:t>
            </w:r>
            <w:r w:rsidRPr="00755192">
              <w:rPr>
                <w:vertAlign w:val="subscript"/>
              </w:rPr>
              <w:t>I</w:t>
            </w:r>
            <w:r w:rsidRPr="00A90A41">
              <w:t xml:space="preserve"> ≤ 3,0 мрад)</w:t>
            </w:r>
          </w:p>
        </w:tc>
      </w:tr>
    </w:tbl>
    <w:p w:rsidR="00AB78F2" w:rsidRPr="00B54ABA" w:rsidRDefault="00B54ABA" w:rsidP="00F10B7B">
      <w:pPr>
        <w:pStyle w:val="SingleTxtGR"/>
        <w:tabs>
          <w:tab w:val="clear" w:pos="1701"/>
        </w:tabs>
        <w:spacing w:before="120"/>
        <w:ind w:left="2268" w:hanging="1134"/>
      </w:pPr>
      <w:r w:rsidRPr="00755192">
        <w:tab/>
      </w:r>
      <w:r>
        <w:t xml:space="preserve">то </w:t>
      </w:r>
      <w:r w:rsidRPr="00755192">
        <w:t>проводят испытание дополнительного образца фары, установленной на опоре таким образом, как ее следует устанавливать на транспортном средстве, в соответствии с пункт</w:t>
      </w:r>
      <w:r>
        <w:t>ом</w:t>
      </w:r>
      <w:r w:rsidRPr="00755192">
        <w:t xml:space="preserve"> 2.1 выше после трехразового последовательного прохождения цикла, указанного ниже, для стабилизации правильного положения механических частей фары:</w:t>
      </w:r>
    </w:p>
    <w:p w:rsidR="00B54ABA" w:rsidRPr="00B54ABA" w:rsidRDefault="00B54ABA" w:rsidP="00197B68">
      <w:pPr>
        <w:pStyle w:val="SingleTxtGR"/>
        <w:tabs>
          <w:tab w:val="clear" w:pos="1701"/>
        </w:tabs>
        <w:ind w:left="2835" w:hanging="1701"/>
      </w:pPr>
      <w:r w:rsidRPr="00B54ABA">
        <w:lastRenderedPageBreak/>
        <w:tab/>
        <w:t>а)</w:t>
      </w:r>
      <w:r w:rsidRPr="00B54ABA">
        <w:tab/>
        <w:t>включение фары ближнего света на 1 час (напряжение устанавливают в соответствии с пунктом 1.1.1.2);</w:t>
      </w:r>
    </w:p>
    <w:p w:rsidR="00B54ABA" w:rsidRPr="00B54ABA" w:rsidRDefault="00B54ABA" w:rsidP="00F10B7B">
      <w:pPr>
        <w:pStyle w:val="SingleTxtGR"/>
        <w:tabs>
          <w:tab w:val="clear" w:pos="1701"/>
        </w:tabs>
      </w:pPr>
      <w:r w:rsidRPr="00B54ABA">
        <w:tab/>
      </w:r>
      <w:r w:rsidRPr="00B54ABA">
        <w:rPr>
          <w:lang w:val="en-GB"/>
        </w:rPr>
        <w:t>b</w:t>
      </w:r>
      <w:r w:rsidRPr="00B54ABA">
        <w:t>)</w:t>
      </w:r>
      <w:r w:rsidRPr="00B54ABA">
        <w:tab/>
        <w:t>выключение фары на 1 час.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ab/>
        <w:t>После этих трех циклов фара данного типа считается приемлемой, если абсолютные значения Δr, измеренные в соответствии с пунктом 2.1 выше на этом дополнительном образце, отвечают требованиям пункта 2.2.1 выше».</w:t>
      </w:r>
    </w:p>
    <w:p w:rsidR="00A609C0" w:rsidRPr="00354544" w:rsidRDefault="00B54ABA" w:rsidP="00B54ABA">
      <w:pPr>
        <w:pStyle w:val="SingleTxtGR"/>
        <w:rPr>
          <w:i/>
          <w:iCs/>
        </w:rPr>
      </w:pPr>
      <w:r w:rsidRPr="00B54ABA">
        <w:rPr>
          <w:i/>
          <w:iCs/>
        </w:rPr>
        <w:t>Приложение 5</w:t>
      </w:r>
    </w:p>
    <w:p w:rsidR="00B54ABA" w:rsidRPr="00B54ABA" w:rsidRDefault="00354544" w:rsidP="00B54ABA">
      <w:pPr>
        <w:pStyle w:val="SingleTxtGR"/>
      </w:pPr>
      <w:r w:rsidRPr="00B54ABA">
        <w:rPr>
          <w:i/>
          <w:iCs/>
        </w:rPr>
        <w:t xml:space="preserve">Пункт </w:t>
      </w:r>
      <w:r w:rsidR="00B54ABA" w:rsidRPr="00B54ABA">
        <w:rPr>
          <w:i/>
          <w:iCs/>
        </w:rPr>
        <w:t>1.4</w:t>
      </w:r>
      <w:r w:rsidR="00B54ABA" w:rsidRPr="00B54ABA">
        <w:t xml:space="preserve"> изменить следующим образом: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>«1.4</w:t>
      </w:r>
      <w:r w:rsidRPr="00B54ABA">
        <w:tab/>
        <w:t xml:space="preserve">Для проверки вертикального отклонения светотеневой границы под воздействием тепла применяют следующую процедуру (только для фар классов В, С, </w:t>
      </w:r>
      <w:r w:rsidRPr="00B54ABA">
        <w:rPr>
          <w:lang w:val="en-US"/>
        </w:rPr>
        <w:t>D</w:t>
      </w:r>
      <w:r w:rsidRPr="00B54ABA">
        <w:t xml:space="preserve"> и </w:t>
      </w:r>
      <w:r w:rsidRPr="00B54ABA">
        <w:rPr>
          <w:lang w:val="en-US"/>
        </w:rPr>
        <w:t>E</w:t>
      </w:r>
      <w:r w:rsidRPr="00B54ABA">
        <w:t>):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ab/>
        <w:t>одну из отобранных фар испытывают в соответствии с процедурой, описанной в пункте 2.1 приложения 4, после трехразового последовательного прохождения цикла, описанного в пункте 2.2.2 приложения 4.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ab/>
        <w:t xml:space="preserve">Фара считается приемлемой, если </w:t>
      </w:r>
      <w:r w:rsidRPr="00B54ABA">
        <w:sym w:font="Symbol" w:char="F044"/>
      </w:r>
      <w:r w:rsidRPr="00B54ABA">
        <w:t>r не превышает 1,5 мрад в направлении вверх и 2,5 мрад в направлении вниз.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ab/>
        <w:t>Если это значение превышает 1,5</w:t>
      </w:r>
      <w:r w:rsidRPr="00B54ABA">
        <w:rPr>
          <w:lang w:val="en-GB"/>
        </w:rPr>
        <w:t> </w:t>
      </w:r>
      <w:r w:rsidRPr="00B54ABA">
        <w:t>мрад, но составляет не более 2,0</w:t>
      </w:r>
      <w:r w:rsidRPr="00B54ABA">
        <w:rPr>
          <w:lang w:val="en-GB"/>
        </w:rPr>
        <w:t> </w:t>
      </w:r>
      <w:r w:rsidRPr="00B54ABA">
        <w:t>мрад в направлении вверх или превышает 2,5 мрад, но составляет не более 3,0 мрад в направлении вниз, то испытанию подвергают второй образец, причем среднеарифметическое абсолютных значений, зарегистрированных на обоих образцах, не должно превышать 1,5 мрад в направлении вверх и 2,5 мрад в направлении вниз».</w:t>
      </w:r>
    </w:p>
    <w:p w:rsidR="00354544" w:rsidRPr="00354544" w:rsidRDefault="00B54ABA" w:rsidP="00B54ABA">
      <w:pPr>
        <w:pStyle w:val="SingleTxtGR"/>
        <w:rPr>
          <w:i/>
        </w:rPr>
      </w:pPr>
      <w:r w:rsidRPr="00B54ABA">
        <w:rPr>
          <w:i/>
        </w:rPr>
        <w:t>Приложение 7</w:t>
      </w:r>
    </w:p>
    <w:p w:rsidR="00B54ABA" w:rsidRPr="00B54ABA" w:rsidRDefault="00354544" w:rsidP="00B54ABA">
      <w:pPr>
        <w:pStyle w:val="SingleTxtGR"/>
      </w:pPr>
      <w:r w:rsidRPr="00B54ABA">
        <w:rPr>
          <w:i/>
          <w:iCs/>
        </w:rPr>
        <w:t xml:space="preserve">Пункты </w:t>
      </w:r>
      <w:r w:rsidR="00B54ABA" w:rsidRPr="00B54ABA">
        <w:rPr>
          <w:i/>
          <w:iCs/>
        </w:rPr>
        <w:t>2–5</w:t>
      </w:r>
      <w:r w:rsidR="00B54ABA" w:rsidRPr="00B54ABA">
        <w:t xml:space="preserve"> изменить следующим образом:</w:t>
      </w:r>
    </w:p>
    <w:p w:rsidR="00B54ABA" w:rsidRPr="00B54ABA" w:rsidRDefault="00197B68" w:rsidP="00F10B7B">
      <w:pPr>
        <w:pStyle w:val="SingleTxtGR"/>
        <w:tabs>
          <w:tab w:val="clear" w:pos="1701"/>
        </w:tabs>
      </w:pPr>
      <w:r>
        <w:t>«</w:t>
      </w:r>
      <w:r w:rsidR="00B54ABA" w:rsidRPr="00B54ABA">
        <w:t>2.</w:t>
      </w:r>
      <w:r w:rsidR="00B54ABA" w:rsidRPr="00B54ABA">
        <w:tab/>
        <w:t>Первый отбор образцов</w:t>
      </w:r>
    </w:p>
    <w:p w:rsidR="00B54ABA" w:rsidRPr="00B54ABA" w:rsidRDefault="00197B68" w:rsidP="00F10B7B">
      <w:pPr>
        <w:pStyle w:val="SingleTxtGR"/>
        <w:tabs>
          <w:tab w:val="clear" w:pos="1701"/>
        </w:tabs>
        <w:ind w:left="2268" w:hanging="1134"/>
      </w:pPr>
      <w:r>
        <w:tab/>
      </w:r>
      <w:r w:rsidR="00B54ABA" w:rsidRPr="00B54ABA">
        <w:t>В ходе первого отбора образцов произвольно выбирают четыре фары. Первую выборку из двух образцов обозначают буквой A, а вторую выборку из двух образцов − буквой B.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>2.1</w:t>
      </w:r>
      <w:r w:rsidRPr="00B54ABA">
        <w:tab/>
        <w:t>Соответствие производства серийных фар считается доказанным, если отклонение любого образца из выборок A и B (всех четырех огней) не превышает 20%.</w:t>
      </w:r>
    </w:p>
    <w:p w:rsidR="00B54ABA" w:rsidRPr="00B54ABA" w:rsidRDefault="00F10B7B" w:rsidP="00F10B7B">
      <w:pPr>
        <w:pStyle w:val="SingleTxtGR"/>
        <w:tabs>
          <w:tab w:val="clear" w:pos="1701"/>
        </w:tabs>
        <w:ind w:left="2268" w:hanging="1134"/>
      </w:pPr>
      <w:r>
        <w:tab/>
      </w:r>
      <w:r w:rsidR="00B54ABA" w:rsidRPr="00B54ABA">
        <w:t>В том случае, если отклонение обоих огней из выборки А не превышает 0%, измерения могут быть прекращены.</w:t>
      </w:r>
    </w:p>
    <w:p w:rsidR="00B54ABA" w:rsidRPr="00B54ABA" w:rsidRDefault="00B54ABA" w:rsidP="00F10B7B">
      <w:pPr>
        <w:pStyle w:val="SingleTxtGR"/>
        <w:tabs>
          <w:tab w:val="clear" w:pos="1701"/>
        </w:tabs>
        <w:ind w:left="2268" w:hanging="1134"/>
      </w:pPr>
      <w:r w:rsidRPr="00B54ABA">
        <w:t>2.2</w:t>
      </w:r>
      <w:r w:rsidRPr="00B54ABA">
        <w:tab/>
        <w:t>Соответствие производства серийных фар не считается доказанным, если отклонение по крайней мере одного образца</w:t>
      </w:r>
      <w:r w:rsidR="00F10B7B">
        <w:t xml:space="preserve"> из выборки </w:t>
      </w:r>
      <w:r w:rsidRPr="00B54ABA">
        <w:t>А или В превышает 20%.</w:t>
      </w:r>
    </w:p>
    <w:p w:rsidR="00B54ABA" w:rsidRPr="00B54ABA" w:rsidRDefault="00F10B7B" w:rsidP="00F10B7B">
      <w:pPr>
        <w:pStyle w:val="SingleTxtGR"/>
        <w:tabs>
          <w:tab w:val="clear" w:pos="1701"/>
        </w:tabs>
        <w:ind w:left="2268" w:hanging="1134"/>
      </w:pPr>
      <w:r>
        <w:tab/>
      </w:r>
      <w:r w:rsidR="00B54ABA" w:rsidRPr="00B54ABA">
        <w:t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обеспечения соответствия производства.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lastRenderedPageBreak/>
        <w:t>3.</w:t>
      </w:r>
      <w:r w:rsidRPr="00B54ABA">
        <w:tab/>
        <w:t>Первый повторный отбор образцов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 xml:space="preserve">Первую выборку из двух образцов обозначают буквой </w:t>
      </w:r>
      <w:r w:rsidR="00B54ABA" w:rsidRPr="00B54ABA">
        <w:rPr>
          <w:lang w:val="en-US"/>
        </w:rPr>
        <w:t>C</w:t>
      </w:r>
      <w:r w:rsidR="00B54ABA" w:rsidRPr="00B54ABA">
        <w:t>, а вторую выборку из двух образцов − буквой </w:t>
      </w:r>
      <w:r w:rsidR="00B54ABA" w:rsidRPr="00B54ABA">
        <w:rPr>
          <w:lang w:val="en-US"/>
        </w:rPr>
        <w:t>D</w:t>
      </w:r>
      <w:r w:rsidR="00B54ABA" w:rsidRPr="00B54ABA">
        <w:t>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3.1</w:t>
      </w:r>
      <w:r w:rsidRPr="00B54ABA">
        <w:tab/>
        <w:t xml:space="preserve">Соответствие серийных фар считается доказанным, если отклонение любого образца из выборок </w:t>
      </w:r>
      <w:r w:rsidRPr="00B54ABA">
        <w:rPr>
          <w:lang w:val="en-US"/>
        </w:rPr>
        <w:t>C</w:t>
      </w:r>
      <w:r w:rsidRPr="00B54ABA">
        <w:t xml:space="preserve"> и </w:t>
      </w:r>
      <w:r w:rsidRPr="00B54ABA">
        <w:rPr>
          <w:lang w:val="en-US"/>
        </w:rPr>
        <w:t>D</w:t>
      </w:r>
      <w:r w:rsidRPr="00B54ABA">
        <w:t xml:space="preserve"> (всех четырех огней) не превышает 20%.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В том случае, если отклонение обоих огней из выборки С не превышает 0%, измерения могут быть прекращены.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3.2</w:t>
      </w:r>
      <w:r w:rsidRPr="00B54ABA">
        <w:tab/>
        <w:t>Соответствие производства серийных фар не считается доказанным, если отклонение по крайней мере: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3.2.1</w:t>
      </w:r>
      <w:r w:rsidRPr="00B54ABA">
        <w:tab/>
        <w:t xml:space="preserve">одного образца из выборки </w:t>
      </w:r>
      <w:r w:rsidRPr="00B54ABA">
        <w:rPr>
          <w:lang w:val="en-US"/>
        </w:rPr>
        <w:t>C</w:t>
      </w:r>
      <w:r w:rsidRPr="00B54ABA">
        <w:t xml:space="preserve"> или </w:t>
      </w:r>
      <w:r w:rsidRPr="00B54ABA">
        <w:rPr>
          <w:lang w:val="en-US"/>
        </w:rPr>
        <w:t>D</w:t>
      </w:r>
      <w:r w:rsidRPr="00B54ABA">
        <w:t xml:space="preserve"> превышает 20%, но отклонение всех образцов из этих выборок не превышает 30%;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изготовителю предлагают вновь обеспечить соответствие производства предъявляемым требованиям (привести его в соответствие с этими требованиями);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 xml:space="preserve">проводят второй повторный отбор образцов согласно пункту 4 ниже в течение двух месяцев после уведомления. Выборки </w:t>
      </w:r>
      <w:r w:rsidR="00B54ABA" w:rsidRPr="00B54ABA">
        <w:rPr>
          <w:lang w:val="en-US"/>
        </w:rPr>
        <w:t>C</w:t>
      </w:r>
      <w:r w:rsidR="00B54ABA" w:rsidRPr="00B54ABA">
        <w:t xml:space="preserve"> и </w:t>
      </w:r>
      <w:r w:rsidR="00B54ABA" w:rsidRPr="00B54ABA">
        <w:rPr>
          <w:lang w:val="en-US"/>
        </w:rPr>
        <w:t>D</w:t>
      </w:r>
      <w:r w:rsidR="00B54ABA" w:rsidRPr="00B54ABA">
        <w:t xml:space="preserve"> хранятся в технической службе до завершения всего процесса обеспечения соответствия производства;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3.2.2</w:t>
      </w:r>
      <w:r w:rsidRPr="00B54ABA">
        <w:tab/>
        <w:t xml:space="preserve">одного образца из выборок </w:t>
      </w:r>
      <w:r w:rsidRPr="00B54ABA">
        <w:rPr>
          <w:lang w:val="en-US"/>
        </w:rPr>
        <w:t>C</w:t>
      </w:r>
      <w:r w:rsidRPr="00B54ABA">
        <w:t xml:space="preserve"> и </w:t>
      </w:r>
      <w:r w:rsidRPr="00B54ABA">
        <w:rPr>
          <w:lang w:val="en-US"/>
        </w:rPr>
        <w:t>D</w:t>
      </w:r>
      <w:r w:rsidRPr="00B54ABA">
        <w:t xml:space="preserve"> превышает 30%;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в таком случае официальное утверждение отменяют и применяют пункт 5 ниже.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4.</w:t>
      </w:r>
      <w:r w:rsidRPr="00B54ABA">
        <w:tab/>
        <w:t>Второй повторный отбор образцов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огней.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 xml:space="preserve">Первую выборку из двух огней обозначают буквой </w:t>
      </w:r>
      <w:r w:rsidR="00B54ABA" w:rsidRPr="00B54ABA">
        <w:rPr>
          <w:lang w:val="en-US"/>
        </w:rPr>
        <w:t>E</w:t>
      </w:r>
      <w:r w:rsidR="00B54ABA" w:rsidRPr="00B54ABA">
        <w:t xml:space="preserve">, а вторую выборку из двух огней − буквой </w:t>
      </w:r>
      <w:r w:rsidR="00B54ABA" w:rsidRPr="00B54ABA">
        <w:rPr>
          <w:lang w:val="en-US"/>
        </w:rPr>
        <w:t>F</w:t>
      </w:r>
      <w:r w:rsidR="00B54ABA" w:rsidRPr="00B54ABA">
        <w:t>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4.1</w:t>
      </w:r>
      <w:r w:rsidRPr="00B54ABA">
        <w:tab/>
        <w:t xml:space="preserve">Соответствие производства серийных фар считается доказанным, если отклонение любого образца из выборок </w:t>
      </w:r>
      <w:r w:rsidRPr="00B54ABA">
        <w:rPr>
          <w:lang w:val="en-US"/>
        </w:rPr>
        <w:t>E</w:t>
      </w:r>
      <w:r w:rsidRPr="00B54ABA">
        <w:t xml:space="preserve"> и </w:t>
      </w:r>
      <w:r w:rsidRPr="00B54ABA">
        <w:rPr>
          <w:lang w:val="en-US"/>
        </w:rPr>
        <w:t>F</w:t>
      </w:r>
      <w:r w:rsidRPr="00B54ABA">
        <w:t xml:space="preserve"> (всех четырех огней) не превышает 20%. 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ab/>
        <w:t xml:space="preserve">В том случае, если отклонение обоих огней из выборки </w:t>
      </w:r>
      <w:r w:rsidRPr="00B54ABA">
        <w:rPr>
          <w:lang w:val="en-US"/>
        </w:rPr>
        <w:t>E</w:t>
      </w:r>
      <w:r w:rsidRPr="00B54ABA">
        <w:t xml:space="preserve"> не превышает 0%, измерения могут быть прекращены.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4.2</w:t>
      </w:r>
      <w:r w:rsidRPr="00B54ABA">
        <w:tab/>
        <w:t>Соответствие производства серийных фар не считается доказанным, если отклонение по крайней мере одного образца</w:t>
      </w:r>
      <w:r w:rsidR="00197B68">
        <w:t xml:space="preserve"> из выборки </w:t>
      </w:r>
      <w:r w:rsidRPr="00B54ABA">
        <w:rPr>
          <w:lang w:val="en-US"/>
        </w:rPr>
        <w:t>E</w:t>
      </w:r>
      <w:r w:rsidRPr="00B54ABA">
        <w:t xml:space="preserve"> или </w:t>
      </w:r>
      <w:r w:rsidRPr="00B54ABA">
        <w:rPr>
          <w:lang w:val="en-US"/>
        </w:rPr>
        <w:t>F</w:t>
      </w:r>
      <w:r w:rsidRPr="00B54ABA">
        <w:t xml:space="preserve"> превышает 20%.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В таком случае официальное утверждение отменяют и применяют пункт 5 ниже.</w:t>
      </w:r>
    </w:p>
    <w:p w:rsidR="00B54ABA" w:rsidRPr="00B54ABA" w:rsidRDefault="00B54ABA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 w:rsidRPr="00B54ABA">
        <w:t>5.</w:t>
      </w:r>
      <w:r w:rsidRPr="00B54ABA">
        <w:tab/>
        <w:t>Отмена официального утверждения</w:t>
      </w:r>
    </w:p>
    <w:p w:rsidR="00B54ABA" w:rsidRPr="00B54ABA" w:rsidRDefault="00F10B7B" w:rsidP="00354544">
      <w:pPr>
        <w:pStyle w:val="SingleTxtGR"/>
        <w:tabs>
          <w:tab w:val="clear" w:pos="1701"/>
        </w:tabs>
        <w:spacing w:after="100" w:line="220" w:lineRule="atLeast"/>
        <w:ind w:left="2268" w:hanging="1134"/>
      </w:pPr>
      <w:r>
        <w:tab/>
      </w:r>
      <w:r w:rsidR="00B54ABA" w:rsidRPr="00B54ABA">
        <w:t>Официальное утверждение отменяют в соо</w:t>
      </w:r>
      <w:r>
        <w:t>т</w:t>
      </w:r>
      <w:r w:rsidR="00B54ABA" w:rsidRPr="00B54ABA">
        <w:t>ветствии с пунктом 10 настоящих Правил».</w:t>
      </w:r>
    </w:p>
    <w:p w:rsidR="00B54ABA" w:rsidRPr="00B54ABA" w:rsidRDefault="00B54ABA" w:rsidP="00354544">
      <w:pPr>
        <w:pStyle w:val="SingleTxtGR"/>
        <w:spacing w:after="100" w:line="220" w:lineRule="atLeast"/>
      </w:pPr>
      <w:r w:rsidRPr="00F10B7B">
        <w:rPr>
          <w:i/>
        </w:rPr>
        <w:t>Рис. 1</w:t>
      </w:r>
      <w:r w:rsidRPr="00F10B7B">
        <w:t xml:space="preserve"> исключить.</w:t>
      </w:r>
    </w:p>
    <w:p w:rsidR="00AB78F2" w:rsidRPr="00B54ABA" w:rsidRDefault="00B54ABA" w:rsidP="00354544">
      <w:pPr>
        <w:spacing w:before="240" w:after="10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78F2" w:rsidRPr="00B54AB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F2" w:rsidRDefault="00AB78F2" w:rsidP="00B471C5">
      <w:r>
        <w:separator/>
      </w:r>
    </w:p>
  </w:endnote>
  <w:endnote w:type="continuationSeparator" w:id="0">
    <w:p w:rsidR="00AB78F2" w:rsidRDefault="00AB78F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4100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F4D0E">
      <w:rPr>
        <w:lang w:val="en-US"/>
      </w:rPr>
      <w:t>22503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CF4D0E">
      <w:rPr>
        <w:lang w:val="en-US"/>
      </w:rPr>
      <w:t>22503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41003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CF4D0E">
            <w:rPr>
              <w:lang w:val="en-US"/>
            </w:rPr>
            <w:t>22503</w:t>
          </w:r>
          <w:r w:rsidRPr="001C3ABC">
            <w:rPr>
              <w:lang w:val="en-US"/>
            </w:rPr>
            <w:t xml:space="preserve"> (R)</w:t>
          </w:r>
          <w:r w:rsidR="00CF4D0E">
            <w:rPr>
              <w:lang w:val="en-US"/>
            </w:rPr>
            <w:t xml:space="preserve">  130117  130117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F4D0E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3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3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F4D0E" w:rsidRDefault="00CF4D0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F4D0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F2" w:rsidRPr="009141DC" w:rsidRDefault="00AB78F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B78F2" w:rsidRPr="00D1261C" w:rsidRDefault="00AB78F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B78F2" w:rsidRPr="00CF4D0E" w:rsidRDefault="00AB78F2">
      <w:pPr>
        <w:pStyle w:val="FootnoteText"/>
        <w:rPr>
          <w:sz w:val="20"/>
          <w:lang w:val="ru-RU"/>
        </w:rPr>
      </w:pPr>
      <w:r>
        <w:tab/>
      </w:r>
      <w:r w:rsidRPr="00AB78F2">
        <w:rPr>
          <w:rStyle w:val="FootnoteReference"/>
          <w:sz w:val="20"/>
          <w:vertAlign w:val="baseline"/>
          <w:lang w:val="ru-RU"/>
        </w:rPr>
        <w:t>*</w:t>
      </w:r>
      <w:r w:rsidRPr="00AB78F2">
        <w:rPr>
          <w:sz w:val="20"/>
          <w:lang w:val="ru-RU"/>
        </w:rPr>
        <w:t xml:space="preserve"> </w:t>
      </w:r>
      <w:r w:rsidRPr="00AB78F2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CF4D0E" w:rsidRPr="00CF4D0E">
        <w:rPr>
          <w:lang w:val="ru-RU"/>
        </w:rPr>
        <w:br/>
      </w:r>
      <w:r w:rsidRPr="00AB78F2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CF4D0E" w:rsidRPr="00CF4D0E">
      <w:rPr>
        <w:lang w:val="en-US"/>
      </w:rPr>
      <w:t>TRANS/WP.29/2017/39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CF4D0E" w:rsidRPr="00CF4D0E">
      <w:rPr>
        <w:lang w:val="en-US"/>
      </w:rPr>
      <w:t>TRANS/WP.29/2017/39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2"/>
    <w:rsid w:val="000450D1"/>
    <w:rsid w:val="000B1FD5"/>
    <w:rsid w:val="000F2A4F"/>
    <w:rsid w:val="00197B68"/>
    <w:rsid w:val="00203F84"/>
    <w:rsid w:val="00275188"/>
    <w:rsid w:val="0028687D"/>
    <w:rsid w:val="002B091C"/>
    <w:rsid w:val="002B3D40"/>
    <w:rsid w:val="002D0CCB"/>
    <w:rsid w:val="00341003"/>
    <w:rsid w:val="00345C79"/>
    <w:rsid w:val="00354544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32DC"/>
    <w:rsid w:val="00705394"/>
    <w:rsid w:val="00743F62"/>
    <w:rsid w:val="00750030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09C0"/>
    <w:rsid w:val="00A658DB"/>
    <w:rsid w:val="00A75A11"/>
    <w:rsid w:val="00A9606E"/>
    <w:rsid w:val="00AB78F2"/>
    <w:rsid w:val="00AD7EAD"/>
    <w:rsid w:val="00B35A32"/>
    <w:rsid w:val="00B432C6"/>
    <w:rsid w:val="00B471C5"/>
    <w:rsid w:val="00B54ABA"/>
    <w:rsid w:val="00B6474A"/>
    <w:rsid w:val="00BE1742"/>
    <w:rsid w:val="00CF4D0E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0B7B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6CEF7A-E13E-4F3C-B9B2-49776FE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B54ABA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B54ABA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SingleTxtGR0">
    <w:name w:val="_ Single Txt_GR Знак"/>
    <w:link w:val="SingleTxtGR"/>
    <w:rsid w:val="00B54AB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2DE3-151B-436A-A0AC-61C990AA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2017-01-13T12:35:00Z</cp:lastPrinted>
  <dcterms:created xsi:type="dcterms:W3CDTF">2017-01-18T13:17:00Z</dcterms:created>
  <dcterms:modified xsi:type="dcterms:W3CDTF">2017-01-18T13:17:00Z</dcterms:modified>
</cp:coreProperties>
</file>