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7270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72701" w:rsidP="00572701">
            <w:pPr>
              <w:jc w:val="right"/>
            </w:pPr>
            <w:r w:rsidRPr="00572701">
              <w:rPr>
                <w:sz w:val="40"/>
              </w:rPr>
              <w:t>ECE</w:t>
            </w:r>
            <w:r>
              <w:t>/TRANS/WP.29/2017/39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72701" w:rsidP="00892A2F">
            <w:pPr>
              <w:spacing w:before="240"/>
            </w:pPr>
            <w:r>
              <w:t>Distr. générale</w:t>
            </w:r>
          </w:p>
          <w:p w:rsidR="00572701" w:rsidRDefault="00572701" w:rsidP="00572701">
            <w:pPr>
              <w:spacing w:line="240" w:lineRule="exact"/>
            </w:pPr>
            <w:r>
              <w:t>20 décembre 2016</w:t>
            </w:r>
          </w:p>
          <w:p w:rsidR="00572701" w:rsidRDefault="00572701" w:rsidP="00572701">
            <w:pPr>
              <w:spacing w:line="240" w:lineRule="exact"/>
            </w:pPr>
            <w:r>
              <w:t>Français</w:t>
            </w:r>
          </w:p>
          <w:p w:rsidR="00572701" w:rsidRPr="00DB58B5" w:rsidRDefault="00572701" w:rsidP="0057270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729F7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72701" w:rsidRDefault="0057270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729F7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 w:rsidR="00D873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72701" w:rsidRDefault="00572701" w:rsidP="00257168">
      <w:pPr>
        <w:spacing w:before="120" w:line="240" w:lineRule="exact"/>
        <w:rPr>
          <w:b/>
        </w:rPr>
      </w:pPr>
      <w:r>
        <w:rPr>
          <w:b/>
        </w:rPr>
        <w:t>171</w:t>
      </w:r>
      <w:r w:rsidRPr="00572701">
        <w:rPr>
          <w:b/>
          <w:vertAlign w:val="superscript"/>
        </w:rPr>
        <w:t>e</w:t>
      </w:r>
      <w:r>
        <w:rPr>
          <w:b/>
        </w:rPr>
        <w:t> session</w:t>
      </w:r>
    </w:p>
    <w:p w:rsidR="00572701" w:rsidRPr="006D33D9" w:rsidRDefault="00572701" w:rsidP="00572701">
      <w:r>
        <w:t>Genève, 14-17 mars 2017</w:t>
      </w:r>
    </w:p>
    <w:p w:rsidR="00572701" w:rsidRPr="00AF2205" w:rsidRDefault="00572701" w:rsidP="00572701">
      <w:r>
        <w:t>Point 4.9.21 de l</w:t>
      </w:r>
      <w:r w:rsidR="008729F7">
        <w:t>’</w:t>
      </w:r>
      <w:r>
        <w:t>ordre du jour provisoire</w:t>
      </w:r>
    </w:p>
    <w:p w:rsidR="00572701" w:rsidRDefault="00572701" w:rsidP="00572701">
      <w:pPr>
        <w:rPr>
          <w:b/>
        </w:rPr>
      </w:pPr>
      <w:r>
        <w:rPr>
          <w:b/>
        </w:rPr>
        <w:t xml:space="preserve">Accord de 1958 </w:t>
      </w:r>
      <w:r w:rsidR="00D873EB">
        <w:rPr>
          <w:b/>
        </w:rPr>
        <w:t xml:space="preserve">− </w:t>
      </w:r>
      <w:r>
        <w:rPr>
          <w:b/>
        </w:rPr>
        <w:t>Examen de projets d</w:t>
      </w:r>
      <w:r w:rsidR="008729F7">
        <w:rPr>
          <w:b/>
        </w:rPr>
        <w:t>’</w:t>
      </w:r>
      <w:r>
        <w:rPr>
          <w:b/>
        </w:rPr>
        <w:t>amendements</w:t>
      </w:r>
    </w:p>
    <w:p w:rsidR="00572701" w:rsidRDefault="00572701" w:rsidP="00572701">
      <w:pPr>
        <w:spacing w:line="240" w:lineRule="exact"/>
        <w:rPr>
          <w:b/>
        </w:rPr>
      </w:pPr>
      <w:r>
        <w:rPr>
          <w:b/>
        </w:rPr>
        <w:t>à des Règlements existants, présentés par le GRE</w:t>
      </w:r>
    </w:p>
    <w:p w:rsidR="00D873EB" w:rsidRPr="008729F7" w:rsidRDefault="00D873EB" w:rsidP="008729F7">
      <w:pPr>
        <w:pStyle w:val="HChG"/>
      </w:pPr>
      <w:r>
        <w:tab/>
      </w:r>
      <w:r>
        <w:tab/>
        <w:t xml:space="preserve">Proposition de </w:t>
      </w:r>
      <w:r w:rsidRPr="00D873EB">
        <w:t>complément</w:t>
      </w:r>
      <w:r>
        <w:t xml:space="preserve"> 7 à la série 01 d</w:t>
      </w:r>
      <w:r w:rsidR="008729F7">
        <w:t>’</w:t>
      </w:r>
      <w:r>
        <w:t xml:space="preserve">amendements au 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113 (Projecteurs émettant un fais</w:t>
      </w:r>
      <w:r w:rsidR="00A916AB">
        <w:t>ceau de croisement asymétrique)</w:t>
      </w:r>
    </w:p>
    <w:p w:rsidR="00D873EB" w:rsidRPr="008729F7" w:rsidRDefault="00D873EB" w:rsidP="008729F7">
      <w:pPr>
        <w:pStyle w:val="H1G"/>
      </w:pPr>
      <w:r>
        <w:tab/>
      </w:r>
      <w:r>
        <w:tab/>
        <w:t>Communication du Groupe de travail de l</w:t>
      </w:r>
      <w:r w:rsidR="008729F7">
        <w:t>’</w:t>
      </w:r>
      <w:r>
        <w:t xml:space="preserve">éclairage </w:t>
      </w:r>
      <w:r>
        <w:br/>
        <w:t>et de la signalisation lumineuse</w:t>
      </w:r>
      <w:r w:rsidRPr="002A1EEB">
        <w:rPr>
          <w:b w:val="0"/>
          <w:sz w:val="20"/>
        </w:rPr>
        <w:footnoteReference w:customMarkFollows="1" w:id="2"/>
        <w:t>*</w:t>
      </w:r>
    </w:p>
    <w:p w:rsidR="00131533" w:rsidRDefault="00D873EB" w:rsidP="00D873EB">
      <w:pPr>
        <w:pStyle w:val="SingleTxtG"/>
        <w:ind w:firstLine="567"/>
      </w:pPr>
      <w:r>
        <w:t>Le texte reproduit ci-après, adopté par le Groupe de travail de l</w:t>
      </w:r>
      <w:r w:rsidR="008729F7">
        <w:t>’</w:t>
      </w:r>
      <w:r>
        <w:t>éclairage et de la signalisation lumineuse (GRE) à sa soixante-seizième session (ECE/TRANS/WP.29/</w:t>
      </w:r>
      <w:r w:rsidR="00137297">
        <w:br/>
      </w:r>
      <w:r>
        <w:t xml:space="preserve">GRE/76, par. 10 et 15), est fondé sur les documents ECE/TRANS/WP.29/2013/93, </w:t>
      </w:r>
      <w:r w:rsidRPr="00137297">
        <w:rPr>
          <w:spacing w:val="-2"/>
        </w:rPr>
        <w:t>ECE/TRANS/WP.29/GRE/2013/55/Rev.1, ECE/TRANS/WP.29/GRE/2014/3, ECE/TRANS/</w:t>
      </w:r>
      <w:r w:rsidR="00137297">
        <w:t xml:space="preserve"> </w:t>
      </w:r>
      <w:r>
        <w:t>WP.29/GRE/2016/14, ECE/TRANS/WP.29/GRE/75 (annexe</w:t>
      </w:r>
      <w:r w:rsidR="00A916AB">
        <w:t> </w:t>
      </w:r>
      <w:r>
        <w:t>IV) et ECE/TRANS/WP.29/</w:t>
      </w:r>
      <w:r w:rsidR="00137297">
        <w:br/>
      </w:r>
      <w:r>
        <w:t>GRE/2016/32. Il est soumis au Forum mondial de l</w:t>
      </w:r>
      <w:r w:rsidR="008729F7">
        <w:t>’</w:t>
      </w:r>
      <w:r>
        <w:t>harmonisation des Règlements concernant les véhicules (WP.29) et au Comité d</w:t>
      </w:r>
      <w:r w:rsidR="008729F7">
        <w:t>’</w:t>
      </w:r>
      <w:r>
        <w:t>administration (AC.1) pour examen à leurs sessions de mars 2017.</w:t>
      </w:r>
    </w:p>
    <w:p w:rsidR="00131533" w:rsidRPr="00131533" w:rsidRDefault="00131533" w:rsidP="00131533">
      <w:pPr>
        <w:pStyle w:val="HChG"/>
      </w:pPr>
      <w:r>
        <w:br w:type="page"/>
      </w:r>
      <w:r>
        <w:lastRenderedPageBreak/>
        <w:tab/>
      </w:r>
      <w:r>
        <w:tab/>
      </w:r>
      <w:r w:rsidRPr="00131533">
        <w:t>Complément 7 à la série 01 d</w:t>
      </w:r>
      <w:r w:rsidR="008729F7">
        <w:t>’</w:t>
      </w:r>
      <w:r w:rsidRPr="00131533">
        <w:t>amendements au</w:t>
      </w:r>
      <w:r>
        <w:t xml:space="preserve"> </w:t>
      </w:r>
      <w:r w:rsidRPr="00131533">
        <w:t xml:space="preserve">Règlement </w:t>
      </w:r>
      <w:r w:rsidR="00AD1E19" w:rsidRPr="002D76F4">
        <w:rPr>
          <w:rFonts w:eastAsia="MS Mincho"/>
          <w:szCs w:val="22"/>
        </w:rPr>
        <w:t>n</w:t>
      </w:r>
      <w:r w:rsidR="00AD1E19" w:rsidRPr="002D76F4">
        <w:rPr>
          <w:rFonts w:eastAsia="MS Mincho"/>
          <w:szCs w:val="22"/>
          <w:vertAlign w:val="superscript"/>
        </w:rPr>
        <w:t>o</w:t>
      </w:r>
      <w:r w:rsidR="00AD1E19">
        <w:t> </w:t>
      </w:r>
      <w:r w:rsidRPr="00131533">
        <w:t>113 (Proj</w:t>
      </w:r>
      <w:r>
        <w:t>ecteurs émettant un faisceau de croisement asymétrique)</w:t>
      </w:r>
    </w:p>
    <w:p w:rsidR="00131533" w:rsidRPr="00131533" w:rsidRDefault="00131533" w:rsidP="00131533">
      <w:pPr>
        <w:pStyle w:val="SingleTxtG"/>
      </w:pPr>
      <w:r w:rsidRPr="00131533">
        <w:rPr>
          <w:i/>
        </w:rPr>
        <w:t>Paragraphe 1.3.1</w:t>
      </w:r>
      <w:r w:rsidRPr="00131533">
        <w:t>, lire :</w:t>
      </w:r>
    </w:p>
    <w:p w:rsidR="00131533" w:rsidRPr="00131533" w:rsidRDefault="00131533" w:rsidP="006E1570">
      <w:pPr>
        <w:pStyle w:val="SingleTxtG"/>
        <w:ind w:left="2268" w:hanging="1134"/>
        <w:rPr>
          <w:iCs/>
        </w:rPr>
      </w:pPr>
      <w:r w:rsidRPr="00131533">
        <w:t>«</w:t>
      </w:r>
      <w:r>
        <w:t> </w:t>
      </w:r>
      <w:r w:rsidRPr="00131533">
        <w:t>1.3.1</w:t>
      </w:r>
      <w:r w:rsidRPr="00131533">
        <w:tab/>
        <w:t>La marque de fabrique ou de commerce</w:t>
      </w:r>
      <w:r>
        <w:t> </w:t>
      </w:r>
      <w:r w:rsidRPr="00131533">
        <w:t>:</w:t>
      </w:r>
    </w:p>
    <w:p w:rsidR="00131533" w:rsidRPr="00131533" w:rsidRDefault="00131533" w:rsidP="006E1570">
      <w:pPr>
        <w:pStyle w:val="SingleTxtG"/>
        <w:ind w:left="2835" w:hanging="567"/>
        <w:rPr>
          <w:iCs/>
        </w:rPr>
      </w:pPr>
      <w:r w:rsidRPr="00131533">
        <w:t>a)</w:t>
      </w:r>
      <w:r w:rsidRPr="00131533">
        <w:tab/>
        <w:t>Des feux portant la même marque de fabrique ou de commerce mais produits par des fabricants différents doivent être considérés comme étant de types différents</w:t>
      </w:r>
      <w:r w:rsidR="006E1570">
        <w:t> </w:t>
      </w:r>
      <w:r w:rsidRPr="00131533">
        <w:t>;</w:t>
      </w:r>
    </w:p>
    <w:p w:rsidR="00131533" w:rsidRPr="00131533" w:rsidRDefault="00131533" w:rsidP="006E1570">
      <w:pPr>
        <w:pStyle w:val="SingleTxtG"/>
        <w:ind w:left="2835" w:hanging="567"/>
        <w:rPr>
          <w:iCs/>
        </w:rPr>
      </w:pPr>
      <w:r w:rsidRPr="00131533">
        <w:t>b)</w:t>
      </w:r>
      <w:r w:rsidRPr="00131533">
        <w:tab/>
        <w:t>Des feux produits par le même fabricant et ne différant entre eux que par la marque de fabrique ou de commerce doivent être considérés comme étant du même type.</w:t>
      </w:r>
      <w:r w:rsidR="006E1570">
        <w:t> </w:t>
      </w:r>
      <w:r w:rsidRPr="00131533">
        <w:t>».</w:t>
      </w:r>
    </w:p>
    <w:p w:rsidR="00131533" w:rsidRPr="00131533" w:rsidRDefault="00131533" w:rsidP="00131533">
      <w:pPr>
        <w:pStyle w:val="SingleTxtG"/>
      </w:pPr>
      <w:r w:rsidRPr="00F72E62">
        <w:rPr>
          <w:i/>
        </w:rPr>
        <w:t>Ajouter trois nouveaux paragraphes 2.4 à 2.4.2</w:t>
      </w:r>
      <w:r w:rsidRPr="00131533">
        <w:t>, libellés comme suit</w:t>
      </w:r>
      <w:r w:rsidR="006E1570">
        <w:t> </w:t>
      </w:r>
      <w:r w:rsidRPr="00131533">
        <w:t>:</w:t>
      </w:r>
    </w:p>
    <w:p w:rsidR="00131533" w:rsidRPr="00131533" w:rsidRDefault="00131533" w:rsidP="006E1570">
      <w:pPr>
        <w:pStyle w:val="SingleTxtG"/>
        <w:ind w:left="2268" w:hanging="1134"/>
      </w:pPr>
      <w:r w:rsidRPr="00131533">
        <w:t>« 2.4</w:t>
      </w:r>
      <w:r w:rsidRPr="00131533">
        <w:tab/>
        <w:t>Lorsqu</w:t>
      </w:r>
      <w:r w:rsidR="008729F7">
        <w:t>’</w:t>
      </w:r>
      <w:r w:rsidRPr="00131533">
        <w:t>il s</w:t>
      </w:r>
      <w:r w:rsidR="008729F7">
        <w:t>’</w:t>
      </w:r>
      <w:r w:rsidRPr="00131533">
        <w:t>agit d</w:t>
      </w:r>
      <w:r w:rsidR="008729F7">
        <w:t>’</w:t>
      </w:r>
      <w:r w:rsidRPr="00131533">
        <w:t>un type de dispositif ne différant d</w:t>
      </w:r>
      <w:r w:rsidR="008729F7">
        <w:t>’</w:t>
      </w:r>
      <w:r w:rsidRPr="00131533">
        <w:t>un type homologué antérieurement que par la marque de fabrique ou de commerce, il suffit de présenter</w:t>
      </w:r>
      <w:r w:rsidR="006E1570">
        <w:t> </w:t>
      </w:r>
      <w:r w:rsidRPr="00131533">
        <w:t>:</w:t>
      </w:r>
    </w:p>
    <w:p w:rsidR="00131533" w:rsidRPr="00131533" w:rsidRDefault="00131533" w:rsidP="006E1570">
      <w:pPr>
        <w:pStyle w:val="SingleTxtG"/>
        <w:ind w:left="2268" w:hanging="1134"/>
      </w:pPr>
      <w:r w:rsidRPr="00131533">
        <w:t>2.4.1</w:t>
      </w:r>
      <w:r w:rsidRPr="00131533">
        <w:tab/>
        <w:t>Une déclaration du fabricant du dispositif précisant que, sauf quant à la marque de fabrique ou de commerce, le type soumis est identique au type déjà homologué (identifié par son code d</w:t>
      </w:r>
      <w:r w:rsidR="008729F7">
        <w:t>’</w:t>
      </w:r>
      <w:r w:rsidRPr="00131533">
        <w:t>homologation) et provient du même fabricant</w:t>
      </w:r>
      <w:r w:rsidR="006E1570">
        <w:t> </w:t>
      </w:r>
      <w:r w:rsidRPr="00131533">
        <w:t>;</w:t>
      </w:r>
    </w:p>
    <w:p w:rsidR="00131533" w:rsidRPr="00131533" w:rsidRDefault="00131533" w:rsidP="006E1570">
      <w:pPr>
        <w:pStyle w:val="SingleTxtG"/>
        <w:ind w:left="2268" w:hanging="1134"/>
      </w:pPr>
      <w:r w:rsidRPr="00131533">
        <w:t>2.4.2</w:t>
      </w:r>
      <w:r w:rsidRPr="00131533">
        <w:tab/>
        <w:t>Deux échantillons portant la nouvelle marque de fabrique ou de commerce, ou un document équivalent.</w:t>
      </w:r>
      <w:r w:rsidR="006E1570">
        <w:t> </w:t>
      </w:r>
      <w:r w:rsidRPr="00131533">
        <w:t>».</w:t>
      </w:r>
    </w:p>
    <w:p w:rsidR="00131533" w:rsidRPr="00131533" w:rsidRDefault="00131533" w:rsidP="00131533">
      <w:pPr>
        <w:pStyle w:val="SingleTxtG"/>
        <w:rPr>
          <w:i/>
          <w:iCs/>
        </w:rPr>
      </w:pPr>
      <w:r w:rsidRPr="00131533">
        <w:rPr>
          <w:i/>
        </w:rPr>
        <w:t>Paragraphe 5</w:t>
      </w:r>
      <w:r w:rsidRPr="00131533">
        <w:t>, lire</w:t>
      </w:r>
      <w:r w:rsidR="006E1570">
        <w:t> </w:t>
      </w:r>
      <w:r w:rsidRPr="00131533">
        <w:t>:</w:t>
      </w:r>
    </w:p>
    <w:p w:rsidR="00131533" w:rsidRPr="00131533" w:rsidRDefault="00131533" w:rsidP="0025673F">
      <w:pPr>
        <w:pStyle w:val="HChG"/>
        <w:ind w:left="2268"/>
      </w:pPr>
      <w:r w:rsidRPr="00F72E62">
        <w:rPr>
          <w:b w:val="0"/>
          <w:sz w:val="20"/>
        </w:rPr>
        <w:t>«</w:t>
      </w:r>
      <w:r w:rsidRPr="00F72E62">
        <w:rPr>
          <w:sz w:val="20"/>
        </w:rPr>
        <w:t> </w:t>
      </w:r>
      <w:r w:rsidRPr="00131533">
        <w:t>5.</w:t>
      </w:r>
      <w:r w:rsidR="0025673F">
        <w:tab/>
      </w:r>
      <w:r w:rsidRPr="00131533">
        <w:t>Prescriptions générales</w:t>
      </w:r>
    </w:p>
    <w:p w:rsidR="00131533" w:rsidRPr="00131533" w:rsidRDefault="00131533" w:rsidP="006E1570">
      <w:pPr>
        <w:pStyle w:val="SingleTxtG"/>
        <w:ind w:left="2268"/>
      </w:pPr>
      <w:r w:rsidRPr="00131533">
        <w:tab/>
        <w:t>Les prescriptions contenues dans les sections 5 “Prescriptions générales” et 6</w:t>
      </w:r>
      <w:r w:rsidR="006E1570">
        <w:t> </w:t>
      </w:r>
      <w:r w:rsidRPr="00131533">
        <w:t xml:space="preserve">“Prescriptions particulières” ainsi que dans les annexes citées dans lesdites sections des Règlements </w:t>
      </w:r>
      <w:r w:rsidR="006E1570" w:rsidRPr="002D76F4">
        <w:rPr>
          <w:rFonts w:eastAsia="MS Mincho"/>
          <w:szCs w:val="22"/>
        </w:rPr>
        <w:t>n</w:t>
      </w:r>
      <w:r w:rsidR="006E1570" w:rsidRPr="002D76F4">
        <w:rPr>
          <w:rFonts w:eastAsia="MS Mincho"/>
          <w:szCs w:val="22"/>
          <w:vertAlign w:val="superscript"/>
        </w:rPr>
        <w:t>o</w:t>
      </w:r>
      <w:r w:rsidR="006E1570">
        <w:rPr>
          <w:rFonts w:eastAsia="MS Mincho"/>
          <w:szCs w:val="22"/>
          <w:vertAlign w:val="superscript"/>
        </w:rPr>
        <w:t>s</w:t>
      </w:r>
      <w:r w:rsidR="006E1570">
        <w:t> </w:t>
      </w:r>
      <w:r w:rsidRPr="00131533">
        <w:t>53, 74 et 86 et de leurs séries d</w:t>
      </w:r>
      <w:r w:rsidR="008729F7">
        <w:t>’</w:t>
      </w:r>
      <w:r w:rsidRPr="00131533">
        <w:t>amendements en vigueur à la date de la demande d</w:t>
      </w:r>
      <w:r w:rsidR="008729F7">
        <w:t>’</w:t>
      </w:r>
      <w:r w:rsidRPr="00131533">
        <w:t>homologation du type de feu s</w:t>
      </w:r>
      <w:r w:rsidR="008729F7">
        <w:t>’</w:t>
      </w:r>
      <w:r w:rsidRPr="00131533">
        <w:t>appliquent au présent Règlement.</w:t>
      </w:r>
    </w:p>
    <w:p w:rsidR="00131533" w:rsidRPr="00131533" w:rsidRDefault="00131533" w:rsidP="006E1570">
      <w:pPr>
        <w:pStyle w:val="SingleTxtG"/>
        <w:ind w:left="2268"/>
      </w:pPr>
      <w:r w:rsidRPr="00131533">
        <w:tab/>
        <w:t>Les prescriptions pertinentes pour chaque feu et la (les) catégorie(s) de véhicule sur laquelle/lesquelles il est prévu d</w:t>
      </w:r>
      <w:r w:rsidR="008729F7">
        <w:t>’</w:t>
      </w:r>
      <w:r w:rsidRPr="00131533">
        <w:t>installer le feu sont applicables, pour autant que leur vérification soit possible lors de l</w:t>
      </w:r>
      <w:r w:rsidR="008729F7">
        <w:t>’</w:t>
      </w:r>
      <w:r w:rsidRPr="00131533">
        <w:t>homologation du type de feu.</w:t>
      </w:r>
      <w:r w:rsidR="006E1570">
        <w:t> </w:t>
      </w:r>
      <w:r w:rsidRPr="00131533">
        <w:t>»</w:t>
      </w:r>
      <w:r w:rsidR="006E1570">
        <w:t>.</w:t>
      </w:r>
    </w:p>
    <w:p w:rsidR="00131533" w:rsidRPr="00131533" w:rsidRDefault="00131533" w:rsidP="00131533">
      <w:pPr>
        <w:pStyle w:val="SingleTxtG"/>
        <w:rPr>
          <w:bCs/>
          <w:i/>
          <w:iCs/>
        </w:rPr>
      </w:pPr>
      <w:r w:rsidRPr="00131533">
        <w:rPr>
          <w:i/>
        </w:rPr>
        <w:t>Paragraphe 9.1</w:t>
      </w:r>
      <w:r w:rsidRPr="00131533">
        <w:t>, lire :</w:t>
      </w:r>
    </w:p>
    <w:p w:rsidR="00131533" w:rsidRPr="00131533" w:rsidRDefault="00131533" w:rsidP="006E1570">
      <w:pPr>
        <w:pStyle w:val="SingleTxtG"/>
        <w:ind w:left="2268" w:hanging="1134"/>
      </w:pPr>
      <w:r w:rsidRPr="00131533">
        <w:t>«</w:t>
      </w:r>
      <w:r w:rsidR="006E1570">
        <w:t> </w:t>
      </w:r>
      <w:r w:rsidRPr="00131533">
        <w:t>9.1</w:t>
      </w:r>
      <w:r w:rsidRPr="00131533">
        <w:tab/>
        <w:t>Les projecteurs doivent être fabriqués de façon à être conformes au type homologué en ap</w:t>
      </w:r>
      <w:r w:rsidR="006E1570">
        <w:t>plication du présent Règlement.</w:t>
      </w:r>
    </w:p>
    <w:p w:rsidR="00131533" w:rsidRPr="00131533" w:rsidRDefault="00131533" w:rsidP="006E1570">
      <w:pPr>
        <w:pStyle w:val="SingleTxtG"/>
        <w:ind w:left="2268"/>
      </w:pPr>
      <w:r w:rsidRPr="00131533">
        <w:t>Le respect des prescriptions énoncées aux paragraphes</w:t>
      </w:r>
      <w:r w:rsidR="006E1570">
        <w:t> </w:t>
      </w:r>
      <w:r w:rsidRPr="00131533">
        <w:t>6 et 7 ci-dessus doit être vérifié comme suit</w:t>
      </w:r>
      <w:r w:rsidR="006E1570">
        <w:t> </w:t>
      </w:r>
      <w:r w:rsidRPr="00131533">
        <w:t>:</w:t>
      </w:r>
      <w:r w:rsidR="00EF5C13">
        <w:t> </w:t>
      </w:r>
      <w:r w:rsidRPr="00131533">
        <w:t>».</w:t>
      </w:r>
    </w:p>
    <w:p w:rsidR="00131533" w:rsidRPr="00131533" w:rsidRDefault="00131533" w:rsidP="00131533">
      <w:pPr>
        <w:pStyle w:val="SingleTxtG"/>
      </w:pPr>
      <w:r w:rsidRPr="00131533">
        <w:rPr>
          <w:i/>
        </w:rPr>
        <w:t xml:space="preserve">Le paragraphe 9.2 </w:t>
      </w:r>
      <w:r w:rsidRPr="00131533">
        <w:t>devient le paragraphe 9.1.1.</w:t>
      </w:r>
    </w:p>
    <w:p w:rsidR="00131533" w:rsidRPr="00131533" w:rsidRDefault="00131533" w:rsidP="00131533">
      <w:pPr>
        <w:pStyle w:val="SingleTxtG"/>
        <w:rPr>
          <w:bCs/>
        </w:rPr>
      </w:pPr>
      <w:r w:rsidRPr="00131533">
        <w:rPr>
          <w:i/>
        </w:rPr>
        <w:t xml:space="preserve">Le paragraphe 9.3 </w:t>
      </w:r>
      <w:r w:rsidRPr="00131533">
        <w:t>devient le paragraphe 9.1.2.</w:t>
      </w:r>
    </w:p>
    <w:p w:rsidR="00131533" w:rsidRPr="00131533" w:rsidRDefault="00131533" w:rsidP="00131533">
      <w:pPr>
        <w:pStyle w:val="SingleTxtG"/>
      </w:pPr>
      <w:r w:rsidRPr="00131533">
        <w:rPr>
          <w:i/>
        </w:rPr>
        <w:t xml:space="preserve">Le paragraphe 9.4 </w:t>
      </w:r>
      <w:r w:rsidRPr="00131533">
        <w:t>devient le paragraphe 9.2.</w:t>
      </w:r>
    </w:p>
    <w:p w:rsidR="00131533" w:rsidRPr="00131533" w:rsidRDefault="00131533" w:rsidP="00131533">
      <w:pPr>
        <w:pStyle w:val="SingleTxtG"/>
      </w:pPr>
      <w:r w:rsidRPr="00131533">
        <w:rPr>
          <w:i/>
        </w:rPr>
        <w:lastRenderedPageBreak/>
        <w:t xml:space="preserve">Le paragraphe 9.5 </w:t>
      </w:r>
      <w:r w:rsidRPr="00131533">
        <w:t>devient le paragraphe 9.3.</w:t>
      </w:r>
    </w:p>
    <w:p w:rsidR="00131533" w:rsidRPr="00131533" w:rsidRDefault="00131533" w:rsidP="00131533">
      <w:pPr>
        <w:pStyle w:val="SingleTxtG"/>
      </w:pPr>
      <w:r w:rsidRPr="00131533">
        <w:rPr>
          <w:i/>
        </w:rPr>
        <w:t xml:space="preserve">Le paragraphe 9.6 </w:t>
      </w:r>
      <w:r w:rsidRPr="00131533">
        <w:t>devient le paragraphe 9.4.</w:t>
      </w:r>
    </w:p>
    <w:p w:rsidR="00131533" w:rsidRPr="00131533" w:rsidRDefault="00EF5C13" w:rsidP="00131533">
      <w:pPr>
        <w:pStyle w:val="SingleTxtG"/>
        <w:rPr>
          <w:bCs/>
          <w:i/>
        </w:rPr>
      </w:pPr>
      <w:r>
        <w:rPr>
          <w:bCs/>
          <w:i/>
        </w:rPr>
        <w:t>Annexe 4</w:t>
      </w:r>
      <w:r w:rsidRPr="00EF5C13">
        <w:rPr>
          <w:bCs/>
        </w:rPr>
        <w:t>,</w:t>
      </w:r>
    </w:p>
    <w:p w:rsidR="00131533" w:rsidRPr="00131533" w:rsidRDefault="00131533" w:rsidP="00131533">
      <w:pPr>
        <w:pStyle w:val="SingleTxtG"/>
      </w:pPr>
      <w:r w:rsidRPr="00131533">
        <w:rPr>
          <w:i/>
        </w:rPr>
        <w:t>Paragraphe 1.2.1.1.2</w:t>
      </w:r>
      <w:r w:rsidRPr="00131533">
        <w:t>, lire :</w:t>
      </w:r>
    </w:p>
    <w:p w:rsidR="00131533" w:rsidRPr="00131533" w:rsidRDefault="00131533" w:rsidP="00EF5C13">
      <w:pPr>
        <w:pStyle w:val="SingleTxtG"/>
        <w:ind w:left="2268" w:hanging="1134"/>
      </w:pPr>
      <w:r w:rsidRPr="00131533">
        <w:t>« 1.2.1.1.2</w:t>
      </w:r>
      <w:r w:rsidRPr="00131533">
        <w:tab/>
        <w:t>Pour un projecteur avec lentille extérieure en plastique :</w:t>
      </w:r>
    </w:p>
    <w:p w:rsidR="00131533" w:rsidRPr="00131533" w:rsidRDefault="00131533" w:rsidP="00EF5C13">
      <w:pPr>
        <w:pStyle w:val="SingleTxtG"/>
        <w:ind w:left="2268"/>
      </w:pPr>
      <w:r w:rsidRPr="00131533">
        <w:t>Le mélange d</w:t>
      </w:r>
      <w:r w:rsidR="008729F7">
        <w:t>’</w:t>
      </w:r>
      <w:r w:rsidRPr="00131533">
        <w:t>eau et de polluant à appliquer sur le projecteur doit être constitué de :</w:t>
      </w:r>
    </w:p>
    <w:p w:rsidR="00131533" w:rsidRPr="00131533" w:rsidRDefault="00131533" w:rsidP="00EF5C13">
      <w:pPr>
        <w:pStyle w:val="SingleTxtG"/>
        <w:ind w:left="2835" w:hanging="567"/>
      </w:pPr>
      <w:r w:rsidRPr="00131533">
        <w:t>a)</w:t>
      </w:r>
      <w:r w:rsidRPr="00131533">
        <w:tab/>
        <w:t>9 parties (en poids) de sable de silice dont la granulométrie est comprise entre 0 et 100</w:t>
      </w:r>
      <w:r w:rsidR="00EF5C13">
        <w:t> </w:t>
      </w:r>
      <w:r w:rsidRPr="00131533">
        <w:t>μm</w:t>
      </w:r>
      <w:r w:rsidR="00EF5C13">
        <w:t> ;</w:t>
      </w:r>
    </w:p>
    <w:p w:rsidR="00131533" w:rsidRPr="00131533" w:rsidRDefault="00131533" w:rsidP="00EF5C13">
      <w:pPr>
        <w:pStyle w:val="SingleTxtG"/>
        <w:ind w:left="2835" w:hanging="567"/>
      </w:pPr>
      <w:r w:rsidRPr="00131533">
        <w:t>b)</w:t>
      </w:r>
      <w:r w:rsidRPr="00131533">
        <w:tab/>
        <w:t>1 partie (en poids) de poussière de charbon végétal (bois de hêtre), de granulométrie comprise entre 0 et 100</w:t>
      </w:r>
      <w:r w:rsidR="00EF5C13">
        <w:t> </w:t>
      </w:r>
      <w:r w:rsidRPr="00131533">
        <w:t>μm</w:t>
      </w:r>
      <w:r w:rsidR="00EF5C13">
        <w:t> ;</w:t>
      </w:r>
    </w:p>
    <w:p w:rsidR="00131533" w:rsidRPr="00EF5C13" w:rsidRDefault="00131533" w:rsidP="00EF5C13">
      <w:pPr>
        <w:pStyle w:val="SingleTxtG"/>
        <w:ind w:left="2835" w:hanging="567"/>
      </w:pPr>
      <w:r w:rsidRPr="00131533">
        <w:t>c)</w:t>
      </w:r>
      <w:r w:rsidRPr="00131533">
        <w:tab/>
        <w:t>0,2 partie (en poids) de NaCMC</w:t>
      </w:r>
      <w:r w:rsidRPr="00131533">
        <w:rPr>
          <w:vertAlign w:val="superscript"/>
        </w:rPr>
        <w:t>3</w:t>
      </w:r>
      <w:r w:rsidR="00EF5C13">
        <w:rPr>
          <w:vertAlign w:val="superscript"/>
        </w:rPr>
        <w:t> </w:t>
      </w:r>
      <w:r w:rsidR="00EF5C13">
        <w:t>;</w:t>
      </w:r>
    </w:p>
    <w:p w:rsidR="00131533" w:rsidRPr="00131533" w:rsidRDefault="00131533" w:rsidP="00EF5C13">
      <w:pPr>
        <w:pStyle w:val="SingleTxtG"/>
        <w:ind w:left="2835" w:hanging="567"/>
      </w:pPr>
      <w:r w:rsidRPr="00131533">
        <w:t>d)</w:t>
      </w:r>
      <w:r w:rsidRPr="00131533">
        <w:tab/>
        <w:t>5 parties (en poids) de chlorure de sodium (pur à 99</w:t>
      </w:r>
      <w:r w:rsidR="00EF5C13">
        <w:t> </w:t>
      </w:r>
      <w:r w:rsidRPr="00131533">
        <w:t>%)</w:t>
      </w:r>
      <w:r w:rsidR="00EF5C13">
        <w:t> ;</w:t>
      </w:r>
    </w:p>
    <w:p w:rsidR="00131533" w:rsidRPr="00131533" w:rsidRDefault="00131533" w:rsidP="00EF5C13">
      <w:pPr>
        <w:pStyle w:val="SingleTxtG"/>
        <w:ind w:left="2835" w:hanging="567"/>
        <w:rPr>
          <w:vertAlign w:val="superscript"/>
        </w:rPr>
      </w:pPr>
      <w:r w:rsidRPr="00131533">
        <w:t>e)</w:t>
      </w:r>
      <w:r w:rsidRPr="00131533">
        <w:tab/>
        <w:t>13 parties d</w:t>
      </w:r>
      <w:r w:rsidR="008729F7">
        <w:t>’</w:t>
      </w:r>
      <w:r w:rsidRPr="00131533">
        <w:t xml:space="preserve">eau distillée de conductivité </w:t>
      </w:r>
      <w:r w:rsidRPr="00131533">
        <w:sym w:font="Symbol" w:char="F0A3"/>
      </w:r>
      <w:r w:rsidRPr="00131533">
        <w:t xml:space="preserve"> 1</w:t>
      </w:r>
      <w:r w:rsidR="00210AB4">
        <w:t> </w:t>
      </w:r>
      <w:r w:rsidRPr="00131533">
        <w:t>mS/m</w:t>
      </w:r>
      <w:r w:rsidR="00EF5C13">
        <w:t> ;</w:t>
      </w:r>
      <w:r w:rsidRPr="00131533">
        <w:t xml:space="preserve"> et</w:t>
      </w:r>
    </w:p>
    <w:p w:rsidR="00131533" w:rsidRPr="00131533" w:rsidRDefault="00131533" w:rsidP="00EF5C13">
      <w:pPr>
        <w:pStyle w:val="SingleTxtG"/>
        <w:ind w:left="2835" w:hanging="567"/>
      </w:pPr>
      <w:r w:rsidRPr="00131533">
        <w:t>f)</w:t>
      </w:r>
      <w:r w:rsidRPr="00131533">
        <w:tab/>
        <w:t xml:space="preserve">2 </w:t>
      </w:r>
      <w:r w:rsidR="004C424A">
        <w:sym w:font="Symbol" w:char="F0B1"/>
      </w:r>
      <w:r w:rsidRPr="00131533">
        <w:t xml:space="preserve"> 1 gouttes d</w:t>
      </w:r>
      <w:r w:rsidR="008729F7">
        <w:t>’</w:t>
      </w:r>
      <w:r w:rsidRPr="00131533">
        <w:t>agent mouillant</w:t>
      </w:r>
      <w:r w:rsidRPr="00131533">
        <w:rPr>
          <w:vertAlign w:val="superscript"/>
        </w:rPr>
        <w:t>4</w:t>
      </w:r>
      <w:r w:rsidRPr="00131533">
        <w:t>.</w:t>
      </w:r>
    </w:p>
    <w:p w:rsidR="00131533" w:rsidRPr="00131533" w:rsidRDefault="00131533" w:rsidP="00EF5C13">
      <w:pPr>
        <w:pStyle w:val="SingleTxtG"/>
        <w:ind w:left="2835" w:hanging="567"/>
      </w:pPr>
      <w:r w:rsidRPr="00131533">
        <w:t>Le mélange ne doit pas dater de plus de 14 jours. ».</w:t>
      </w:r>
    </w:p>
    <w:p w:rsidR="00131533" w:rsidRPr="00131533" w:rsidRDefault="00131533" w:rsidP="00131533">
      <w:pPr>
        <w:pStyle w:val="SingleTxtG"/>
      </w:pPr>
      <w:r w:rsidRPr="00131533">
        <w:rPr>
          <w:i/>
        </w:rPr>
        <w:t>Paragraphe 2.2</w:t>
      </w:r>
      <w:r w:rsidRPr="00131533">
        <w:t>, lire</w:t>
      </w:r>
      <w:r w:rsidR="00EF5C13">
        <w:t> </w:t>
      </w:r>
      <w:r w:rsidRPr="00131533">
        <w:t>:</w:t>
      </w:r>
    </w:p>
    <w:p w:rsidR="00131533" w:rsidRPr="00131533" w:rsidRDefault="00131533" w:rsidP="00B656DD">
      <w:pPr>
        <w:pStyle w:val="SingleTxtG"/>
        <w:ind w:left="2268" w:hanging="1134"/>
      </w:pPr>
      <w:r w:rsidRPr="00131533">
        <w:t>«</w:t>
      </w:r>
      <w:r w:rsidR="00B656DD">
        <w:t> </w:t>
      </w:r>
      <w:r w:rsidRPr="00131533">
        <w:t>2.2</w:t>
      </w:r>
      <w:r w:rsidRPr="00131533">
        <w:tab/>
        <w:t>Résultats de l</w:t>
      </w:r>
      <w:r w:rsidR="008729F7">
        <w:t>’</w:t>
      </w:r>
      <w:r w:rsidRPr="00131533">
        <w:t>essai</w:t>
      </w:r>
    </w:p>
    <w:p w:rsidR="00131533" w:rsidRPr="00131533" w:rsidRDefault="00131533" w:rsidP="00B656DD">
      <w:pPr>
        <w:pStyle w:val="SingleTxtG"/>
        <w:ind w:left="2268" w:hanging="1134"/>
      </w:pPr>
      <w:r w:rsidRPr="00131533">
        <w:t>2.2.1</w:t>
      </w:r>
      <w:r w:rsidRPr="00131533">
        <w:tab/>
        <w:t>Le résultat exprimé en milliradians (mrad) est considéré comme acceptable pour un feu de croisement quand la valeur absolue Δr</w:t>
      </w:r>
      <w:r w:rsidRPr="00131533">
        <w:rPr>
          <w:vertAlign w:val="subscript"/>
        </w:rPr>
        <w:t>I</w:t>
      </w:r>
      <w:r w:rsidRPr="00131533">
        <w:t xml:space="preserve"> = | r</w:t>
      </w:r>
      <w:r w:rsidRPr="00131533">
        <w:rPr>
          <w:vertAlign w:val="subscript"/>
        </w:rPr>
        <w:t>3</w:t>
      </w:r>
      <w:r w:rsidRPr="00131533">
        <w:t xml:space="preserve"> </w:t>
      </w:r>
      <w:r w:rsidR="00210AB4">
        <w:t>−</w:t>
      </w:r>
      <w:r w:rsidR="004C424A">
        <w:t xml:space="preserve"> </w:t>
      </w:r>
      <w:r w:rsidRPr="00131533">
        <w:t>r</w:t>
      </w:r>
      <w:r w:rsidRPr="00131533">
        <w:rPr>
          <w:vertAlign w:val="subscript"/>
        </w:rPr>
        <w:t>60</w:t>
      </w:r>
      <w:r w:rsidRPr="00131533">
        <w:t xml:space="preserve"> | enregistrée sur le projecteur n</w:t>
      </w:r>
      <w:r w:rsidR="008729F7">
        <w:t>’</w:t>
      </w:r>
      <w:r w:rsidRPr="00131533">
        <w:t>est pas supérieure à 1,0 mrad (Δr</w:t>
      </w:r>
      <w:r w:rsidRPr="00131533">
        <w:rPr>
          <w:vertAlign w:val="subscript"/>
        </w:rPr>
        <w:t>I</w:t>
      </w:r>
      <w:r w:rsidRPr="00131533">
        <w:t xml:space="preserve"> </w:t>
      </w:r>
      <w:r w:rsidR="00210AB4" w:rsidRPr="00131533">
        <w:t>&lt;</w:t>
      </w:r>
      <w:r w:rsidRPr="00131533">
        <w:t xml:space="preserve"> </w:t>
      </w:r>
      <w:r w:rsidR="00B656DD">
        <w:t>1,0 mrad) vers le haut ni à 2,0 </w:t>
      </w:r>
      <w:r w:rsidRPr="00131533">
        <w:t>mrad (Δr</w:t>
      </w:r>
      <w:r w:rsidRPr="00131533">
        <w:rPr>
          <w:vertAlign w:val="subscript"/>
        </w:rPr>
        <w:t>I</w:t>
      </w:r>
      <w:r w:rsidRPr="00131533">
        <w:t xml:space="preserve"> </w:t>
      </w:r>
      <w:r w:rsidR="00210AB4" w:rsidRPr="00131533">
        <w:t>≤</w:t>
      </w:r>
      <w:r w:rsidRPr="00131533">
        <w:t xml:space="preserve"> 2,0 mrad) vers le bas.</w:t>
      </w:r>
    </w:p>
    <w:p w:rsidR="00F9573C" w:rsidRDefault="00B656DD" w:rsidP="00B656DD">
      <w:pPr>
        <w:pStyle w:val="SingleTxtG"/>
        <w:ind w:left="2268" w:hanging="1134"/>
      </w:pPr>
      <w:r>
        <w:t>2.2.2</w:t>
      </w:r>
      <w:r w:rsidR="00131533" w:rsidRPr="00131533">
        <w:tab/>
        <w:t>Cependant, si cette valeur est 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962"/>
      </w:tblGrid>
      <w:tr w:rsidR="00B656DD" w:rsidRPr="00D86BD0" w:rsidTr="00457BE9">
        <w:tc>
          <w:tcPr>
            <w:tcW w:w="2409" w:type="dxa"/>
            <w:tcBorders>
              <w:bottom w:val="single" w:sz="12" w:space="0" w:color="auto"/>
            </w:tcBorders>
          </w:tcPr>
          <w:p w:rsidR="00B656DD" w:rsidRPr="00D86BD0" w:rsidRDefault="00B656DD" w:rsidP="00B656DD">
            <w:pPr>
              <w:widowControl w:val="0"/>
              <w:tabs>
                <w:tab w:val="left" w:pos="1560"/>
              </w:tabs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Sens de déplacement</w:t>
            </w: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:rsidR="00B656DD" w:rsidRPr="00D86BD0" w:rsidRDefault="00B656DD" w:rsidP="00B656DD">
            <w:pPr>
              <w:widowControl w:val="0"/>
              <w:tabs>
                <w:tab w:val="left" w:pos="1560"/>
              </w:tabs>
              <w:spacing w:before="80" w:after="80" w:line="200" w:lineRule="exact"/>
              <w:ind w:left="57" w:right="10" w:hanging="1134"/>
              <w:rPr>
                <w:sz w:val="16"/>
                <w:szCs w:val="16"/>
                <w:lang w:val="en-US" w:eastAsia="ja-JP"/>
              </w:rPr>
            </w:pPr>
          </w:p>
        </w:tc>
      </w:tr>
      <w:tr w:rsidR="00B656DD" w:rsidRPr="00F44C17" w:rsidTr="00457BE9"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6DD" w:rsidRPr="00142C19" w:rsidRDefault="00B656DD" w:rsidP="00457BE9">
            <w:pPr>
              <w:widowControl w:val="0"/>
              <w:tabs>
                <w:tab w:val="left" w:pos="1560"/>
              </w:tabs>
              <w:spacing w:before="60" w:after="60" w:line="220" w:lineRule="exact"/>
              <w:ind w:left="57" w:right="57"/>
            </w:pPr>
            <w:r>
              <w:t>Vers le haut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6DD" w:rsidRPr="00142C19" w:rsidRDefault="00B656DD" w:rsidP="00457BE9">
            <w:pPr>
              <w:widowControl w:val="0"/>
              <w:spacing w:before="60" w:after="60" w:line="220" w:lineRule="exact"/>
              <w:ind w:left="57"/>
            </w:pPr>
            <w:r>
              <w:t>Supérieure à 1,0 mrad mais inférieure ou égale à 1,5 mrad</w:t>
            </w:r>
            <w:r w:rsidR="00457BE9">
              <w:t xml:space="preserve"> </w:t>
            </w:r>
            <w:r>
              <w:t>(1,0 mrad &lt; Δr</w:t>
            </w:r>
            <w:r>
              <w:rPr>
                <w:vertAlign w:val="subscript"/>
              </w:rPr>
              <w:t>I</w:t>
            </w:r>
            <w:r>
              <w:t xml:space="preserve"> </w:t>
            </w:r>
            <w:r>
              <w:rPr>
                <w:u w:val="single"/>
              </w:rPr>
              <w:t>&lt;</w:t>
            </w:r>
            <w:r>
              <w:t xml:space="preserve"> 1,5 mrad)</w:t>
            </w:r>
          </w:p>
        </w:tc>
      </w:tr>
      <w:tr w:rsidR="00B656DD" w:rsidRPr="00F44C17" w:rsidTr="00457BE9">
        <w:tc>
          <w:tcPr>
            <w:tcW w:w="24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DD" w:rsidRPr="00142C19" w:rsidRDefault="00B656DD" w:rsidP="00457BE9">
            <w:pPr>
              <w:widowControl w:val="0"/>
              <w:tabs>
                <w:tab w:val="left" w:pos="1560"/>
              </w:tabs>
              <w:spacing w:before="60" w:after="60" w:line="220" w:lineRule="exact"/>
              <w:ind w:left="57" w:right="57"/>
            </w:pPr>
            <w:r>
              <w:t>Vers le bas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56DD" w:rsidRPr="00142C19" w:rsidRDefault="00B656DD" w:rsidP="00457BE9">
            <w:pPr>
              <w:widowControl w:val="0"/>
              <w:spacing w:before="60" w:after="60" w:line="220" w:lineRule="exact"/>
              <w:ind w:left="57"/>
            </w:pPr>
            <w:r>
              <w:t>Supérieure à 2,0 mrad mais inférieure ou égale à 3,0 mrad (2,0 mrad &lt; Δr</w:t>
            </w:r>
            <w:r>
              <w:rPr>
                <w:vertAlign w:val="subscript"/>
              </w:rPr>
              <w:t>I</w:t>
            </w:r>
            <w:r>
              <w:t xml:space="preserve"> </w:t>
            </w:r>
            <w:r>
              <w:rPr>
                <w:u w:val="single"/>
              </w:rPr>
              <w:t>&lt;</w:t>
            </w:r>
            <w:r>
              <w:t xml:space="preserve"> 3,0 mrad)</w:t>
            </w:r>
          </w:p>
        </w:tc>
      </w:tr>
    </w:tbl>
    <w:p w:rsidR="0093329D" w:rsidRPr="00142C19" w:rsidRDefault="0093329D" w:rsidP="0093329D">
      <w:pPr>
        <w:pStyle w:val="SingleTxtG"/>
        <w:spacing w:before="240"/>
        <w:ind w:left="2268"/>
      </w:pPr>
      <w:r>
        <w:t>Un autre échantillon de projecteur monté sur un appareillage d</w:t>
      </w:r>
      <w:r w:rsidR="008729F7">
        <w:t>’</w:t>
      </w:r>
      <w:r>
        <w:t>essai représentatif de son installation correcte sur le véhicule est mis à l</w:t>
      </w:r>
      <w:r w:rsidR="008729F7">
        <w:t>’</w:t>
      </w:r>
      <w:r>
        <w:t>essai comme prévu au paragraphe 2.1 ci-dessus, après avoir été soumis trois fois de suite au cycle décrit ci-dessous, afin de stabiliser la position des parties mécaniques du projecteur :</w:t>
      </w:r>
    </w:p>
    <w:p w:rsidR="0093329D" w:rsidRPr="00142C19" w:rsidRDefault="0093329D" w:rsidP="0093329D">
      <w:pPr>
        <w:pStyle w:val="SingleTxtG"/>
        <w:ind w:left="2835" w:hanging="567"/>
      </w:pPr>
      <w:r>
        <w:t>a)</w:t>
      </w:r>
      <w:r>
        <w:tab/>
        <w:t>1 heure de fonctionnement du projecteur (la tension étant réglée comme prévu au paragraphe 1.1.1.2 de la présente annexe) ;</w:t>
      </w:r>
    </w:p>
    <w:p w:rsidR="0093329D" w:rsidRPr="00142C19" w:rsidRDefault="0093329D" w:rsidP="0093329D">
      <w:pPr>
        <w:pStyle w:val="SingleTxtG"/>
        <w:ind w:left="2835" w:hanging="567"/>
      </w:pPr>
      <w:r>
        <w:t>b)</w:t>
      </w:r>
      <w:r>
        <w:tab/>
        <w:t>1 heure de mise hors tension du projecteur.</w:t>
      </w:r>
    </w:p>
    <w:p w:rsidR="0093329D" w:rsidRPr="00142C19" w:rsidRDefault="0093329D" w:rsidP="0093329D">
      <w:pPr>
        <w:widowControl w:val="0"/>
        <w:spacing w:after="120"/>
        <w:ind w:left="2268" w:rightChars="567" w:right="1134"/>
        <w:jc w:val="both"/>
      </w:pPr>
      <w:r>
        <w:t>Après avoir été soumis trois fois de suite à ce cycle, le projecteur est considéré comme acceptable si les valeurs absolues ∆r mesurées sur cet autre échantillon comme prévu au paragraphe 2.1 ci-dessus satisfont aux prescriptions du paragraphe 2.2.1 ci-dessus. ».</w:t>
      </w:r>
    </w:p>
    <w:p w:rsidR="0093329D" w:rsidRDefault="0093329D" w:rsidP="00B81B8E">
      <w:pPr>
        <w:keepNext/>
        <w:widowControl w:val="0"/>
        <w:tabs>
          <w:tab w:val="left" w:pos="1560"/>
        </w:tabs>
        <w:spacing w:after="120"/>
        <w:ind w:left="2268" w:right="1134" w:hanging="1134"/>
        <w:rPr>
          <w:i/>
        </w:rPr>
      </w:pPr>
      <w:r>
        <w:rPr>
          <w:i/>
        </w:rPr>
        <w:lastRenderedPageBreak/>
        <w:t>Annexe 5</w:t>
      </w:r>
      <w:r w:rsidRPr="00B81B8E">
        <w:t>,</w:t>
      </w:r>
    </w:p>
    <w:p w:rsidR="0093329D" w:rsidRPr="00C031B0" w:rsidRDefault="0093329D" w:rsidP="0093329D">
      <w:pPr>
        <w:widowControl w:val="0"/>
        <w:tabs>
          <w:tab w:val="left" w:pos="1560"/>
        </w:tabs>
        <w:spacing w:after="120"/>
        <w:ind w:left="2268" w:right="1134" w:hanging="1134"/>
      </w:pPr>
      <w:r>
        <w:rPr>
          <w:i/>
        </w:rPr>
        <w:t>Paragraphe 1.4</w:t>
      </w:r>
      <w:r>
        <w:t>, lire</w:t>
      </w:r>
      <w:r w:rsidR="00B81B8E">
        <w:t> </w:t>
      </w:r>
      <w:r>
        <w:t>:</w:t>
      </w:r>
    </w:p>
    <w:p w:rsidR="0093329D" w:rsidRPr="00C031B0" w:rsidRDefault="0093329D" w:rsidP="0093329D">
      <w:pPr>
        <w:widowControl w:val="0"/>
        <w:spacing w:after="120"/>
        <w:ind w:left="2268" w:right="1134" w:hanging="1134"/>
        <w:jc w:val="both"/>
      </w:pPr>
      <w:r>
        <w:t>« </w:t>
      </w:r>
      <w:r w:rsidR="00B81B8E">
        <w:t>1.4</w:t>
      </w:r>
      <w:r>
        <w:tab/>
        <w:t>Pour vérifier le déplacement de la position verticale de la ligne de coupure sous l</w:t>
      </w:r>
      <w:r w:rsidR="008729F7">
        <w:t>’</w:t>
      </w:r>
      <w:r>
        <w:t>effet de la chaleur, la méthode ci-dessous est appliquée (pour des projecteurs des classes B, C, D et E seulement) :</w:t>
      </w:r>
    </w:p>
    <w:p w:rsidR="0093329D" w:rsidRPr="00C031B0" w:rsidRDefault="0093329D" w:rsidP="0093329D">
      <w:pPr>
        <w:widowControl w:val="0"/>
        <w:spacing w:after="120"/>
        <w:ind w:left="2268" w:right="1134"/>
        <w:jc w:val="both"/>
      </w:pPr>
      <w:r>
        <w:t>Un des projecteurs prélevés est soumis aux essais conformément à la méthode prévue au paragraphe</w:t>
      </w:r>
      <w:r w:rsidR="001C6883">
        <w:t> </w:t>
      </w:r>
      <w:r>
        <w:t>2.1 de l</w:t>
      </w:r>
      <w:r w:rsidR="008729F7">
        <w:t>’</w:t>
      </w:r>
      <w:r>
        <w:t>annexe</w:t>
      </w:r>
      <w:r w:rsidR="001C6883">
        <w:t> </w:t>
      </w:r>
      <w:r>
        <w:t>4, après avoir été soumis trois fois de suite au cycle défini au paragraphe</w:t>
      </w:r>
      <w:r w:rsidR="001C6883">
        <w:t> </w:t>
      </w:r>
      <w:r>
        <w:t>2.2.2 de l</w:t>
      </w:r>
      <w:r w:rsidR="008729F7">
        <w:t>’</w:t>
      </w:r>
      <w:r>
        <w:t>annexe</w:t>
      </w:r>
      <w:r w:rsidR="001C6883">
        <w:t> </w:t>
      </w:r>
      <w:r>
        <w:t>4.</w:t>
      </w:r>
    </w:p>
    <w:p w:rsidR="0093329D" w:rsidRPr="00142C19" w:rsidRDefault="0093329D" w:rsidP="0093329D">
      <w:pPr>
        <w:widowControl w:val="0"/>
        <w:spacing w:after="120"/>
        <w:ind w:left="2268" w:right="1134"/>
        <w:jc w:val="both"/>
      </w:pPr>
      <w:r>
        <w:t>Le projecteur est considéré comme acceptable si ∆r ne dépasse pas 1,5 mrad vers le haut et 2,5</w:t>
      </w:r>
      <w:r w:rsidR="001C6883">
        <w:t> </w:t>
      </w:r>
      <w:r>
        <w:t>mrad vers le bas.</w:t>
      </w:r>
    </w:p>
    <w:p w:rsidR="0093329D" w:rsidRPr="00142C19" w:rsidRDefault="0093329D" w:rsidP="0093329D">
      <w:pPr>
        <w:widowControl w:val="0"/>
        <w:spacing w:after="120"/>
        <w:ind w:left="2268" w:right="1134"/>
        <w:jc w:val="both"/>
        <w:rPr>
          <w:bCs/>
        </w:rPr>
      </w:pPr>
      <w:r>
        <w:t>Si cette valeur dépasse 1,5 mrad sans excéder 2</w:t>
      </w:r>
      <w:r w:rsidR="00070CCD">
        <w:t>,0</w:t>
      </w:r>
      <w:r w:rsidR="001C6883">
        <w:t> </w:t>
      </w:r>
      <w:r>
        <w:t>mrad vers le haut ou si elle dépasse 2,5</w:t>
      </w:r>
      <w:r w:rsidR="001C6883">
        <w:t> </w:t>
      </w:r>
      <w:r>
        <w:t>mrad sans excéder 3,0</w:t>
      </w:r>
      <w:r w:rsidR="001C6883">
        <w:t> </w:t>
      </w:r>
      <w:r>
        <w:t>mrad vers le bas, un second spécimen est soumis à l</w:t>
      </w:r>
      <w:r w:rsidR="008729F7">
        <w:t>’</w:t>
      </w:r>
      <w:r>
        <w:t>essai, après quoi la moyenne des valeurs absolues enregistrées pour les deux spécimens ne doit pas dépasser 1,5 mrad vers le haut et 2,5</w:t>
      </w:r>
      <w:r w:rsidR="001C6883">
        <w:t> </w:t>
      </w:r>
      <w:r>
        <w:t>mrad vers le bas. ».</w:t>
      </w:r>
    </w:p>
    <w:p w:rsidR="0093329D" w:rsidRDefault="00225261" w:rsidP="0093329D">
      <w:pPr>
        <w:spacing w:after="120" w:line="240" w:lineRule="auto"/>
        <w:ind w:left="2268" w:right="1134" w:hanging="1134"/>
        <w:jc w:val="both"/>
        <w:rPr>
          <w:i/>
        </w:rPr>
      </w:pPr>
      <w:r>
        <w:rPr>
          <w:i/>
        </w:rPr>
        <w:t>Annexe 7</w:t>
      </w:r>
      <w:r w:rsidRPr="00225261">
        <w:t>,</w:t>
      </w:r>
    </w:p>
    <w:p w:rsidR="0093329D" w:rsidRPr="00C94286" w:rsidRDefault="0093329D" w:rsidP="0093329D">
      <w:pPr>
        <w:spacing w:after="120" w:line="240" w:lineRule="auto"/>
        <w:ind w:left="2268" w:right="1134" w:hanging="1134"/>
        <w:jc w:val="both"/>
      </w:pPr>
      <w:r>
        <w:rPr>
          <w:i/>
        </w:rPr>
        <w:t>Paragraphes 2 à 5</w:t>
      </w:r>
      <w:r>
        <w:t>, lire</w:t>
      </w:r>
      <w:r w:rsidR="00225261">
        <w:t> </w:t>
      </w:r>
      <w:r>
        <w:t>:</w:t>
      </w:r>
    </w:p>
    <w:p w:rsidR="0093329D" w:rsidRPr="00C94286" w:rsidRDefault="0093329D" w:rsidP="009117C7">
      <w:pPr>
        <w:widowControl w:val="0"/>
        <w:spacing w:after="120"/>
        <w:ind w:left="2268" w:right="1134" w:hanging="1134"/>
        <w:jc w:val="both"/>
      </w:pPr>
      <w:r>
        <w:t>«</w:t>
      </w:r>
      <w:r w:rsidR="009117C7">
        <w:t> </w:t>
      </w:r>
      <w:r>
        <w:t>2.</w:t>
      </w:r>
      <w:r>
        <w:tab/>
        <w:t>Premier prélèvement</w:t>
      </w:r>
    </w:p>
    <w:p w:rsidR="0093329D" w:rsidRPr="00C94286" w:rsidRDefault="0093329D" w:rsidP="009117C7">
      <w:pPr>
        <w:widowControl w:val="0"/>
        <w:spacing w:after="120"/>
        <w:ind w:left="2268" w:right="1134"/>
        <w:jc w:val="both"/>
      </w:pPr>
      <w:r>
        <w:t>Lors du premier prélèvement, quatre projecteurs sont choisis au hasard. La lettre</w:t>
      </w:r>
      <w:r w:rsidR="009117C7">
        <w:t> </w:t>
      </w:r>
      <w:r>
        <w:t>A est apposée sur le premier et le troisième, et la lettre</w:t>
      </w:r>
      <w:r w:rsidR="009117C7">
        <w:t> </w:t>
      </w:r>
      <w:r>
        <w:t>B sur le deuxième et le quatrième.</w:t>
      </w:r>
    </w:p>
    <w:p w:rsidR="0093329D" w:rsidRPr="00C94286" w:rsidRDefault="00F72E62" w:rsidP="009117C7">
      <w:pPr>
        <w:widowControl w:val="0"/>
        <w:spacing w:after="120"/>
        <w:ind w:left="2268" w:right="1134" w:hanging="1134"/>
        <w:jc w:val="both"/>
      </w:pPr>
      <w:r>
        <w:t>2.1</w:t>
      </w:r>
      <w:r w:rsidR="0093329D">
        <w:tab/>
        <w:t>La conformité des projecteurs de série n</w:t>
      </w:r>
      <w:r w:rsidR="008729F7">
        <w:t>’</w:t>
      </w:r>
      <w:r w:rsidR="0093329D">
        <w:t>est pas contestée si aucune valeur mesurée sur les feux des échantillons</w:t>
      </w:r>
      <w:r w:rsidR="00B31931">
        <w:t> </w:t>
      </w:r>
      <w:r w:rsidR="0093329D">
        <w:t>A et B ne s</w:t>
      </w:r>
      <w:r w:rsidR="008729F7">
        <w:t>’</w:t>
      </w:r>
      <w:r w:rsidR="0093329D">
        <w:t>écarte de plus de 20</w:t>
      </w:r>
      <w:r w:rsidR="009117C7">
        <w:t> </w:t>
      </w:r>
      <w:r w:rsidR="0093329D">
        <w:t>% (pour aucun des quatre feux).</w:t>
      </w:r>
    </w:p>
    <w:p w:rsidR="0093329D" w:rsidRPr="00C94286" w:rsidRDefault="0093329D" w:rsidP="009117C7">
      <w:pPr>
        <w:widowControl w:val="0"/>
        <w:spacing w:after="120"/>
        <w:ind w:left="2268" w:right="1134"/>
        <w:jc w:val="both"/>
      </w:pPr>
      <w:r>
        <w:t>Si l</w:t>
      </w:r>
      <w:r w:rsidR="008729F7">
        <w:t>’</w:t>
      </w:r>
      <w:r>
        <w:t>écart n</w:t>
      </w:r>
      <w:r w:rsidR="008729F7">
        <w:t>’</w:t>
      </w:r>
      <w:r>
        <w:t>est pas supérieur à 0</w:t>
      </w:r>
      <w:r w:rsidR="009117C7">
        <w:t> </w:t>
      </w:r>
      <w:r>
        <w:t>% pour les deux feux de l</w:t>
      </w:r>
      <w:r w:rsidR="008729F7">
        <w:t>’</w:t>
      </w:r>
      <w:r>
        <w:t>échantillon</w:t>
      </w:r>
      <w:r w:rsidR="007C5E8A">
        <w:t> </w:t>
      </w:r>
      <w:r>
        <w:t>A on peut arrêter les mesures.</w:t>
      </w:r>
    </w:p>
    <w:p w:rsidR="0093329D" w:rsidRPr="00C94286" w:rsidRDefault="0093329D" w:rsidP="009117C7">
      <w:pPr>
        <w:widowControl w:val="0"/>
        <w:spacing w:after="120"/>
        <w:ind w:left="2268" w:right="1134" w:hanging="1134"/>
        <w:jc w:val="both"/>
      </w:pPr>
      <w:r>
        <w:t>2.2</w:t>
      </w:r>
      <w:r>
        <w:tab/>
      </w:r>
      <w:r>
        <w:tab/>
        <w:t>La conformité des projecteurs de série est contestée si l</w:t>
      </w:r>
      <w:r w:rsidR="008729F7">
        <w:t>’</w:t>
      </w:r>
      <w:r>
        <w:t>écart de la valeur mesurée sur au moins un projecteur des échantillons</w:t>
      </w:r>
      <w:r w:rsidR="00B31931">
        <w:t> </w:t>
      </w:r>
      <w:r>
        <w:t>A ou B dépasse 20</w:t>
      </w:r>
      <w:r w:rsidR="009117C7">
        <w:t> </w:t>
      </w:r>
      <w:r>
        <w:t>%.</w:t>
      </w:r>
    </w:p>
    <w:p w:rsidR="0093329D" w:rsidRPr="00C94286" w:rsidRDefault="0093329D" w:rsidP="009117C7">
      <w:pPr>
        <w:widowControl w:val="0"/>
        <w:spacing w:after="120"/>
        <w:ind w:left="2268" w:right="1134"/>
        <w:jc w:val="both"/>
      </w:pPr>
      <w:r>
        <w:t>Le fabricant doit être prié de mettre sa production en conformité avec les prescriptions et il faudra procéder à un deuxième prélèvement, conformément au paragraphe</w:t>
      </w:r>
      <w:r w:rsidR="009117C7">
        <w:t> </w:t>
      </w:r>
      <w:r>
        <w:t>3, dans les deux mois qui suivent la notification. Les échantillons</w:t>
      </w:r>
      <w:r w:rsidR="00B31931">
        <w:t> </w:t>
      </w:r>
      <w:r>
        <w:t>A et B doivent être conservés par le service technique jusqu</w:t>
      </w:r>
      <w:r w:rsidR="008729F7">
        <w:t>’</w:t>
      </w:r>
      <w:r>
        <w:t>à la fin du processus de vérification de la conformité de la production.</w:t>
      </w:r>
    </w:p>
    <w:p w:rsidR="0093329D" w:rsidRPr="00C94286" w:rsidRDefault="0093329D" w:rsidP="009117C7">
      <w:pPr>
        <w:widowControl w:val="0"/>
        <w:spacing w:after="120"/>
        <w:ind w:left="2268" w:right="1134" w:hanging="1134"/>
        <w:jc w:val="both"/>
      </w:pPr>
      <w:r>
        <w:t>3.</w:t>
      </w:r>
      <w:r>
        <w:tab/>
      </w:r>
      <w:r>
        <w:tab/>
        <w:t>Deuxième prélèvement</w:t>
      </w:r>
    </w:p>
    <w:p w:rsidR="0093329D" w:rsidRPr="00C94286" w:rsidRDefault="0093329D" w:rsidP="009117C7">
      <w:pPr>
        <w:widowControl w:val="0"/>
        <w:spacing w:after="120"/>
        <w:ind w:left="2268" w:right="1134"/>
        <w:jc w:val="both"/>
        <w:rPr>
          <w:strike/>
        </w:rPr>
      </w:pPr>
      <w:r>
        <w:t>On choisit au hasard un échantillon de quatre feux parmi le stock produit après mise en conformité.</w:t>
      </w:r>
    </w:p>
    <w:p w:rsidR="0093329D" w:rsidRPr="00C94286" w:rsidRDefault="0093329D" w:rsidP="009117C7">
      <w:pPr>
        <w:widowControl w:val="0"/>
        <w:spacing w:after="120"/>
        <w:ind w:left="2268" w:right="1134"/>
        <w:jc w:val="both"/>
      </w:pPr>
      <w:r>
        <w:t>La lettre</w:t>
      </w:r>
      <w:r w:rsidR="00D10C15">
        <w:t> </w:t>
      </w:r>
      <w:r>
        <w:t>C est apposée sur le premier et le troisième, et la lettre</w:t>
      </w:r>
      <w:r w:rsidR="00D10C15">
        <w:t> </w:t>
      </w:r>
      <w:r>
        <w:t>D sur le deuxième et le quatrième.</w:t>
      </w:r>
    </w:p>
    <w:p w:rsidR="0093329D" w:rsidRPr="00C94286" w:rsidRDefault="0093329D" w:rsidP="009117C7">
      <w:pPr>
        <w:widowControl w:val="0"/>
        <w:spacing w:after="120"/>
        <w:ind w:left="2268" w:right="1134" w:hanging="1134"/>
        <w:jc w:val="both"/>
      </w:pPr>
      <w:r>
        <w:t>3.1</w:t>
      </w:r>
      <w:r>
        <w:tab/>
        <w:t>La conformité des projecteurs de série n</w:t>
      </w:r>
      <w:r w:rsidR="008729F7">
        <w:t>’</w:t>
      </w:r>
      <w:r>
        <w:t>est pas contestée si aucune valeur mesurée sur les feux des échantillons</w:t>
      </w:r>
      <w:r w:rsidR="00D10C15">
        <w:t> </w:t>
      </w:r>
      <w:r>
        <w:t>C et D ne s</w:t>
      </w:r>
      <w:r w:rsidR="008729F7">
        <w:t>’</w:t>
      </w:r>
      <w:r>
        <w:t>écarte de plus de 20</w:t>
      </w:r>
      <w:r w:rsidR="0008408B">
        <w:t> </w:t>
      </w:r>
      <w:r>
        <w:t>% (pour aucun des quatre feux).</w:t>
      </w:r>
    </w:p>
    <w:p w:rsidR="0093329D" w:rsidRPr="00C94286" w:rsidRDefault="0093329D" w:rsidP="009117C7">
      <w:pPr>
        <w:widowControl w:val="0"/>
        <w:spacing w:after="120"/>
        <w:ind w:left="2268" w:right="1134"/>
        <w:jc w:val="both"/>
      </w:pPr>
      <w:r>
        <w:t>Si l</w:t>
      </w:r>
      <w:r w:rsidR="008729F7">
        <w:t>’</w:t>
      </w:r>
      <w:r>
        <w:t>écart n</w:t>
      </w:r>
      <w:r w:rsidR="008729F7">
        <w:t>’</w:t>
      </w:r>
      <w:r>
        <w:t>est pas supérieur à 0</w:t>
      </w:r>
      <w:r w:rsidR="0008408B">
        <w:t> </w:t>
      </w:r>
      <w:r>
        <w:t>% pour les deux feux de l</w:t>
      </w:r>
      <w:r w:rsidR="008729F7">
        <w:t>’</w:t>
      </w:r>
      <w:r>
        <w:t>échantillon C on peut arrêter les mesures.</w:t>
      </w:r>
    </w:p>
    <w:p w:rsidR="0093329D" w:rsidRPr="00C94286" w:rsidRDefault="0093329D" w:rsidP="0008408B">
      <w:pPr>
        <w:keepLines/>
        <w:widowControl w:val="0"/>
        <w:spacing w:after="120"/>
        <w:ind w:left="2268" w:right="1134" w:hanging="1134"/>
        <w:jc w:val="both"/>
      </w:pPr>
      <w:r>
        <w:lastRenderedPageBreak/>
        <w:t>3.2</w:t>
      </w:r>
      <w:r>
        <w:tab/>
        <w:t>La conformité des projecteurs de série est contestée si l</w:t>
      </w:r>
      <w:r w:rsidR="008729F7">
        <w:t>’</w:t>
      </w:r>
      <w:r>
        <w:t>écart de la valeur mesurée sur au moins</w:t>
      </w:r>
    </w:p>
    <w:p w:rsidR="0093329D" w:rsidRPr="00C94286" w:rsidRDefault="0093329D" w:rsidP="009117C7">
      <w:pPr>
        <w:widowControl w:val="0"/>
        <w:spacing w:after="120"/>
        <w:ind w:left="2268" w:right="1134" w:hanging="1134"/>
        <w:jc w:val="both"/>
      </w:pPr>
      <w:r>
        <w:t>3.2.1</w:t>
      </w:r>
      <w:r>
        <w:tab/>
        <w:t>Un des échantillons</w:t>
      </w:r>
      <w:r w:rsidR="00B31931">
        <w:t> </w:t>
      </w:r>
      <w:r>
        <w:t>C et D dépasse 20</w:t>
      </w:r>
      <w:r w:rsidR="009E2CB2">
        <w:t> </w:t>
      </w:r>
      <w:r>
        <w:t>% mais l</w:t>
      </w:r>
      <w:r w:rsidR="008729F7">
        <w:t>’</w:t>
      </w:r>
      <w:r>
        <w:t>écart de l</w:t>
      </w:r>
      <w:r w:rsidR="008729F7">
        <w:t>’</w:t>
      </w:r>
      <w:r>
        <w:t>ensemble de ces échantillons ne dépasse pas 30</w:t>
      </w:r>
      <w:r w:rsidR="009E2CB2">
        <w:t> </w:t>
      </w:r>
      <w:r>
        <w:t>%.</w:t>
      </w:r>
    </w:p>
    <w:p w:rsidR="0093329D" w:rsidRPr="00C94286" w:rsidRDefault="0093329D" w:rsidP="009117C7">
      <w:pPr>
        <w:widowControl w:val="0"/>
        <w:spacing w:after="120"/>
        <w:ind w:left="2268" w:right="1134"/>
        <w:jc w:val="both"/>
      </w:pPr>
      <w:r>
        <w:t>Le fabricant doit être à nouveau prié de mettre sa production en con</w:t>
      </w:r>
      <w:r w:rsidR="009E2CB2">
        <w:t>formité avec les prescriptions.</w:t>
      </w:r>
    </w:p>
    <w:p w:rsidR="0093329D" w:rsidRPr="00C94286" w:rsidRDefault="0093329D" w:rsidP="0093329D">
      <w:pPr>
        <w:pStyle w:val="SingleTxtG"/>
        <w:spacing w:line="240" w:lineRule="auto"/>
        <w:ind w:left="2268"/>
      </w:pPr>
      <w:r>
        <w:t>Il faut procéder à un troisième prélèvement conformément au paragraphe</w:t>
      </w:r>
      <w:r w:rsidR="009E2CB2">
        <w:t> </w:t>
      </w:r>
      <w:r>
        <w:t>4 ci-après, dans les deux mois qui suivent la notification. Les échantillons C et D doivent être conservés par le service technique jusqu</w:t>
      </w:r>
      <w:r w:rsidR="008729F7">
        <w:t>’</w:t>
      </w:r>
      <w:r>
        <w:t xml:space="preserve">à la fin du processus de vérification de </w:t>
      </w:r>
      <w:r w:rsidR="009E2CB2">
        <w:t>la conformité de la production.</w:t>
      </w:r>
    </w:p>
    <w:p w:rsidR="0093329D" w:rsidRPr="00C94286" w:rsidRDefault="0093329D" w:rsidP="009117C7">
      <w:pPr>
        <w:widowControl w:val="0"/>
        <w:spacing w:after="120"/>
        <w:ind w:left="2268" w:right="1134" w:hanging="1134"/>
        <w:jc w:val="both"/>
      </w:pPr>
      <w:r>
        <w:t>3.2.2</w:t>
      </w:r>
      <w:r>
        <w:tab/>
        <w:t>Un échantillon C ou D dépasse 30</w:t>
      </w:r>
      <w:r w:rsidR="009117C7">
        <w:t> </w:t>
      </w:r>
      <w:r>
        <w:t>%.</w:t>
      </w:r>
    </w:p>
    <w:p w:rsidR="0093329D" w:rsidRPr="00C94286" w:rsidRDefault="0093329D" w:rsidP="0093329D">
      <w:pPr>
        <w:pStyle w:val="SingleTxtG"/>
        <w:spacing w:line="240" w:lineRule="auto"/>
        <w:ind w:left="2268"/>
      </w:pPr>
      <w:r>
        <w:t>Dans ce cas, il faut retirer l</w:t>
      </w:r>
      <w:r w:rsidR="008729F7">
        <w:t>’</w:t>
      </w:r>
      <w:r>
        <w:t>homologation et appliquer les dispositions du paragraphe</w:t>
      </w:r>
      <w:r w:rsidR="009117C7">
        <w:t> </w:t>
      </w:r>
      <w:r>
        <w:t>5 ci-dessous.</w:t>
      </w:r>
    </w:p>
    <w:p w:rsidR="0093329D" w:rsidRPr="00C94286" w:rsidRDefault="0093329D" w:rsidP="0093329D">
      <w:pPr>
        <w:pStyle w:val="SingleTxtG"/>
        <w:spacing w:line="240" w:lineRule="auto"/>
        <w:ind w:left="2268" w:hanging="1134"/>
      </w:pPr>
      <w:r>
        <w:t>4.</w:t>
      </w:r>
      <w:r>
        <w:tab/>
      </w:r>
      <w:r>
        <w:tab/>
        <w:t>Troisième prélèvement</w:t>
      </w:r>
    </w:p>
    <w:p w:rsidR="0093329D" w:rsidRPr="00C94286" w:rsidRDefault="0093329D" w:rsidP="009117C7">
      <w:pPr>
        <w:widowControl w:val="0"/>
        <w:spacing w:after="120"/>
        <w:ind w:left="2268" w:right="1134"/>
        <w:jc w:val="both"/>
      </w:pPr>
      <w:r>
        <w:t xml:space="preserve">On choisit au hasard un échantillon de quatre feux parmi le stock produit après mise en conformité. </w:t>
      </w:r>
    </w:p>
    <w:p w:rsidR="0093329D" w:rsidRPr="00C94286" w:rsidRDefault="0093329D" w:rsidP="009117C7">
      <w:pPr>
        <w:widowControl w:val="0"/>
        <w:spacing w:after="120"/>
        <w:ind w:left="2268" w:right="1134"/>
        <w:jc w:val="both"/>
      </w:pPr>
      <w:r>
        <w:t>La lettre</w:t>
      </w:r>
      <w:r w:rsidR="000C3C95">
        <w:t> </w:t>
      </w:r>
      <w:r>
        <w:t>E est apposée sur le premier et le troisième, et la lettre</w:t>
      </w:r>
      <w:r w:rsidR="000C3C95">
        <w:t> </w:t>
      </w:r>
      <w:r>
        <w:t>F sur le deuxième et le quatrième.</w:t>
      </w:r>
    </w:p>
    <w:p w:rsidR="0093329D" w:rsidRPr="00C94286" w:rsidRDefault="0093329D" w:rsidP="009117C7">
      <w:pPr>
        <w:widowControl w:val="0"/>
        <w:spacing w:after="120"/>
        <w:ind w:left="2268" w:right="1134" w:hanging="1134"/>
        <w:jc w:val="both"/>
      </w:pPr>
      <w:r>
        <w:t>4.1</w:t>
      </w:r>
      <w:r>
        <w:tab/>
        <w:t>La conformité des projecteurs de série n</w:t>
      </w:r>
      <w:r w:rsidR="008729F7">
        <w:t>’</w:t>
      </w:r>
      <w:r>
        <w:t>est pas contestée si aucune valeur mesurée sur les feux des échantillons</w:t>
      </w:r>
      <w:r w:rsidR="000C3C95">
        <w:t> </w:t>
      </w:r>
      <w:r>
        <w:t>E et F ne s</w:t>
      </w:r>
      <w:r w:rsidR="008729F7">
        <w:t>’</w:t>
      </w:r>
      <w:r>
        <w:t>écarte de plus de 20</w:t>
      </w:r>
      <w:r w:rsidR="009117C7">
        <w:t> </w:t>
      </w:r>
      <w:r>
        <w:t>% (pour aucun des quatre feux).</w:t>
      </w:r>
    </w:p>
    <w:p w:rsidR="0093329D" w:rsidRPr="00C94286" w:rsidRDefault="0093329D" w:rsidP="0093329D">
      <w:pPr>
        <w:pStyle w:val="SingleTxtG"/>
        <w:spacing w:line="240" w:lineRule="auto"/>
        <w:ind w:left="2268"/>
      </w:pPr>
      <w:r>
        <w:t>Si l</w:t>
      </w:r>
      <w:r w:rsidR="008729F7">
        <w:t>’</w:t>
      </w:r>
      <w:r>
        <w:t>écart n</w:t>
      </w:r>
      <w:r w:rsidR="008729F7">
        <w:t>’</w:t>
      </w:r>
      <w:r>
        <w:t>est pas supérieur à 0</w:t>
      </w:r>
      <w:r w:rsidR="009E2CB2">
        <w:t> </w:t>
      </w:r>
      <w:r>
        <w:t>% pour les deux feux de l</w:t>
      </w:r>
      <w:r w:rsidR="008729F7">
        <w:t>’</w:t>
      </w:r>
      <w:r>
        <w:t>échantillon</w:t>
      </w:r>
      <w:r w:rsidR="000C3C95">
        <w:t> </w:t>
      </w:r>
      <w:r>
        <w:t>E on peut arrêter les mesures.</w:t>
      </w:r>
    </w:p>
    <w:p w:rsidR="0093329D" w:rsidRPr="00C94286" w:rsidRDefault="0093329D" w:rsidP="009117C7">
      <w:pPr>
        <w:widowControl w:val="0"/>
        <w:spacing w:after="120"/>
        <w:ind w:left="2268" w:right="1134" w:hanging="1134"/>
        <w:jc w:val="both"/>
      </w:pPr>
      <w:r>
        <w:t>4.2</w:t>
      </w:r>
      <w:r>
        <w:tab/>
        <w:t>La conformité des projecteurs de série est contestée si l</w:t>
      </w:r>
      <w:r w:rsidR="008729F7">
        <w:t>’</w:t>
      </w:r>
      <w:r>
        <w:t>écart de la valeur mesurée sur au moins un feu des échantillons E ou F dépasse 20</w:t>
      </w:r>
      <w:r w:rsidR="009117C7">
        <w:t> %.</w:t>
      </w:r>
    </w:p>
    <w:p w:rsidR="0093329D" w:rsidRPr="00C94286" w:rsidRDefault="0093329D" w:rsidP="009117C7">
      <w:pPr>
        <w:widowControl w:val="0"/>
        <w:spacing w:after="120"/>
        <w:ind w:left="2268" w:right="1134"/>
        <w:jc w:val="both"/>
      </w:pPr>
      <w:r>
        <w:t>Dans ce cas, il faut retirer l</w:t>
      </w:r>
      <w:r w:rsidR="008729F7">
        <w:t>’</w:t>
      </w:r>
      <w:r>
        <w:t>homologation et appliquer</w:t>
      </w:r>
      <w:r w:rsidR="009117C7">
        <w:t xml:space="preserve"> les dispositions du paragraphe 5 ci-dessous.</w:t>
      </w:r>
    </w:p>
    <w:p w:rsidR="0093329D" w:rsidRPr="00C94286" w:rsidRDefault="0093329D" w:rsidP="009117C7">
      <w:pPr>
        <w:widowControl w:val="0"/>
        <w:spacing w:after="120"/>
        <w:ind w:left="2268" w:right="1134" w:hanging="1134"/>
        <w:jc w:val="both"/>
        <w:rPr>
          <w:u w:val="single"/>
        </w:rPr>
      </w:pPr>
      <w:r>
        <w:t>5.</w:t>
      </w:r>
      <w:r>
        <w:tab/>
      </w:r>
      <w:r>
        <w:tab/>
        <w:t>Retrait de l</w:t>
      </w:r>
      <w:r w:rsidR="008729F7">
        <w:t>’</w:t>
      </w:r>
      <w:r>
        <w:t>homologation</w:t>
      </w:r>
    </w:p>
    <w:p w:rsidR="0093329D" w:rsidRPr="00C94286" w:rsidRDefault="0093329D" w:rsidP="009117C7">
      <w:pPr>
        <w:widowControl w:val="0"/>
        <w:spacing w:after="120"/>
        <w:ind w:left="2268" w:right="1134"/>
        <w:jc w:val="both"/>
      </w:pPr>
      <w:r>
        <w:t>Il faut retirer l</w:t>
      </w:r>
      <w:r w:rsidR="008729F7">
        <w:t>’</w:t>
      </w:r>
      <w:r>
        <w:t>homologation en vertu du paragraphe</w:t>
      </w:r>
      <w:r w:rsidR="009117C7">
        <w:t> </w:t>
      </w:r>
      <w:r>
        <w:t>10 du présent Règlement.</w:t>
      </w:r>
      <w:r w:rsidR="009117C7">
        <w:t> </w:t>
      </w:r>
      <w:r>
        <w:t>».</w:t>
      </w:r>
    </w:p>
    <w:p w:rsidR="00B656DD" w:rsidRDefault="0093329D" w:rsidP="009117C7">
      <w:pPr>
        <w:widowControl w:val="0"/>
        <w:spacing w:after="120"/>
        <w:ind w:left="2268" w:right="1134" w:hanging="1134"/>
        <w:jc w:val="both"/>
      </w:pPr>
      <w:r>
        <w:rPr>
          <w:i/>
        </w:rPr>
        <w:t>Figure 1</w:t>
      </w:r>
      <w:r>
        <w:t>, supprimer.</w:t>
      </w:r>
    </w:p>
    <w:p w:rsidR="00F72E62" w:rsidRPr="00F72E62" w:rsidRDefault="00F72E62" w:rsidP="00F72E6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72E62" w:rsidRPr="00F72E62" w:rsidSect="005727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7F" w:rsidRDefault="0028637F" w:rsidP="00F95C08">
      <w:pPr>
        <w:spacing w:line="240" w:lineRule="auto"/>
      </w:pPr>
    </w:p>
  </w:endnote>
  <w:endnote w:type="continuationSeparator" w:id="0">
    <w:p w:rsidR="0028637F" w:rsidRPr="00AC3823" w:rsidRDefault="0028637F" w:rsidP="00AC3823">
      <w:pPr>
        <w:pStyle w:val="Footer"/>
      </w:pPr>
    </w:p>
  </w:endnote>
  <w:endnote w:type="continuationNotice" w:id="1">
    <w:p w:rsidR="0028637F" w:rsidRDefault="002863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01" w:rsidRPr="00572701" w:rsidRDefault="00572701" w:rsidP="00572701">
    <w:pPr>
      <w:pStyle w:val="Footer"/>
      <w:tabs>
        <w:tab w:val="right" w:pos="9638"/>
      </w:tabs>
    </w:pPr>
    <w:r w:rsidRPr="00572701">
      <w:rPr>
        <w:b/>
        <w:sz w:val="18"/>
      </w:rPr>
      <w:fldChar w:fldCharType="begin"/>
    </w:r>
    <w:r w:rsidRPr="00572701">
      <w:rPr>
        <w:b/>
        <w:sz w:val="18"/>
      </w:rPr>
      <w:instrText xml:space="preserve"> PAGE  \* MERGEFORMAT </w:instrText>
    </w:r>
    <w:r w:rsidRPr="00572701">
      <w:rPr>
        <w:b/>
        <w:sz w:val="18"/>
      </w:rPr>
      <w:fldChar w:fldCharType="separate"/>
    </w:r>
    <w:r w:rsidR="002A1EEB">
      <w:rPr>
        <w:b/>
        <w:noProof/>
        <w:sz w:val="18"/>
      </w:rPr>
      <w:t>2</w:t>
    </w:r>
    <w:r w:rsidRPr="00572701">
      <w:rPr>
        <w:b/>
        <w:sz w:val="18"/>
      </w:rPr>
      <w:fldChar w:fldCharType="end"/>
    </w:r>
    <w:r>
      <w:rPr>
        <w:b/>
        <w:sz w:val="18"/>
      </w:rPr>
      <w:tab/>
    </w:r>
    <w:r>
      <w:t>GE.16-22503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01" w:rsidRPr="00572701" w:rsidRDefault="00572701" w:rsidP="00572701">
    <w:pPr>
      <w:pStyle w:val="Footer"/>
      <w:tabs>
        <w:tab w:val="right" w:pos="9638"/>
      </w:tabs>
      <w:rPr>
        <w:b/>
        <w:sz w:val="18"/>
      </w:rPr>
    </w:pPr>
    <w:r>
      <w:t>GE.16-22503</w:t>
    </w:r>
    <w:r>
      <w:tab/>
    </w:r>
    <w:r w:rsidRPr="00572701">
      <w:rPr>
        <w:b/>
        <w:sz w:val="18"/>
      </w:rPr>
      <w:fldChar w:fldCharType="begin"/>
    </w:r>
    <w:r w:rsidRPr="00572701">
      <w:rPr>
        <w:b/>
        <w:sz w:val="18"/>
      </w:rPr>
      <w:instrText xml:space="preserve"> PAGE  \* MERGEFORMAT </w:instrText>
    </w:r>
    <w:r w:rsidRPr="00572701">
      <w:rPr>
        <w:b/>
        <w:sz w:val="18"/>
      </w:rPr>
      <w:fldChar w:fldCharType="separate"/>
    </w:r>
    <w:r w:rsidR="002A1EEB">
      <w:rPr>
        <w:b/>
        <w:noProof/>
        <w:sz w:val="18"/>
      </w:rPr>
      <w:t>5</w:t>
    </w:r>
    <w:r w:rsidRPr="005727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572701" w:rsidRDefault="00572701" w:rsidP="0057270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C75827B" wp14:editId="431B9EFF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16-22503  (F)</w:t>
    </w:r>
    <w:r w:rsidR="00131533">
      <w:rPr>
        <w:sz w:val="20"/>
      </w:rPr>
      <w:t xml:space="preserve">    090117    170117</w:t>
    </w:r>
    <w:r>
      <w:rPr>
        <w:sz w:val="20"/>
      </w:rPr>
      <w:br/>
    </w:r>
    <w:r w:rsidRPr="00572701">
      <w:rPr>
        <w:rFonts w:ascii="C39T30Lfz" w:hAnsi="C39T30Lfz"/>
        <w:sz w:val="56"/>
      </w:rPr>
      <w:t></w:t>
    </w:r>
    <w:r w:rsidRPr="00572701">
      <w:rPr>
        <w:rFonts w:ascii="C39T30Lfz" w:hAnsi="C39T30Lfz"/>
        <w:sz w:val="56"/>
      </w:rPr>
      <w:t></w:t>
    </w:r>
    <w:r w:rsidRPr="00572701">
      <w:rPr>
        <w:rFonts w:ascii="C39T30Lfz" w:hAnsi="C39T30Lfz"/>
        <w:sz w:val="56"/>
      </w:rPr>
      <w:t></w:t>
    </w:r>
    <w:r w:rsidRPr="00572701">
      <w:rPr>
        <w:rFonts w:ascii="C39T30Lfz" w:hAnsi="C39T30Lfz"/>
        <w:sz w:val="56"/>
      </w:rPr>
      <w:t></w:t>
    </w:r>
    <w:r w:rsidRPr="00572701">
      <w:rPr>
        <w:rFonts w:ascii="C39T30Lfz" w:hAnsi="C39T30Lfz"/>
        <w:sz w:val="56"/>
      </w:rPr>
      <w:t></w:t>
    </w:r>
    <w:r w:rsidRPr="00572701">
      <w:rPr>
        <w:rFonts w:ascii="C39T30Lfz" w:hAnsi="C39T30Lfz"/>
        <w:sz w:val="56"/>
      </w:rPr>
      <w:t></w:t>
    </w:r>
    <w:r w:rsidRPr="00572701">
      <w:rPr>
        <w:rFonts w:ascii="C39T30Lfz" w:hAnsi="C39T30Lfz"/>
        <w:sz w:val="56"/>
      </w:rPr>
      <w:t></w:t>
    </w:r>
    <w:r w:rsidRPr="00572701">
      <w:rPr>
        <w:rFonts w:ascii="C39T30Lfz" w:hAnsi="C39T30Lfz"/>
        <w:sz w:val="56"/>
      </w:rPr>
      <w:t></w:t>
    </w:r>
    <w:r w:rsidRPr="0057270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3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3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7F" w:rsidRPr="00AC3823" w:rsidRDefault="0028637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8637F" w:rsidRPr="00AC3823" w:rsidRDefault="0028637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8637F" w:rsidRPr="00AC3823" w:rsidRDefault="0028637F">
      <w:pPr>
        <w:spacing w:line="240" w:lineRule="auto"/>
        <w:rPr>
          <w:sz w:val="2"/>
          <w:szCs w:val="2"/>
        </w:rPr>
      </w:pPr>
    </w:p>
  </w:footnote>
  <w:footnote w:id="2">
    <w:p w:rsidR="00D873EB" w:rsidRPr="00706101" w:rsidRDefault="00D873EB" w:rsidP="00A916AB">
      <w:pPr>
        <w:pStyle w:val="FootnoteText"/>
      </w:pPr>
      <w:r>
        <w:tab/>
      </w:r>
      <w:r>
        <w:rPr>
          <w:sz w:val="20"/>
        </w:rPr>
        <w:t>*</w:t>
      </w:r>
      <w:r>
        <w:rPr>
          <w:sz w:val="20"/>
        </w:rPr>
        <w:tab/>
      </w:r>
      <w:r>
        <w:t>Conformément au programme de travail du Comité des transports intérieurs pour la période 2016</w:t>
      </w:r>
      <w:r w:rsidR="00A916AB">
        <w:noBreakHyphen/>
        <w:t>2017 (ECE/TRANS/254, par. </w:t>
      </w:r>
      <w:r>
        <w:t>159, et ECE/TRANS/2016/28/Add.1, module 3.1), le Forum mondial a pour mission d</w:t>
      </w:r>
      <w:r w:rsidR="008729F7">
        <w:t>’</w:t>
      </w:r>
      <w:r>
        <w:t>élaborer, d</w:t>
      </w:r>
      <w:r w:rsidR="008729F7">
        <w:t>’</w:t>
      </w:r>
      <w:r>
        <w:t>harmoniser et de mettre à jour les Règlements en vue d</w:t>
      </w:r>
      <w:r w:rsidR="008729F7">
        <w:t>’</w:t>
      </w:r>
      <w:r>
        <w:t xml:space="preserve">améliorer les caractéristiques fonctionnelles des véhicules. Le présent document est soumis </w:t>
      </w:r>
      <w:r w:rsidR="00A916AB">
        <w:br/>
      </w:r>
      <w:r>
        <w:t>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01" w:rsidRPr="00572701" w:rsidRDefault="00572701">
    <w:pPr>
      <w:pStyle w:val="Header"/>
    </w:pPr>
    <w:r>
      <w:t>ECE/TRANS/WP.29/2017/39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01" w:rsidRPr="00572701" w:rsidRDefault="00572701" w:rsidP="00572701">
    <w:pPr>
      <w:pStyle w:val="Header"/>
      <w:jc w:val="right"/>
    </w:pPr>
    <w:r>
      <w:t>ECE/TRANS/WP.29/2017/39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F"/>
    <w:rsid w:val="00017F94"/>
    <w:rsid w:val="00023842"/>
    <w:rsid w:val="000334F9"/>
    <w:rsid w:val="00070CCD"/>
    <w:rsid w:val="0007796D"/>
    <w:rsid w:val="0008408B"/>
    <w:rsid w:val="000B7790"/>
    <w:rsid w:val="000C3C95"/>
    <w:rsid w:val="00111F2F"/>
    <w:rsid w:val="00131533"/>
    <w:rsid w:val="00137297"/>
    <w:rsid w:val="0014365E"/>
    <w:rsid w:val="00143C66"/>
    <w:rsid w:val="00176178"/>
    <w:rsid w:val="001C6883"/>
    <w:rsid w:val="001F525A"/>
    <w:rsid w:val="00210AB4"/>
    <w:rsid w:val="00223272"/>
    <w:rsid w:val="00225261"/>
    <w:rsid w:val="0024779E"/>
    <w:rsid w:val="0025673F"/>
    <w:rsid w:val="00257168"/>
    <w:rsid w:val="002744B8"/>
    <w:rsid w:val="002832AC"/>
    <w:rsid w:val="0028637F"/>
    <w:rsid w:val="00294347"/>
    <w:rsid w:val="002A1EEB"/>
    <w:rsid w:val="002D7C93"/>
    <w:rsid w:val="00305801"/>
    <w:rsid w:val="003916DE"/>
    <w:rsid w:val="00441C3B"/>
    <w:rsid w:val="00446FE5"/>
    <w:rsid w:val="00452396"/>
    <w:rsid w:val="00457BE9"/>
    <w:rsid w:val="004837D8"/>
    <w:rsid w:val="004C424A"/>
    <w:rsid w:val="004E468C"/>
    <w:rsid w:val="00546DD8"/>
    <w:rsid w:val="005505B7"/>
    <w:rsid w:val="00572701"/>
    <w:rsid w:val="00573BE5"/>
    <w:rsid w:val="00586ED3"/>
    <w:rsid w:val="00596AA9"/>
    <w:rsid w:val="006E1570"/>
    <w:rsid w:val="0071601D"/>
    <w:rsid w:val="0075581B"/>
    <w:rsid w:val="007A62E6"/>
    <w:rsid w:val="007C5E8A"/>
    <w:rsid w:val="007F20FA"/>
    <w:rsid w:val="0080684C"/>
    <w:rsid w:val="00871C75"/>
    <w:rsid w:val="008729F7"/>
    <w:rsid w:val="008776DC"/>
    <w:rsid w:val="009117C7"/>
    <w:rsid w:val="0093329D"/>
    <w:rsid w:val="009705C8"/>
    <w:rsid w:val="009833C1"/>
    <w:rsid w:val="009C1CF4"/>
    <w:rsid w:val="009E2CB2"/>
    <w:rsid w:val="009F6B74"/>
    <w:rsid w:val="00A30353"/>
    <w:rsid w:val="00A916AB"/>
    <w:rsid w:val="00AC3823"/>
    <w:rsid w:val="00AD1E19"/>
    <w:rsid w:val="00AE323C"/>
    <w:rsid w:val="00AF0CB5"/>
    <w:rsid w:val="00B00181"/>
    <w:rsid w:val="00B00B0D"/>
    <w:rsid w:val="00B31931"/>
    <w:rsid w:val="00B656DD"/>
    <w:rsid w:val="00B765F7"/>
    <w:rsid w:val="00B81B8E"/>
    <w:rsid w:val="00BA0CA9"/>
    <w:rsid w:val="00C02897"/>
    <w:rsid w:val="00D10C15"/>
    <w:rsid w:val="00D3439C"/>
    <w:rsid w:val="00D873EB"/>
    <w:rsid w:val="00DB1831"/>
    <w:rsid w:val="00DD3BFD"/>
    <w:rsid w:val="00DF6678"/>
    <w:rsid w:val="00E55821"/>
    <w:rsid w:val="00E77CEF"/>
    <w:rsid w:val="00E85C74"/>
    <w:rsid w:val="00EA6547"/>
    <w:rsid w:val="00EF2E22"/>
    <w:rsid w:val="00EF5C13"/>
    <w:rsid w:val="00F35BAF"/>
    <w:rsid w:val="00F660DF"/>
    <w:rsid w:val="00F72E62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832D79-EA12-44EB-8843-E9028CEC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873EB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93329D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ECE/TRANS/WP.29/2017/39</vt:lpstr>
      <vt:lpstr>ECE/TRANS/WP.29/2017/39</vt:lpstr>
    </vt:vector>
  </TitlesOfParts>
  <Company>DCM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ECE/TRANS/WP.29/2017/39</dc:title>
  <dc:subject/>
  <dc:creator>Robert Corinne</dc:creator>
  <cp:keywords/>
  <dc:description/>
  <cp:lastModifiedBy>Lucille</cp:lastModifiedBy>
  <cp:revision>2</cp:revision>
  <cp:lastPrinted>2017-01-17T13:00:00Z</cp:lastPrinted>
  <dcterms:created xsi:type="dcterms:W3CDTF">2017-01-18T13:16:00Z</dcterms:created>
  <dcterms:modified xsi:type="dcterms:W3CDTF">2017-01-18T13:16:00Z</dcterms:modified>
</cp:coreProperties>
</file>