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C77A9">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C77A9" w:rsidP="001C77A9">
            <w:pPr>
              <w:jc w:val="right"/>
            </w:pPr>
            <w:r w:rsidRPr="001C77A9">
              <w:rPr>
                <w:sz w:val="40"/>
              </w:rPr>
              <w:t>ECE</w:t>
            </w:r>
            <w:r>
              <w:t>/TRANS/WP.29/2017/37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C77A9" w:rsidP="00892A2F">
            <w:pPr>
              <w:spacing w:before="240"/>
            </w:pPr>
            <w:r>
              <w:t>Distr. générale</w:t>
            </w:r>
          </w:p>
          <w:p w:rsidR="001C77A9" w:rsidRDefault="001C77A9" w:rsidP="001C77A9">
            <w:pPr>
              <w:spacing w:line="240" w:lineRule="exact"/>
            </w:pPr>
            <w:r>
              <w:t>20 décembre 2016</w:t>
            </w:r>
          </w:p>
          <w:p w:rsidR="001C77A9" w:rsidRDefault="001C77A9" w:rsidP="001C77A9">
            <w:pPr>
              <w:spacing w:line="240" w:lineRule="exact"/>
            </w:pPr>
            <w:r>
              <w:t>Français</w:t>
            </w:r>
          </w:p>
          <w:p w:rsidR="001C77A9" w:rsidRPr="00DB58B5" w:rsidRDefault="001C77A9" w:rsidP="001C77A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C77A9" w:rsidRDefault="001C77A9"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C77A9" w:rsidRDefault="001C77A9" w:rsidP="00AF0CB5">
      <w:pPr>
        <w:spacing w:before="120" w:line="240" w:lineRule="exact"/>
        <w:rPr>
          <w:b/>
        </w:rPr>
      </w:pPr>
      <w:r>
        <w:rPr>
          <w:b/>
        </w:rPr>
        <w:t>171</w:t>
      </w:r>
      <w:r w:rsidRPr="001C77A9">
        <w:rPr>
          <w:b/>
          <w:vertAlign w:val="superscript"/>
        </w:rPr>
        <w:t>e</w:t>
      </w:r>
      <w:r>
        <w:rPr>
          <w:b/>
        </w:rPr>
        <w:t> session</w:t>
      </w:r>
    </w:p>
    <w:p w:rsidR="001C77A9" w:rsidRDefault="001C77A9" w:rsidP="00AF0CB5">
      <w:pPr>
        <w:spacing w:line="240" w:lineRule="exact"/>
      </w:pPr>
      <w:r>
        <w:t xml:space="preserve">Genève, </w:t>
      </w:r>
      <w:r w:rsidRPr="00B959A1">
        <w:rPr>
          <w:szCs w:val="24"/>
          <w:lang w:val="fr-FR"/>
        </w:rPr>
        <w:t>14-17</w:t>
      </w:r>
      <w:r>
        <w:rPr>
          <w:szCs w:val="24"/>
          <w:lang w:val="fr-FR"/>
        </w:rPr>
        <w:t> </w:t>
      </w:r>
      <w:r w:rsidRPr="00B959A1">
        <w:rPr>
          <w:szCs w:val="24"/>
          <w:lang w:val="fr-FR"/>
        </w:rPr>
        <w:t>mars 2017</w:t>
      </w:r>
    </w:p>
    <w:p w:rsidR="001C77A9" w:rsidRDefault="001C77A9" w:rsidP="00AF0CB5">
      <w:pPr>
        <w:spacing w:line="240" w:lineRule="exact"/>
      </w:pPr>
      <w:r>
        <w:t xml:space="preserve">Point </w:t>
      </w:r>
      <w:r w:rsidRPr="00B959A1">
        <w:rPr>
          <w:szCs w:val="24"/>
          <w:lang w:val="fr-FR"/>
        </w:rPr>
        <w:t>4.9.19 d</w:t>
      </w:r>
      <w:r>
        <w:rPr>
          <w:szCs w:val="24"/>
          <w:lang w:val="fr-FR"/>
        </w:rPr>
        <w:t>e l</w:t>
      </w:r>
      <w:r w:rsidRPr="00B959A1">
        <w:rPr>
          <w:szCs w:val="24"/>
          <w:lang w:val="fr-FR"/>
        </w:rPr>
        <w:t>’</w:t>
      </w:r>
      <w:r>
        <w:rPr>
          <w:szCs w:val="24"/>
          <w:lang w:val="fr-FR"/>
        </w:rPr>
        <w:t>ordre du jour provisoire</w:t>
      </w:r>
    </w:p>
    <w:p w:rsidR="001C77A9" w:rsidRPr="001C77A9" w:rsidRDefault="001C77A9" w:rsidP="001C77A9">
      <w:pPr>
        <w:rPr>
          <w:b/>
          <w:lang w:val="fr-FR"/>
        </w:rPr>
      </w:pPr>
      <w:r w:rsidRPr="001C77A9">
        <w:rPr>
          <w:b/>
          <w:lang w:val="fr-FR"/>
        </w:rPr>
        <w:t>Accord de 1958</w:t>
      </w:r>
      <w:r>
        <w:rPr>
          <w:b/>
          <w:lang w:val="fr-FR"/>
        </w:rPr>
        <w:t> </w:t>
      </w:r>
      <w:r w:rsidRPr="001C77A9">
        <w:rPr>
          <w:b/>
          <w:lang w:val="fr-FR"/>
        </w:rPr>
        <w:t>:</w:t>
      </w:r>
      <w:r>
        <w:rPr>
          <w:b/>
          <w:lang w:val="fr-FR"/>
        </w:rPr>
        <w:t xml:space="preserve"> </w:t>
      </w:r>
      <w:r w:rsidRPr="001C77A9">
        <w:rPr>
          <w:b/>
          <w:lang w:val="fr-FR"/>
        </w:rPr>
        <w:t>Examen de projets d’</w:t>
      </w:r>
      <w:r>
        <w:rPr>
          <w:b/>
          <w:lang w:val="fr-FR"/>
        </w:rPr>
        <w:t>amendements</w:t>
      </w:r>
      <w:r>
        <w:rPr>
          <w:b/>
          <w:lang w:val="fr-FR"/>
        </w:rPr>
        <w:br/>
      </w:r>
      <w:r w:rsidRPr="001C77A9">
        <w:rPr>
          <w:b/>
          <w:lang w:val="fr-FR"/>
        </w:rPr>
        <w:t>à des Règlements existants,</w:t>
      </w:r>
      <w:r>
        <w:rPr>
          <w:b/>
          <w:lang w:val="fr-FR"/>
        </w:rPr>
        <w:t xml:space="preserve"> s</w:t>
      </w:r>
      <w:r w:rsidRPr="001C77A9">
        <w:rPr>
          <w:b/>
          <w:lang w:val="fr-FR"/>
        </w:rPr>
        <w:t>oumis par le GRE</w:t>
      </w:r>
    </w:p>
    <w:p w:rsidR="001C77A9" w:rsidRPr="001C77A9" w:rsidRDefault="001C77A9" w:rsidP="001C77A9">
      <w:pPr>
        <w:pStyle w:val="HChG"/>
        <w:rPr>
          <w:lang w:val="fr-FR"/>
        </w:rPr>
      </w:pPr>
      <w:r>
        <w:rPr>
          <w:lang w:val="fr-FR"/>
        </w:rPr>
        <w:tab/>
      </w:r>
      <w:r>
        <w:rPr>
          <w:lang w:val="fr-FR"/>
        </w:rPr>
        <w:tab/>
      </w:r>
      <w:r w:rsidRPr="001C77A9">
        <w:rPr>
          <w:lang w:val="fr-FR"/>
        </w:rPr>
        <w:t xml:space="preserve">Proposition de complément 9 au Règlement </w:t>
      </w:r>
      <w:r w:rsidRPr="001C77A9">
        <w:rPr>
          <w:rFonts w:eastAsia="MS Mincho"/>
          <w:szCs w:val="22"/>
          <w:lang w:val="fr-FR"/>
        </w:rPr>
        <w:t>n</w:t>
      </w:r>
      <w:r w:rsidRPr="001C77A9">
        <w:rPr>
          <w:rFonts w:eastAsia="MS Mincho"/>
          <w:szCs w:val="22"/>
          <w:vertAlign w:val="superscript"/>
          <w:lang w:val="fr-FR"/>
        </w:rPr>
        <w:t>o</w:t>
      </w:r>
      <w:r>
        <w:rPr>
          <w:lang w:val="fr-FR"/>
        </w:rPr>
        <w:t> </w:t>
      </w:r>
      <w:r w:rsidRPr="001C77A9">
        <w:rPr>
          <w:lang w:val="fr-FR"/>
        </w:rPr>
        <w:t xml:space="preserve">104 </w:t>
      </w:r>
      <w:r>
        <w:rPr>
          <w:lang w:val="fr-FR"/>
        </w:rPr>
        <w:t>(Marquages rétroréfléchissants)</w:t>
      </w:r>
    </w:p>
    <w:p w:rsidR="001C77A9" w:rsidRPr="001C77A9" w:rsidRDefault="001C77A9" w:rsidP="001C77A9">
      <w:pPr>
        <w:pStyle w:val="H1G"/>
        <w:rPr>
          <w:lang w:val="fr-FR"/>
        </w:rPr>
      </w:pPr>
      <w:r>
        <w:rPr>
          <w:lang w:val="fr-FR"/>
        </w:rPr>
        <w:tab/>
      </w:r>
      <w:r>
        <w:rPr>
          <w:lang w:val="fr-FR"/>
        </w:rPr>
        <w:tab/>
      </w:r>
      <w:r w:rsidRPr="001C77A9">
        <w:rPr>
          <w:lang w:val="fr-FR"/>
        </w:rPr>
        <w:t xml:space="preserve">Communication du Groupe de travail de l’éclairage </w:t>
      </w:r>
      <w:r>
        <w:rPr>
          <w:lang w:val="fr-FR"/>
        </w:rPr>
        <w:br/>
      </w:r>
      <w:r w:rsidRPr="001C77A9">
        <w:rPr>
          <w:lang w:val="fr-FR"/>
        </w:rPr>
        <w:t>et de la signalisation lumineuse</w:t>
      </w:r>
      <w:r w:rsidRPr="001C77A9">
        <w:rPr>
          <w:rStyle w:val="FootnoteReference"/>
          <w:b w:val="0"/>
          <w:sz w:val="20"/>
          <w:vertAlign w:val="baseline"/>
        </w:rPr>
        <w:footnoteReference w:customMarkFollows="1" w:id="2"/>
        <w:t>*</w:t>
      </w:r>
    </w:p>
    <w:p w:rsidR="001C77A9" w:rsidRDefault="001C77A9" w:rsidP="001C77A9">
      <w:pPr>
        <w:pStyle w:val="SingleTxtG"/>
        <w:ind w:firstLine="567"/>
        <w:rPr>
          <w:lang w:val="fr-FR"/>
        </w:rPr>
      </w:pPr>
      <w:r w:rsidRPr="001C77A9">
        <w:rPr>
          <w:lang w:val="fr-FR"/>
        </w:rPr>
        <w:t xml:space="preserve">Le texte ci-après a été adopté par le Groupe de travail de l’éclairage et de la signalisation lumineuse (GRE) à sa soixante-seizième session </w:t>
      </w:r>
      <w:r w:rsidRPr="001C77A9">
        <w:rPr>
          <w:spacing w:val="-2"/>
          <w:lang w:val="fr-FR"/>
        </w:rPr>
        <w:t>(ECE/TRANS/WP.29/</w:t>
      </w:r>
      <w:r>
        <w:rPr>
          <w:spacing w:val="-2"/>
          <w:lang w:val="fr-FR"/>
        </w:rPr>
        <w:br/>
      </w:r>
      <w:r w:rsidRPr="001C77A9">
        <w:rPr>
          <w:spacing w:val="-2"/>
          <w:lang w:val="fr-FR"/>
        </w:rPr>
        <w:t>GRE/76, par.</w:t>
      </w:r>
      <w:r>
        <w:rPr>
          <w:spacing w:val="-2"/>
          <w:lang w:val="fr-FR"/>
        </w:rPr>
        <w:t> </w:t>
      </w:r>
      <w:r w:rsidRPr="001C77A9">
        <w:rPr>
          <w:spacing w:val="-2"/>
          <w:lang w:val="fr-FR"/>
        </w:rPr>
        <w:t>10). Il est fondé sur les documents</w:t>
      </w:r>
      <w:r w:rsidRPr="001C77A9">
        <w:rPr>
          <w:lang w:val="fr-FR"/>
        </w:rPr>
        <w:t xml:space="preserve"> ECE/TRANS/WP.29/GRE/2013/55/Rev.1 et ECE/TRANS/WP.29/GRE/2014/3. Il est soumis au Forum mondial de l’harmonisation des Règlements concernant les véhicules (WP.29) et au Comité d’administration (AC.1) pour examen à leur session de mars 2017.</w:t>
      </w:r>
    </w:p>
    <w:p w:rsidR="001C77A9" w:rsidRPr="001C77A9" w:rsidRDefault="001C77A9" w:rsidP="001C77A9">
      <w:pPr>
        <w:pStyle w:val="HChG"/>
        <w:rPr>
          <w:lang w:val="fr-FR"/>
        </w:rPr>
      </w:pPr>
      <w:r>
        <w:rPr>
          <w:lang w:val="fr-FR"/>
        </w:rPr>
        <w:br w:type="page"/>
      </w:r>
      <w:r>
        <w:rPr>
          <w:lang w:val="fr-FR"/>
        </w:rPr>
        <w:lastRenderedPageBreak/>
        <w:tab/>
      </w:r>
      <w:r>
        <w:rPr>
          <w:lang w:val="fr-FR"/>
        </w:rPr>
        <w:tab/>
      </w:r>
      <w:r w:rsidRPr="001C77A9">
        <w:rPr>
          <w:lang w:val="fr-FR"/>
        </w:rPr>
        <w:t xml:space="preserve">Complément 9 au Règlement </w:t>
      </w:r>
      <w:r w:rsidRPr="001C77A9">
        <w:rPr>
          <w:rFonts w:eastAsia="MS Mincho"/>
          <w:szCs w:val="22"/>
          <w:lang w:val="fr-FR"/>
        </w:rPr>
        <w:t>n</w:t>
      </w:r>
      <w:r w:rsidRPr="001C77A9">
        <w:rPr>
          <w:rFonts w:eastAsia="MS Mincho"/>
          <w:szCs w:val="22"/>
          <w:vertAlign w:val="superscript"/>
          <w:lang w:val="fr-FR"/>
        </w:rPr>
        <w:t>o</w:t>
      </w:r>
      <w:r>
        <w:rPr>
          <w:lang w:val="fr-FR"/>
        </w:rPr>
        <w:t> </w:t>
      </w:r>
      <w:r w:rsidRPr="001C77A9">
        <w:rPr>
          <w:lang w:val="fr-FR"/>
        </w:rPr>
        <w:t xml:space="preserve">104 </w:t>
      </w:r>
      <w:r>
        <w:rPr>
          <w:lang w:val="fr-FR"/>
        </w:rPr>
        <w:t>(Marquages rétroréfléchissants)</w:t>
      </w:r>
    </w:p>
    <w:p w:rsidR="001C77A9" w:rsidRPr="001C77A9" w:rsidRDefault="001C77A9" w:rsidP="001C77A9">
      <w:pPr>
        <w:pStyle w:val="SingleTxtG"/>
        <w:rPr>
          <w:lang w:val="fr-FR"/>
        </w:rPr>
      </w:pPr>
      <w:r w:rsidRPr="001C77A9">
        <w:rPr>
          <w:i/>
          <w:lang w:val="fr-FR"/>
        </w:rPr>
        <w:t>Paragraphe 2.6.1</w:t>
      </w:r>
      <w:r w:rsidRPr="00C462AE">
        <w:rPr>
          <w:lang w:val="fr-FR"/>
        </w:rPr>
        <w:t>, modifier comme suit</w:t>
      </w:r>
      <w:r w:rsidR="00C462AE">
        <w:rPr>
          <w:lang w:val="fr-FR"/>
        </w:rPr>
        <w:t> </w:t>
      </w:r>
      <w:r w:rsidRPr="00C462AE">
        <w:rPr>
          <w:lang w:val="fr-FR"/>
        </w:rPr>
        <w:t>:</w:t>
      </w:r>
    </w:p>
    <w:p w:rsidR="001C77A9" w:rsidRPr="001C77A9" w:rsidRDefault="001C77A9" w:rsidP="00C462AE">
      <w:pPr>
        <w:pStyle w:val="SingleTxtG"/>
        <w:ind w:left="2268" w:hanging="1134"/>
        <w:rPr>
          <w:lang w:val="fr-FR"/>
        </w:rPr>
      </w:pPr>
      <w:r w:rsidRPr="001C77A9">
        <w:rPr>
          <w:lang w:val="fr-FR"/>
        </w:rPr>
        <w:t>«</w:t>
      </w:r>
      <w:r w:rsidR="00C462AE">
        <w:rPr>
          <w:lang w:val="fr-FR"/>
        </w:rPr>
        <w:t> </w:t>
      </w:r>
      <w:r w:rsidRPr="001C77A9">
        <w:rPr>
          <w:lang w:val="fr-FR"/>
        </w:rPr>
        <w:t>2.6.1</w:t>
      </w:r>
      <w:r w:rsidRPr="001C77A9">
        <w:rPr>
          <w:lang w:val="fr-FR"/>
        </w:rPr>
        <w:tab/>
      </w:r>
      <w:r w:rsidR="00C462AE">
        <w:rPr>
          <w:lang w:val="fr-FR"/>
        </w:rPr>
        <w:tab/>
      </w:r>
      <w:r w:rsidRPr="001C77A9">
        <w:rPr>
          <w:lang w:val="fr-FR"/>
        </w:rPr>
        <w:t>La marque de fabrique ou de commerce</w:t>
      </w:r>
      <w:r w:rsidR="00C462AE">
        <w:rPr>
          <w:lang w:val="fr-FR"/>
        </w:rPr>
        <w:t> </w:t>
      </w:r>
      <w:r w:rsidRPr="001C77A9">
        <w:rPr>
          <w:lang w:val="fr-FR"/>
        </w:rPr>
        <w:t>:</w:t>
      </w:r>
    </w:p>
    <w:p w:rsidR="001C77A9" w:rsidRPr="001C77A9" w:rsidRDefault="001C77A9" w:rsidP="00C462AE">
      <w:pPr>
        <w:pStyle w:val="SingleTxtG"/>
        <w:ind w:left="2835" w:hanging="567"/>
        <w:rPr>
          <w:lang w:val="fr-FR"/>
        </w:rPr>
      </w:pPr>
      <w:r w:rsidRPr="001C77A9">
        <w:rPr>
          <w:lang w:val="fr-FR"/>
        </w:rPr>
        <w:t>a)</w:t>
      </w:r>
      <w:r w:rsidRPr="001C77A9">
        <w:rPr>
          <w:lang w:val="fr-FR"/>
        </w:rPr>
        <w:tab/>
        <w:t>Des dispositifs de marquage rétroréfléchissants portant la même marque de fabrique ou de commerce mais produits par des fabricants différents doivent être considérés comme étant de types différents</w:t>
      </w:r>
      <w:r w:rsidR="00C462AE">
        <w:rPr>
          <w:lang w:val="fr-FR"/>
        </w:rPr>
        <w:t> </w:t>
      </w:r>
      <w:r w:rsidRPr="001C77A9">
        <w:rPr>
          <w:lang w:val="fr-FR"/>
        </w:rPr>
        <w:t>;</w:t>
      </w:r>
    </w:p>
    <w:p w:rsidR="001C77A9" w:rsidRPr="001C77A9" w:rsidRDefault="001C77A9" w:rsidP="00C462AE">
      <w:pPr>
        <w:pStyle w:val="SingleTxtG"/>
        <w:ind w:left="2835" w:hanging="567"/>
        <w:rPr>
          <w:i/>
          <w:lang w:val="fr-FR"/>
        </w:rPr>
      </w:pPr>
      <w:r w:rsidRPr="001C77A9">
        <w:rPr>
          <w:lang w:val="fr-FR"/>
        </w:rPr>
        <w:t>b)</w:t>
      </w:r>
      <w:r w:rsidRPr="001C77A9">
        <w:rPr>
          <w:lang w:val="fr-FR"/>
        </w:rPr>
        <w:tab/>
        <w:t>Des dispositifs de marquage rétroréfléchissants produits par le même fabricant et ne différant entre eux que par la marque de fabrique ou de commerce doivent être considérés comme étant du même type.</w:t>
      </w:r>
      <w:r w:rsidR="00C462AE">
        <w:rPr>
          <w:lang w:val="fr-FR"/>
        </w:rPr>
        <w:t> </w:t>
      </w:r>
      <w:r w:rsidRPr="001C77A9">
        <w:rPr>
          <w:lang w:val="fr-FR"/>
        </w:rPr>
        <w:t>».</w:t>
      </w:r>
    </w:p>
    <w:p w:rsidR="001C77A9" w:rsidRPr="001C77A9" w:rsidRDefault="001C77A9" w:rsidP="001C77A9">
      <w:pPr>
        <w:pStyle w:val="SingleTxtG"/>
        <w:rPr>
          <w:i/>
          <w:lang w:val="fr-FR"/>
        </w:rPr>
      </w:pPr>
      <w:r w:rsidRPr="001C77A9">
        <w:rPr>
          <w:i/>
          <w:lang w:val="fr-FR"/>
        </w:rPr>
        <w:t>Ajouter trois nouveaux paragraphes 3.1.4 à 3.1.4.2</w:t>
      </w:r>
      <w:r w:rsidRPr="00C462AE">
        <w:rPr>
          <w:lang w:val="fr-FR"/>
        </w:rPr>
        <w:t>, libellés comme suit</w:t>
      </w:r>
      <w:r w:rsidR="00C462AE">
        <w:rPr>
          <w:lang w:val="fr-FR"/>
        </w:rPr>
        <w:t> </w:t>
      </w:r>
      <w:r w:rsidRPr="001C77A9">
        <w:rPr>
          <w:i/>
          <w:lang w:val="fr-FR"/>
        </w:rPr>
        <w:t>:</w:t>
      </w:r>
    </w:p>
    <w:p w:rsidR="001C77A9" w:rsidRPr="001C77A9" w:rsidRDefault="001C77A9" w:rsidP="00C462AE">
      <w:pPr>
        <w:pStyle w:val="SingleTxtG"/>
        <w:ind w:left="2268" w:hanging="1134"/>
        <w:rPr>
          <w:lang w:val="fr-FR"/>
        </w:rPr>
      </w:pPr>
      <w:r w:rsidRPr="001C77A9">
        <w:rPr>
          <w:lang w:val="fr-FR"/>
        </w:rPr>
        <w:t>«</w:t>
      </w:r>
      <w:r w:rsidR="00C462AE">
        <w:rPr>
          <w:lang w:val="fr-FR"/>
        </w:rPr>
        <w:t> </w:t>
      </w:r>
      <w:r w:rsidRPr="001C77A9">
        <w:rPr>
          <w:lang w:val="fr-FR"/>
        </w:rPr>
        <w:t>3.1.4</w:t>
      </w:r>
      <w:r w:rsidRPr="001C77A9">
        <w:rPr>
          <w:lang w:val="fr-FR"/>
        </w:rPr>
        <w:tab/>
        <w:t>Lorsqu’il s’agit d’un type de dispositif de marquage rétroréfléchissant ne différant d’un type homologué antérieurement que par la marque de fabrique ou de commerce, il suffit de présenter</w:t>
      </w:r>
      <w:r w:rsidR="00C462AE">
        <w:rPr>
          <w:lang w:val="fr-FR"/>
        </w:rPr>
        <w:t> </w:t>
      </w:r>
      <w:r w:rsidRPr="001C77A9">
        <w:rPr>
          <w:lang w:val="fr-FR"/>
        </w:rPr>
        <w:t>:</w:t>
      </w:r>
    </w:p>
    <w:p w:rsidR="001C77A9" w:rsidRPr="001C77A9" w:rsidRDefault="001C77A9" w:rsidP="00C462AE">
      <w:pPr>
        <w:pStyle w:val="SingleTxtG"/>
        <w:ind w:left="2268" w:hanging="1134"/>
        <w:rPr>
          <w:lang w:val="fr-FR"/>
        </w:rPr>
      </w:pPr>
      <w:r w:rsidRPr="001C77A9">
        <w:rPr>
          <w:lang w:val="fr-FR"/>
        </w:rPr>
        <w:t>3.1.4.1</w:t>
      </w:r>
      <w:r w:rsidRPr="001C77A9">
        <w:rPr>
          <w:lang w:val="fr-FR"/>
        </w:rPr>
        <w:tab/>
        <w:t>Une déclaration du fabricant du dispositif de marquage rétroréfléchissant précisant que, sauf quant à la marque de fabrique ou de commerce, le type soumis est identique au type déjà homologué (identifié par son code d’homologation) et provient du même fabricant</w:t>
      </w:r>
      <w:r w:rsidR="00C462AE">
        <w:rPr>
          <w:lang w:val="fr-FR"/>
        </w:rPr>
        <w:t> </w:t>
      </w:r>
      <w:r w:rsidRPr="001C77A9">
        <w:rPr>
          <w:lang w:val="fr-FR"/>
        </w:rPr>
        <w:t>;</w:t>
      </w:r>
    </w:p>
    <w:p w:rsidR="001C77A9" w:rsidRPr="001C77A9" w:rsidRDefault="001C77A9" w:rsidP="00C462AE">
      <w:pPr>
        <w:pStyle w:val="SingleTxtG"/>
        <w:ind w:left="2268" w:hanging="1134"/>
        <w:rPr>
          <w:lang w:val="fr-FR"/>
        </w:rPr>
      </w:pPr>
      <w:r w:rsidRPr="001C77A9">
        <w:rPr>
          <w:lang w:val="fr-FR"/>
        </w:rPr>
        <w:t>3.1.4.2</w:t>
      </w:r>
      <w:r w:rsidRPr="001C77A9">
        <w:rPr>
          <w:lang w:val="fr-FR"/>
        </w:rPr>
        <w:tab/>
        <w:t>Deux échantillons portant la nouvelle marque de fabrique ou de commerce, ou un document équivalent.</w:t>
      </w:r>
      <w:r w:rsidR="00C462AE">
        <w:rPr>
          <w:lang w:val="fr-FR"/>
        </w:rPr>
        <w:t> </w:t>
      </w:r>
      <w:r w:rsidRPr="001C77A9">
        <w:rPr>
          <w:lang w:val="fr-FR"/>
        </w:rPr>
        <w:t>».</w:t>
      </w:r>
    </w:p>
    <w:p w:rsidR="001C77A9" w:rsidRPr="001C77A9" w:rsidRDefault="001C77A9" w:rsidP="001C77A9">
      <w:pPr>
        <w:pStyle w:val="SingleTxtG"/>
        <w:rPr>
          <w:iCs/>
          <w:lang w:val="fr-FR"/>
        </w:rPr>
      </w:pPr>
      <w:r w:rsidRPr="001C77A9">
        <w:rPr>
          <w:i/>
          <w:iCs/>
          <w:lang w:val="fr-FR"/>
        </w:rPr>
        <w:t>Paragraphe 6</w:t>
      </w:r>
      <w:r w:rsidRPr="00046199">
        <w:rPr>
          <w:iCs/>
          <w:lang w:val="fr-FR"/>
        </w:rPr>
        <w:t xml:space="preserve">, </w:t>
      </w:r>
      <w:r w:rsidRPr="001C77A9">
        <w:rPr>
          <w:iCs/>
          <w:lang w:val="fr-FR"/>
        </w:rPr>
        <w:t>modifier comme suit</w:t>
      </w:r>
      <w:r w:rsidR="00C462AE">
        <w:rPr>
          <w:iCs/>
          <w:lang w:val="fr-FR"/>
        </w:rPr>
        <w:t> </w:t>
      </w:r>
      <w:r w:rsidRPr="001C77A9">
        <w:rPr>
          <w:iCs/>
          <w:lang w:val="fr-FR"/>
        </w:rPr>
        <w:t>:</w:t>
      </w:r>
    </w:p>
    <w:p w:rsidR="001C77A9" w:rsidRPr="001C77A9" w:rsidRDefault="00046199" w:rsidP="00046199">
      <w:pPr>
        <w:pStyle w:val="HChG"/>
        <w:rPr>
          <w:lang w:val="fr-FR"/>
        </w:rPr>
      </w:pPr>
      <w:r>
        <w:rPr>
          <w:lang w:val="fr-FR"/>
        </w:rPr>
        <w:tab/>
      </w:r>
      <w:r>
        <w:rPr>
          <w:lang w:val="fr-FR"/>
        </w:rPr>
        <w:tab/>
      </w:r>
      <w:r w:rsidR="001C77A9" w:rsidRPr="00046199">
        <w:rPr>
          <w:b w:val="0"/>
          <w:sz w:val="20"/>
          <w:lang w:val="fr-FR"/>
        </w:rPr>
        <w:t>«</w:t>
      </w:r>
      <w:r w:rsidR="00C462AE" w:rsidRPr="00046199">
        <w:rPr>
          <w:b w:val="0"/>
          <w:sz w:val="20"/>
          <w:lang w:val="fr-FR"/>
        </w:rPr>
        <w:t> </w:t>
      </w:r>
      <w:r w:rsidR="001C77A9" w:rsidRPr="001C77A9">
        <w:rPr>
          <w:lang w:val="fr-FR"/>
        </w:rPr>
        <w:t>6.</w:t>
      </w:r>
      <w:r w:rsidR="001C77A9" w:rsidRPr="001C77A9">
        <w:rPr>
          <w:lang w:val="fr-FR"/>
        </w:rPr>
        <w:tab/>
      </w:r>
      <w:r>
        <w:rPr>
          <w:lang w:val="fr-FR"/>
        </w:rPr>
        <w:tab/>
      </w:r>
      <w:r w:rsidR="001C77A9" w:rsidRPr="001C77A9">
        <w:rPr>
          <w:lang w:val="fr-FR"/>
        </w:rPr>
        <w:t>Prescriptions générales</w:t>
      </w:r>
    </w:p>
    <w:p w:rsidR="001C77A9" w:rsidRPr="001C77A9" w:rsidRDefault="001C77A9" w:rsidP="00C462AE">
      <w:pPr>
        <w:pStyle w:val="SingleTxtG"/>
        <w:ind w:left="2268"/>
        <w:rPr>
          <w:lang w:val="fr-FR"/>
        </w:rPr>
      </w:pPr>
      <w:r w:rsidRPr="001C77A9">
        <w:rPr>
          <w:lang w:val="fr-FR"/>
        </w:rPr>
        <w:tab/>
        <w:t xml:space="preserve">Les prescriptions contenues dans les sections 5 “Prescriptions générales” (ou </w:t>
      </w:r>
      <w:r w:rsidR="00C462AE" w:rsidRPr="00C462AE">
        <w:rPr>
          <w:spacing w:val="-4"/>
          <w:lang w:val="fr-FR"/>
        </w:rPr>
        <w:t>“</w:t>
      </w:r>
      <w:r w:rsidRPr="00C462AE">
        <w:rPr>
          <w:spacing w:val="-4"/>
          <w:lang w:val="fr-FR"/>
        </w:rPr>
        <w:t>Spécifications générales</w:t>
      </w:r>
      <w:r w:rsidR="00C462AE" w:rsidRPr="00C462AE">
        <w:rPr>
          <w:spacing w:val="-4"/>
          <w:lang w:val="fr-FR"/>
        </w:rPr>
        <w:t>”</w:t>
      </w:r>
      <w:r w:rsidRPr="00C462AE">
        <w:rPr>
          <w:spacing w:val="-4"/>
          <w:lang w:val="fr-FR"/>
        </w:rPr>
        <w:t xml:space="preserve">) et 6 “Prescriptions particulières” (ou </w:t>
      </w:r>
      <w:r w:rsidR="00C462AE" w:rsidRPr="00C462AE">
        <w:rPr>
          <w:spacing w:val="-4"/>
          <w:lang w:val="fr-FR"/>
        </w:rPr>
        <w:t>“</w:t>
      </w:r>
      <w:r w:rsidRPr="00C462AE">
        <w:rPr>
          <w:spacing w:val="-4"/>
          <w:lang w:val="fr-FR"/>
        </w:rPr>
        <w:t>Spécifications</w:t>
      </w:r>
      <w:r w:rsidRPr="001C77A9">
        <w:rPr>
          <w:lang w:val="fr-FR"/>
        </w:rPr>
        <w:t xml:space="preserve"> particulières</w:t>
      </w:r>
      <w:r w:rsidR="00C462AE">
        <w:rPr>
          <w:lang w:val="fr-FR"/>
        </w:rPr>
        <w:t>”</w:t>
      </w:r>
      <w:r w:rsidRPr="001C77A9">
        <w:rPr>
          <w:lang w:val="fr-FR"/>
        </w:rPr>
        <w:t xml:space="preserve">) ainsi que dans les annexes citées dans lesdites sections des Règlements </w:t>
      </w:r>
      <w:r w:rsidR="00C462AE" w:rsidRPr="00C462AE">
        <w:rPr>
          <w:rFonts w:eastAsia="MS Mincho"/>
          <w:szCs w:val="22"/>
          <w:lang w:val="fr-FR"/>
        </w:rPr>
        <w:t>n</w:t>
      </w:r>
      <w:r w:rsidR="00C462AE" w:rsidRPr="00C462AE">
        <w:rPr>
          <w:rFonts w:eastAsia="MS Mincho"/>
          <w:szCs w:val="22"/>
          <w:vertAlign w:val="superscript"/>
          <w:lang w:val="fr-FR"/>
        </w:rPr>
        <w:t>o</w:t>
      </w:r>
      <w:r w:rsidR="00C462AE">
        <w:rPr>
          <w:rFonts w:eastAsia="MS Mincho"/>
          <w:szCs w:val="22"/>
          <w:vertAlign w:val="superscript"/>
          <w:lang w:val="fr-FR"/>
        </w:rPr>
        <w:t>s</w:t>
      </w:r>
      <w:r w:rsidR="00C462AE">
        <w:rPr>
          <w:lang w:val="fr-FR"/>
        </w:rPr>
        <w:t> </w:t>
      </w:r>
      <w:r w:rsidRPr="001C77A9">
        <w:rPr>
          <w:lang w:val="fr-FR"/>
        </w:rPr>
        <w:t>48 ou 86 et de leurs séries d’amendements en vigueur à la date de la demande d’homologation de type du dispositif de marquage rétroréfléchissant s’appliquent au présent Règlement.</w:t>
      </w:r>
    </w:p>
    <w:p w:rsidR="001C77A9" w:rsidRPr="001C77A9" w:rsidRDefault="001C77A9" w:rsidP="00C462AE">
      <w:pPr>
        <w:pStyle w:val="SingleTxtG"/>
        <w:ind w:left="2268"/>
        <w:rPr>
          <w:lang w:val="fr-FR"/>
        </w:rPr>
      </w:pPr>
      <w:r w:rsidRPr="001C77A9">
        <w:rPr>
          <w:lang w:val="fr-FR"/>
        </w:rPr>
        <w:tab/>
        <w:t>Les prescriptions pertinentes pour chaque dispositif de marquage rétroréfléchissant et la ou les catégories de véhicules sur lesquelles il est prévu de l’installer sont applicables, pour autant que leur vérification soit possible lors de l’homologation de type du dispositif de marquage rétroréfléchissant.</w:t>
      </w:r>
    </w:p>
    <w:p w:rsidR="00F9573C" w:rsidRDefault="00C462AE" w:rsidP="00C462AE">
      <w:pPr>
        <w:pStyle w:val="SingleTxtG"/>
        <w:ind w:left="2268" w:hanging="1134"/>
        <w:rPr>
          <w:lang w:val="fr-FR"/>
        </w:rPr>
      </w:pPr>
      <w:r>
        <w:rPr>
          <w:lang w:val="fr-FR"/>
        </w:rPr>
        <w:t>6.1</w:t>
      </w:r>
      <w:r w:rsidR="001C77A9" w:rsidRPr="001C77A9">
        <w:rPr>
          <w:lang w:val="fr-FR"/>
        </w:rPr>
        <w:tab/>
        <w:t>…</w:t>
      </w:r>
      <w:r>
        <w:rPr>
          <w:lang w:val="fr-FR"/>
        </w:rPr>
        <w:t> </w:t>
      </w:r>
      <w:r w:rsidR="001C77A9" w:rsidRPr="001C77A9">
        <w:rPr>
          <w:lang w:val="fr-FR"/>
        </w:rPr>
        <w:t>».</w:t>
      </w:r>
    </w:p>
    <w:p w:rsidR="00C462AE" w:rsidRPr="00C462AE" w:rsidRDefault="00C462AE" w:rsidP="00C462AE">
      <w:pPr>
        <w:pStyle w:val="SingleTxtG"/>
        <w:spacing w:before="240" w:after="0"/>
        <w:jc w:val="center"/>
        <w:rPr>
          <w:u w:val="single"/>
        </w:rPr>
      </w:pPr>
      <w:r>
        <w:rPr>
          <w:u w:val="single"/>
        </w:rPr>
        <w:tab/>
      </w:r>
      <w:r>
        <w:rPr>
          <w:u w:val="single"/>
        </w:rPr>
        <w:tab/>
      </w:r>
      <w:r>
        <w:rPr>
          <w:u w:val="single"/>
        </w:rPr>
        <w:tab/>
      </w:r>
    </w:p>
    <w:sectPr w:rsidR="00C462AE" w:rsidRPr="00C462AE" w:rsidSect="001C77A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E6" w:rsidRDefault="00DB68E6" w:rsidP="00F95C08">
      <w:pPr>
        <w:spacing w:line="240" w:lineRule="auto"/>
      </w:pPr>
    </w:p>
  </w:endnote>
  <w:endnote w:type="continuationSeparator" w:id="0">
    <w:p w:rsidR="00DB68E6" w:rsidRPr="00AC3823" w:rsidRDefault="00DB68E6" w:rsidP="00AC3823">
      <w:pPr>
        <w:pStyle w:val="Footer"/>
      </w:pPr>
    </w:p>
  </w:endnote>
  <w:endnote w:type="continuationNotice" w:id="1">
    <w:p w:rsidR="00DB68E6" w:rsidRDefault="00DB68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9" w:rsidRPr="001C77A9" w:rsidRDefault="001C77A9" w:rsidP="001C77A9">
    <w:pPr>
      <w:pStyle w:val="Footer"/>
      <w:tabs>
        <w:tab w:val="right" w:pos="9638"/>
      </w:tabs>
    </w:pPr>
    <w:r w:rsidRPr="001C77A9">
      <w:rPr>
        <w:b/>
        <w:sz w:val="18"/>
      </w:rPr>
      <w:fldChar w:fldCharType="begin"/>
    </w:r>
    <w:r w:rsidRPr="001C77A9">
      <w:rPr>
        <w:b/>
        <w:sz w:val="18"/>
      </w:rPr>
      <w:instrText xml:space="preserve"> PAGE  \* MERGEFORMAT </w:instrText>
    </w:r>
    <w:r w:rsidRPr="001C77A9">
      <w:rPr>
        <w:b/>
        <w:sz w:val="18"/>
      </w:rPr>
      <w:fldChar w:fldCharType="separate"/>
    </w:r>
    <w:r w:rsidR="00267A9A">
      <w:rPr>
        <w:b/>
        <w:noProof/>
        <w:sz w:val="18"/>
      </w:rPr>
      <w:t>2</w:t>
    </w:r>
    <w:r w:rsidRPr="001C77A9">
      <w:rPr>
        <w:b/>
        <w:sz w:val="18"/>
      </w:rPr>
      <w:fldChar w:fldCharType="end"/>
    </w:r>
    <w:r>
      <w:rPr>
        <w:b/>
        <w:sz w:val="18"/>
      </w:rPr>
      <w:tab/>
    </w:r>
    <w:r>
      <w:t>GE.16-22501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9" w:rsidRPr="001C77A9" w:rsidRDefault="001C77A9" w:rsidP="001C77A9">
    <w:pPr>
      <w:pStyle w:val="Footer"/>
      <w:tabs>
        <w:tab w:val="right" w:pos="9638"/>
      </w:tabs>
      <w:rPr>
        <w:b/>
        <w:sz w:val="18"/>
      </w:rPr>
    </w:pPr>
    <w:r>
      <w:t>GE.16-22501</w:t>
    </w:r>
    <w:r>
      <w:tab/>
    </w:r>
    <w:r w:rsidRPr="001C77A9">
      <w:rPr>
        <w:b/>
        <w:sz w:val="18"/>
      </w:rPr>
      <w:fldChar w:fldCharType="begin"/>
    </w:r>
    <w:r w:rsidRPr="001C77A9">
      <w:rPr>
        <w:b/>
        <w:sz w:val="18"/>
      </w:rPr>
      <w:instrText xml:space="preserve"> PAGE  \* MERGEFORMAT </w:instrText>
    </w:r>
    <w:r w:rsidRPr="001C77A9">
      <w:rPr>
        <w:b/>
        <w:sz w:val="18"/>
      </w:rPr>
      <w:fldChar w:fldCharType="separate"/>
    </w:r>
    <w:r>
      <w:rPr>
        <w:b/>
        <w:noProof/>
        <w:sz w:val="18"/>
      </w:rPr>
      <w:t>3</w:t>
    </w:r>
    <w:r w:rsidRPr="001C77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C77A9" w:rsidRDefault="001C77A9" w:rsidP="001C77A9">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21EC0E6" wp14:editId="30DB1E5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16-22501  (F)    120117    190117</w:t>
    </w:r>
    <w:r>
      <w:rPr>
        <w:sz w:val="20"/>
      </w:rPr>
      <w:br/>
    </w:r>
    <w:r w:rsidRPr="001C77A9">
      <w:rPr>
        <w:rFonts w:ascii="C39T30Lfz" w:hAnsi="C39T30Lfz"/>
        <w:sz w:val="56"/>
      </w:rPr>
      <w:t></w:t>
    </w:r>
    <w:r w:rsidRPr="001C77A9">
      <w:rPr>
        <w:rFonts w:ascii="C39T30Lfz" w:hAnsi="C39T30Lfz"/>
        <w:sz w:val="56"/>
      </w:rPr>
      <w:t></w:t>
    </w:r>
    <w:r w:rsidRPr="001C77A9">
      <w:rPr>
        <w:rFonts w:ascii="C39T30Lfz" w:hAnsi="C39T30Lfz"/>
        <w:sz w:val="56"/>
      </w:rPr>
      <w:t></w:t>
    </w:r>
    <w:r w:rsidRPr="001C77A9">
      <w:rPr>
        <w:rFonts w:ascii="C39T30Lfz" w:hAnsi="C39T30Lfz"/>
        <w:sz w:val="56"/>
      </w:rPr>
      <w:t></w:t>
    </w:r>
    <w:r w:rsidRPr="001C77A9">
      <w:rPr>
        <w:rFonts w:ascii="C39T30Lfz" w:hAnsi="C39T30Lfz"/>
        <w:sz w:val="56"/>
      </w:rPr>
      <w:t></w:t>
    </w:r>
    <w:r w:rsidRPr="001C77A9">
      <w:rPr>
        <w:rFonts w:ascii="C39T30Lfz" w:hAnsi="C39T30Lfz"/>
        <w:sz w:val="56"/>
      </w:rPr>
      <w:t></w:t>
    </w:r>
    <w:r w:rsidRPr="001C77A9">
      <w:rPr>
        <w:rFonts w:ascii="C39T30Lfz" w:hAnsi="C39T30Lfz"/>
        <w:sz w:val="56"/>
      </w:rPr>
      <w:t></w:t>
    </w:r>
    <w:r w:rsidRPr="001C77A9">
      <w:rPr>
        <w:rFonts w:ascii="C39T30Lfz" w:hAnsi="C39T30Lfz"/>
        <w:sz w:val="56"/>
      </w:rPr>
      <w:t></w:t>
    </w:r>
    <w:r w:rsidRPr="001C77A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E6" w:rsidRPr="00AC3823" w:rsidRDefault="00DB68E6" w:rsidP="00AC3823">
      <w:pPr>
        <w:pStyle w:val="Footer"/>
        <w:tabs>
          <w:tab w:val="right" w:pos="2155"/>
        </w:tabs>
        <w:spacing w:after="80" w:line="240" w:lineRule="atLeast"/>
        <w:ind w:left="680"/>
        <w:rPr>
          <w:u w:val="single"/>
        </w:rPr>
      </w:pPr>
      <w:r>
        <w:rPr>
          <w:u w:val="single"/>
        </w:rPr>
        <w:tab/>
      </w:r>
    </w:p>
  </w:footnote>
  <w:footnote w:type="continuationSeparator" w:id="0">
    <w:p w:rsidR="00DB68E6" w:rsidRPr="00AC3823" w:rsidRDefault="00DB68E6" w:rsidP="00AC3823">
      <w:pPr>
        <w:pStyle w:val="Footer"/>
        <w:tabs>
          <w:tab w:val="right" w:pos="2155"/>
        </w:tabs>
        <w:spacing w:after="80" w:line="240" w:lineRule="atLeast"/>
        <w:ind w:left="680"/>
        <w:rPr>
          <w:u w:val="single"/>
        </w:rPr>
      </w:pPr>
      <w:r>
        <w:rPr>
          <w:u w:val="single"/>
        </w:rPr>
        <w:tab/>
      </w:r>
    </w:p>
  </w:footnote>
  <w:footnote w:type="continuationNotice" w:id="1">
    <w:p w:rsidR="00DB68E6" w:rsidRPr="00AC3823" w:rsidRDefault="00DB68E6">
      <w:pPr>
        <w:spacing w:line="240" w:lineRule="auto"/>
        <w:rPr>
          <w:sz w:val="2"/>
          <w:szCs w:val="2"/>
        </w:rPr>
      </w:pPr>
    </w:p>
  </w:footnote>
  <w:footnote w:id="2">
    <w:p w:rsidR="001C77A9" w:rsidRPr="001C77A9" w:rsidRDefault="001C77A9">
      <w:pPr>
        <w:pStyle w:val="FootnoteText"/>
      </w:pPr>
      <w:r>
        <w:rPr>
          <w:rStyle w:val="FootnoteReference"/>
        </w:rPr>
        <w:tab/>
      </w:r>
      <w:r w:rsidRPr="001C77A9">
        <w:rPr>
          <w:rStyle w:val="FootnoteReference"/>
          <w:sz w:val="20"/>
          <w:vertAlign w:val="baseline"/>
        </w:rPr>
        <w:t>*</w:t>
      </w:r>
      <w:r>
        <w:rPr>
          <w:rStyle w:val="FootnoteReference"/>
          <w:sz w:val="20"/>
          <w:vertAlign w:val="baseline"/>
        </w:rPr>
        <w:tab/>
      </w:r>
      <w:r w:rsidRPr="003214A2">
        <w:rPr>
          <w:szCs w:val="18"/>
          <w:lang w:val="fr-FR"/>
        </w:rPr>
        <w:t>Conformément au programme de travail du Comité des transports intérieurs pour la période 2016</w:t>
      </w:r>
      <w:r>
        <w:rPr>
          <w:szCs w:val="18"/>
          <w:lang w:val="fr-FR"/>
        </w:rPr>
        <w:noBreakHyphen/>
      </w:r>
      <w:r w:rsidRPr="003214A2">
        <w:rPr>
          <w:szCs w:val="18"/>
          <w:lang w:val="fr-FR"/>
        </w:rPr>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9" w:rsidRPr="001C77A9" w:rsidRDefault="001C77A9">
    <w:pPr>
      <w:pStyle w:val="Header"/>
    </w:pPr>
    <w:r>
      <w:t>ECE/TRANS/WP.29/2017/37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9" w:rsidRPr="001C77A9" w:rsidRDefault="001C77A9" w:rsidP="001C77A9">
    <w:pPr>
      <w:pStyle w:val="Header"/>
      <w:jc w:val="right"/>
    </w:pPr>
    <w:r>
      <w:t>ECE/TRANS/WP.29/2017/37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E6"/>
    <w:rsid w:val="00017F94"/>
    <w:rsid w:val="00023842"/>
    <w:rsid w:val="000334F9"/>
    <w:rsid w:val="00046199"/>
    <w:rsid w:val="0007796D"/>
    <w:rsid w:val="000B7790"/>
    <w:rsid w:val="00111F2F"/>
    <w:rsid w:val="0014365E"/>
    <w:rsid w:val="00143C66"/>
    <w:rsid w:val="00176178"/>
    <w:rsid w:val="001C77A9"/>
    <w:rsid w:val="001F525A"/>
    <w:rsid w:val="00223272"/>
    <w:rsid w:val="0024779E"/>
    <w:rsid w:val="00257168"/>
    <w:rsid w:val="00267A9A"/>
    <w:rsid w:val="002744B8"/>
    <w:rsid w:val="002832AC"/>
    <w:rsid w:val="002837B7"/>
    <w:rsid w:val="002D7C93"/>
    <w:rsid w:val="00305801"/>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027"/>
    <w:rsid w:val="00871C75"/>
    <w:rsid w:val="008776DC"/>
    <w:rsid w:val="008A78F4"/>
    <w:rsid w:val="009705C8"/>
    <w:rsid w:val="009C1CF4"/>
    <w:rsid w:val="009F6B74"/>
    <w:rsid w:val="00A30353"/>
    <w:rsid w:val="00AC3823"/>
    <w:rsid w:val="00AE323C"/>
    <w:rsid w:val="00AF0CB5"/>
    <w:rsid w:val="00B00181"/>
    <w:rsid w:val="00B00B0D"/>
    <w:rsid w:val="00B34BF5"/>
    <w:rsid w:val="00B765F7"/>
    <w:rsid w:val="00BA0CA9"/>
    <w:rsid w:val="00C02897"/>
    <w:rsid w:val="00C462AE"/>
    <w:rsid w:val="00C83442"/>
    <w:rsid w:val="00D3439C"/>
    <w:rsid w:val="00DB1831"/>
    <w:rsid w:val="00DB68E6"/>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1A92489-5817-4085-8483-D0EF089E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ECE/TRANS/WP.29/2017/37</vt:lpstr>
      <vt:lpstr>ECE/TRANS/WP.29/2017/37</vt:lpstr>
    </vt:vector>
  </TitlesOfParts>
  <Company>DCM</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ECE/TRANS/WP.29/2017/37</dc:title>
  <dc:subject>Final</dc:subject>
  <dc:creator>Fabienne Crelier</dc:creator>
  <cp:lastModifiedBy>Lucille</cp:lastModifiedBy>
  <cp:revision>2</cp:revision>
  <cp:lastPrinted>2017-01-19T10:44:00Z</cp:lastPrinted>
  <dcterms:created xsi:type="dcterms:W3CDTF">2017-01-19T15:17:00Z</dcterms:created>
  <dcterms:modified xsi:type="dcterms:W3CDTF">2017-01-19T15:17:00Z</dcterms:modified>
</cp:coreProperties>
</file>