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697309">
            <w:bookmarkStart w:id="0" w:name="_GoBack"/>
            <w:bookmarkEnd w:id="0"/>
          </w:p>
        </w:tc>
        <w:tc>
          <w:tcPr>
            <w:tcW w:w="2268" w:type="dxa"/>
            <w:tcBorders>
              <w:bottom w:val="single" w:sz="4" w:space="0" w:color="auto"/>
            </w:tcBorders>
            <w:vAlign w:val="bottom"/>
          </w:tcPr>
          <w:p w:rsidR="00F35BAF" w:rsidRPr="00DB58B5" w:rsidRDefault="00F35BAF" w:rsidP="00A1343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97309" w:rsidP="00697309">
            <w:pPr>
              <w:jc w:val="right"/>
            </w:pPr>
            <w:r w:rsidRPr="00697309">
              <w:rPr>
                <w:sz w:val="40"/>
              </w:rPr>
              <w:t>ECE</w:t>
            </w:r>
            <w:r>
              <w:t>/TRANS/WP.29/2017/35</w:t>
            </w:r>
          </w:p>
        </w:tc>
      </w:tr>
      <w:tr w:rsidR="00F35BAF" w:rsidRPr="00DB58B5" w:rsidTr="00A1343F">
        <w:trPr>
          <w:trHeight w:hRule="exact" w:val="2835"/>
        </w:trPr>
        <w:tc>
          <w:tcPr>
            <w:tcW w:w="1276" w:type="dxa"/>
            <w:tcBorders>
              <w:top w:val="single" w:sz="4" w:space="0" w:color="auto"/>
              <w:bottom w:val="single" w:sz="12" w:space="0" w:color="auto"/>
            </w:tcBorders>
          </w:tcPr>
          <w:p w:rsidR="00F35BAF" w:rsidRPr="00DB58B5" w:rsidRDefault="00F35BAF" w:rsidP="00A1343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A1343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97309" w:rsidP="00A1343F">
            <w:pPr>
              <w:spacing w:before="240"/>
            </w:pPr>
            <w:r>
              <w:t>Distr. générale</w:t>
            </w:r>
          </w:p>
          <w:p w:rsidR="00697309" w:rsidRDefault="00697309" w:rsidP="00697309">
            <w:pPr>
              <w:spacing w:line="240" w:lineRule="exact"/>
            </w:pPr>
            <w:r>
              <w:t>20 décembre 2016</w:t>
            </w:r>
          </w:p>
          <w:p w:rsidR="00697309" w:rsidRDefault="00697309" w:rsidP="00697309">
            <w:pPr>
              <w:spacing w:line="240" w:lineRule="exact"/>
            </w:pPr>
            <w:r>
              <w:t>Français</w:t>
            </w:r>
          </w:p>
          <w:p w:rsidR="00697309" w:rsidRPr="00DB58B5" w:rsidRDefault="00697309" w:rsidP="00697309">
            <w:pPr>
              <w:spacing w:line="240" w:lineRule="exact"/>
            </w:pPr>
            <w:r>
              <w:t>Original</w:t>
            </w:r>
            <w:r w:rsidR="00A1343F">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97309" w:rsidRDefault="00697309"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97309" w:rsidRDefault="00697309" w:rsidP="00AF0CB5">
      <w:pPr>
        <w:spacing w:before="120" w:line="240" w:lineRule="exact"/>
        <w:rPr>
          <w:b/>
        </w:rPr>
      </w:pPr>
      <w:r>
        <w:rPr>
          <w:b/>
        </w:rPr>
        <w:t>171</w:t>
      </w:r>
      <w:r w:rsidRPr="00697309">
        <w:rPr>
          <w:b/>
          <w:vertAlign w:val="superscript"/>
        </w:rPr>
        <w:t>e</w:t>
      </w:r>
      <w:r>
        <w:rPr>
          <w:b/>
        </w:rPr>
        <w:t xml:space="preserve"> session</w:t>
      </w:r>
    </w:p>
    <w:p w:rsidR="00697309" w:rsidRDefault="00697309" w:rsidP="00AF0CB5">
      <w:pPr>
        <w:spacing w:line="240" w:lineRule="exact"/>
      </w:pPr>
      <w:r>
        <w:t>Genève, 14-17 mars 2017</w:t>
      </w:r>
    </w:p>
    <w:p w:rsidR="00697309" w:rsidRDefault="00697309" w:rsidP="00AF0CB5">
      <w:pPr>
        <w:spacing w:line="240" w:lineRule="exact"/>
      </w:pPr>
      <w:r>
        <w:t>Point 4.9.17 de l’ordre du jour provisoire</w:t>
      </w:r>
    </w:p>
    <w:p w:rsidR="001D4CDE" w:rsidRPr="00296682" w:rsidRDefault="00697309" w:rsidP="00296682">
      <w:pPr>
        <w:spacing w:line="240" w:lineRule="exact"/>
        <w:rPr>
          <w:b/>
        </w:rPr>
      </w:pPr>
      <w:r w:rsidRPr="00697309">
        <w:rPr>
          <w:b/>
        </w:rPr>
        <w:t>Accord de 1958</w:t>
      </w:r>
      <w:r w:rsidR="00A1343F">
        <w:rPr>
          <w:b/>
        </w:rPr>
        <w:t> :</w:t>
      </w:r>
      <w:r w:rsidRPr="00697309">
        <w:rPr>
          <w:b/>
        </w:rPr>
        <w:t xml:space="preserve"> </w:t>
      </w:r>
      <w:r w:rsidR="001D4CDE" w:rsidRPr="00C70EFF">
        <w:rPr>
          <w:b/>
          <w:lang w:val="fr-FR"/>
        </w:rPr>
        <w:t>Examen de projets d</w:t>
      </w:r>
      <w:r w:rsidR="001D4CDE">
        <w:rPr>
          <w:b/>
          <w:lang w:val="fr-FR"/>
        </w:rPr>
        <w:t>’</w:t>
      </w:r>
      <w:r w:rsidR="00296682">
        <w:rPr>
          <w:b/>
          <w:lang w:val="fr-FR"/>
        </w:rPr>
        <w:t xml:space="preserve">amendements </w:t>
      </w:r>
      <w:r w:rsidR="00296682">
        <w:rPr>
          <w:b/>
          <w:lang w:val="fr-FR"/>
        </w:rPr>
        <w:br/>
      </w:r>
      <w:r w:rsidR="001D4CDE" w:rsidRPr="00C70EFF">
        <w:rPr>
          <w:b/>
          <w:lang w:val="fr-FR"/>
        </w:rPr>
        <w:t>à des Règlements existants, soumis par le GRE</w:t>
      </w:r>
    </w:p>
    <w:p w:rsidR="001D4CDE" w:rsidRPr="00C70EFF" w:rsidRDefault="001D4CDE" w:rsidP="001D4CDE">
      <w:pPr>
        <w:pStyle w:val="HChG"/>
        <w:rPr>
          <w:lang w:val="fr-FR"/>
        </w:rPr>
      </w:pPr>
      <w:r w:rsidRPr="00C70EFF">
        <w:rPr>
          <w:rFonts w:eastAsia="SimSun"/>
          <w:spacing w:val="4"/>
          <w:w w:val="103"/>
          <w:kern w:val="14"/>
          <w:lang w:val="fr-FR" w:eastAsia="ru-RU"/>
        </w:rPr>
        <w:tab/>
      </w:r>
      <w:r w:rsidRPr="00C70EFF">
        <w:rPr>
          <w:rFonts w:eastAsia="SimSun"/>
          <w:spacing w:val="4"/>
          <w:w w:val="103"/>
          <w:kern w:val="14"/>
          <w:lang w:val="fr-FR" w:eastAsia="ru-RU"/>
        </w:rPr>
        <w:tab/>
      </w:r>
      <w:r w:rsidRPr="00C70EFF">
        <w:rPr>
          <w:lang w:val="fr-FR"/>
        </w:rPr>
        <w:t>Proposition de complément 8 à la série 01 d</w:t>
      </w:r>
      <w:r>
        <w:rPr>
          <w:lang w:val="fr-FR"/>
        </w:rPr>
        <w:t>’</w:t>
      </w:r>
      <w:r w:rsidRPr="00C70EFF">
        <w:rPr>
          <w:lang w:val="fr-FR"/>
        </w:rPr>
        <w:t>amendements</w:t>
      </w:r>
      <w:r w:rsidRPr="00C70EFF">
        <w:rPr>
          <w:lang w:val="fr-FR"/>
        </w:rPr>
        <w:br/>
        <w:t xml:space="preserve">au Règlement </w:t>
      </w:r>
      <w:r w:rsidRPr="001D4CDE">
        <w:rPr>
          <w:rFonts w:eastAsia="MS Mincho"/>
          <w:lang w:val="fr-FR"/>
        </w:rPr>
        <w:t>n</w:t>
      </w:r>
      <w:r w:rsidRPr="001D4CDE">
        <w:rPr>
          <w:rFonts w:eastAsia="MS Mincho"/>
          <w:vertAlign w:val="superscript"/>
          <w:lang w:val="fr-FR"/>
        </w:rPr>
        <w:t>o</w:t>
      </w:r>
      <w:r>
        <w:rPr>
          <w:lang w:val="fr-FR"/>
        </w:rPr>
        <w:t> </w:t>
      </w:r>
      <w:r w:rsidRPr="00C70EFF">
        <w:rPr>
          <w:lang w:val="fr-FR"/>
        </w:rPr>
        <w:t>98 (</w:t>
      </w:r>
      <w:r w:rsidRPr="003E4875">
        <w:rPr>
          <w:lang w:val="fr-FR"/>
        </w:rPr>
        <w:t xml:space="preserve">Projecteurs de véhicules munis </w:t>
      </w:r>
      <w:r>
        <w:rPr>
          <w:lang w:val="fr-FR"/>
        </w:rPr>
        <w:br/>
      </w:r>
      <w:r w:rsidRPr="003E4875">
        <w:rPr>
          <w:lang w:val="fr-FR"/>
        </w:rPr>
        <w:t>de sources lumineuses à décharge</w:t>
      </w:r>
      <w:r w:rsidRPr="00C70EFF">
        <w:rPr>
          <w:lang w:val="fr-FR"/>
        </w:rPr>
        <w:t>)</w:t>
      </w:r>
    </w:p>
    <w:p w:rsidR="001D4CDE" w:rsidRPr="00C70EFF" w:rsidRDefault="001D4CDE" w:rsidP="002B4759">
      <w:pPr>
        <w:pStyle w:val="H1G"/>
        <w:rPr>
          <w:lang w:val="fr-FR"/>
        </w:rPr>
      </w:pPr>
      <w:r w:rsidRPr="00C70EFF">
        <w:rPr>
          <w:lang w:val="fr-FR"/>
        </w:rPr>
        <w:tab/>
      </w:r>
      <w:r w:rsidRPr="00C70EFF">
        <w:rPr>
          <w:lang w:val="fr-FR"/>
        </w:rPr>
        <w:tab/>
        <w:t>Communication du Groupe de travail de l</w:t>
      </w:r>
      <w:r>
        <w:rPr>
          <w:lang w:val="fr-FR"/>
        </w:rPr>
        <w:t>’</w:t>
      </w:r>
      <w:r w:rsidRPr="00C70EFF">
        <w:rPr>
          <w:lang w:val="fr-FR"/>
        </w:rPr>
        <w:t xml:space="preserve">éclairage </w:t>
      </w:r>
      <w:r w:rsidR="002B4759">
        <w:rPr>
          <w:lang w:val="fr-FR"/>
        </w:rPr>
        <w:br/>
      </w:r>
      <w:r w:rsidRPr="00C70EFF">
        <w:rPr>
          <w:lang w:val="fr-FR"/>
        </w:rPr>
        <w:t>et de la signalisation lumineuse</w:t>
      </w:r>
      <w:r w:rsidRPr="00687CEA">
        <w:rPr>
          <w:b w:val="0"/>
          <w:lang w:val="fr-FR"/>
        </w:rPr>
        <w:footnoteReference w:customMarkFollows="1" w:id="2"/>
        <w:t>*</w:t>
      </w:r>
    </w:p>
    <w:p w:rsidR="001D4CDE" w:rsidRPr="00C70EFF" w:rsidRDefault="001D4CDE" w:rsidP="001D4CDE">
      <w:pPr>
        <w:kinsoku/>
        <w:overflowPunct/>
        <w:autoSpaceDE/>
        <w:autoSpaceDN/>
        <w:adjustRightInd/>
        <w:snapToGrid/>
        <w:spacing w:after="240" w:line="240" w:lineRule="auto"/>
        <w:ind w:left="1134" w:right="1134" w:firstLine="567"/>
        <w:jc w:val="both"/>
        <w:rPr>
          <w:b/>
          <w:lang w:val="fr-FR"/>
        </w:rPr>
      </w:pPr>
      <w:r w:rsidRPr="00C70EFF">
        <w:rPr>
          <w:lang w:val="fr-FR"/>
        </w:rPr>
        <w:t xml:space="preserve">Le texte </w:t>
      </w:r>
      <w:r>
        <w:rPr>
          <w:lang w:val="fr-FR"/>
        </w:rPr>
        <w:t>ci-après</w:t>
      </w:r>
      <w:r w:rsidRPr="00C70EFF">
        <w:rPr>
          <w:lang w:val="fr-FR"/>
        </w:rPr>
        <w:t xml:space="preserve"> a été adopté par le Groupe de travail de l</w:t>
      </w:r>
      <w:r>
        <w:rPr>
          <w:lang w:val="fr-FR"/>
        </w:rPr>
        <w:t>’</w:t>
      </w:r>
      <w:r w:rsidRPr="00C70EFF">
        <w:rPr>
          <w:lang w:val="fr-FR"/>
        </w:rPr>
        <w:t>éclairage et de la signalisation lumineuse (GRE) à sa soixante-seizième session (ECE/TRANS/WP.29/</w:t>
      </w:r>
      <w:r w:rsidR="00A1343F">
        <w:rPr>
          <w:lang w:val="fr-FR"/>
        </w:rPr>
        <w:t xml:space="preserve"> GRE/76, par. </w:t>
      </w:r>
      <w:r w:rsidRPr="00C70EFF">
        <w:rPr>
          <w:lang w:val="fr-FR"/>
        </w:rPr>
        <w:t xml:space="preserve">10, 12 et 15). Il est fondé sur les documents </w:t>
      </w:r>
      <w:r>
        <w:rPr>
          <w:lang w:val="fr-FR"/>
        </w:rPr>
        <w:t>suivants</w:t>
      </w:r>
      <w:r w:rsidR="00A1343F">
        <w:rPr>
          <w:lang w:val="fr-FR"/>
        </w:rPr>
        <w:t> :</w:t>
      </w:r>
      <w:r>
        <w:rPr>
          <w:lang w:val="fr-FR"/>
        </w:rPr>
        <w:t xml:space="preserve"> </w:t>
      </w:r>
      <w:r w:rsidRPr="00C70EFF">
        <w:rPr>
          <w:lang w:val="fr-FR"/>
        </w:rPr>
        <w:t>ECE/TRANS/</w:t>
      </w:r>
      <w:r w:rsidR="00A1343F">
        <w:rPr>
          <w:lang w:val="fr-FR"/>
        </w:rPr>
        <w:t xml:space="preserve"> </w:t>
      </w:r>
      <w:r w:rsidRPr="00C70EFF">
        <w:rPr>
          <w:lang w:val="fr-FR"/>
        </w:rPr>
        <w:t>WP.29/2013/90, ECE/TRANS/WP.29/GRE/2013/55/Rev.1, ECE/TRANS/WP.29/GRE/</w:t>
      </w:r>
      <w:r w:rsidR="00A1343F">
        <w:rPr>
          <w:lang w:val="fr-FR"/>
        </w:rPr>
        <w:t xml:space="preserve"> </w:t>
      </w:r>
      <w:r w:rsidRPr="00C70EFF">
        <w:rPr>
          <w:lang w:val="fr-FR"/>
        </w:rPr>
        <w:t>2014/3, ECE/TRANS/WP.29/GRE/2016/14, annexe IV du document ECE/TRANS/WP.29/</w:t>
      </w:r>
      <w:r w:rsidR="00A1343F">
        <w:rPr>
          <w:lang w:val="fr-FR"/>
        </w:rPr>
        <w:t xml:space="preserve"> </w:t>
      </w:r>
      <w:r w:rsidRPr="00C70EFF">
        <w:rPr>
          <w:lang w:val="fr-FR"/>
        </w:rPr>
        <w:t>GRE/75, ECE/TRANS/WP.29/GRE/2016/25 et ECE/TRANS/WP.29/GRE/2016/32. Il est soumis au Forum mondial de l</w:t>
      </w:r>
      <w:r>
        <w:rPr>
          <w:lang w:val="fr-FR"/>
        </w:rPr>
        <w:t>’</w:t>
      </w:r>
      <w:r w:rsidRPr="00C70EFF">
        <w:rPr>
          <w:lang w:val="fr-FR"/>
        </w:rPr>
        <w:t>harmonisation des Règlements concernant les véhicules (WP.29) et au Comité d</w:t>
      </w:r>
      <w:r>
        <w:rPr>
          <w:lang w:val="fr-FR"/>
        </w:rPr>
        <w:t>’</w:t>
      </w:r>
      <w:r w:rsidRPr="00C70EFF">
        <w:rPr>
          <w:lang w:val="fr-FR"/>
        </w:rPr>
        <w:t>administration de l</w:t>
      </w:r>
      <w:r>
        <w:rPr>
          <w:lang w:val="fr-FR"/>
        </w:rPr>
        <w:t>’</w:t>
      </w:r>
      <w:r w:rsidRPr="00C70EFF">
        <w:rPr>
          <w:lang w:val="fr-FR"/>
        </w:rPr>
        <w:t>Accord de 1958 (AC.1) pour examen à leurs sessions de mars 2017.</w:t>
      </w:r>
    </w:p>
    <w:p w:rsidR="001D4CDE" w:rsidRPr="00C70EFF" w:rsidRDefault="00A1343F" w:rsidP="00A1343F">
      <w:pPr>
        <w:pStyle w:val="HChG"/>
        <w:rPr>
          <w:lang w:val="fr-FR"/>
        </w:rPr>
      </w:pPr>
      <w:r>
        <w:rPr>
          <w:lang w:val="fr-FR"/>
        </w:rPr>
        <w:lastRenderedPageBreak/>
        <w:tab/>
      </w:r>
      <w:r>
        <w:rPr>
          <w:lang w:val="fr-FR"/>
        </w:rPr>
        <w:tab/>
      </w:r>
      <w:r w:rsidR="001D4CDE" w:rsidRPr="00C70EFF">
        <w:rPr>
          <w:lang w:val="fr-FR"/>
        </w:rPr>
        <w:t>Complément 8 à la série 01 d</w:t>
      </w:r>
      <w:r w:rsidR="001D4CDE">
        <w:rPr>
          <w:lang w:val="fr-FR"/>
        </w:rPr>
        <w:t>’</w:t>
      </w:r>
      <w:r w:rsidR="001D4CDE" w:rsidRPr="00C70EFF">
        <w:rPr>
          <w:lang w:val="fr-FR"/>
        </w:rPr>
        <w:t xml:space="preserve">amendements </w:t>
      </w:r>
      <w:r w:rsidR="00687CEA">
        <w:rPr>
          <w:lang w:val="fr-FR"/>
        </w:rPr>
        <w:br/>
      </w:r>
      <w:r w:rsidR="001D4CDE" w:rsidRPr="00C70EFF">
        <w:rPr>
          <w:lang w:val="fr-FR"/>
        </w:rPr>
        <w:t xml:space="preserve">au Règlement </w:t>
      </w:r>
      <w:r w:rsidRPr="00A1343F">
        <w:rPr>
          <w:rFonts w:eastAsia="MS Mincho"/>
          <w:lang w:val="fr-FR"/>
        </w:rPr>
        <w:t>n</w:t>
      </w:r>
      <w:r w:rsidRPr="00A1343F">
        <w:rPr>
          <w:rFonts w:eastAsia="MS Mincho"/>
          <w:vertAlign w:val="superscript"/>
          <w:lang w:val="fr-FR"/>
        </w:rPr>
        <w:t>o</w:t>
      </w:r>
      <w:r>
        <w:rPr>
          <w:lang w:val="fr-FR"/>
        </w:rPr>
        <w:t> </w:t>
      </w:r>
      <w:r w:rsidR="001D4CDE" w:rsidRPr="00C70EFF">
        <w:rPr>
          <w:lang w:val="fr-FR"/>
        </w:rPr>
        <w:t>98 (</w:t>
      </w:r>
      <w:r w:rsidR="001D4CDE" w:rsidRPr="003E4875">
        <w:rPr>
          <w:lang w:val="fr-FR"/>
        </w:rPr>
        <w:t xml:space="preserve">Projecteurs de véhicules </w:t>
      </w:r>
      <w:r w:rsidR="00687CEA">
        <w:rPr>
          <w:lang w:val="fr-FR"/>
        </w:rPr>
        <w:br/>
      </w:r>
      <w:r w:rsidR="001D4CDE" w:rsidRPr="003E4875">
        <w:rPr>
          <w:lang w:val="fr-FR"/>
        </w:rPr>
        <w:t>munis de sources lumineuses à décharge</w:t>
      </w:r>
      <w:r w:rsidR="001D4CDE" w:rsidRPr="00C70EFF">
        <w:rPr>
          <w:lang w:val="fr-FR"/>
        </w:rPr>
        <w:t>)</w:t>
      </w:r>
    </w:p>
    <w:p w:rsidR="001D4CDE" w:rsidRPr="00C70EFF" w:rsidRDefault="001D4CDE" w:rsidP="00A1343F">
      <w:pPr>
        <w:pStyle w:val="SingleTxtG"/>
        <w:rPr>
          <w:lang w:val="fr-FR"/>
        </w:rPr>
      </w:pPr>
      <w:r w:rsidRPr="00A1343F">
        <w:rPr>
          <w:i/>
          <w:lang w:val="fr-FR"/>
        </w:rPr>
        <w:t>Paragraphe 1.5.1</w:t>
      </w:r>
      <w:r>
        <w:rPr>
          <w:lang w:val="fr-FR"/>
        </w:rPr>
        <w:t>,</w:t>
      </w:r>
      <w:r w:rsidRPr="00C70EFF">
        <w:rPr>
          <w:lang w:val="fr-FR"/>
        </w:rPr>
        <w:t xml:space="preserve"> </w:t>
      </w:r>
      <w:r>
        <w:rPr>
          <w:lang w:val="fr-FR"/>
        </w:rPr>
        <w:t>lire</w:t>
      </w:r>
      <w:r w:rsidR="00A1343F">
        <w:rPr>
          <w:lang w:val="fr-FR"/>
        </w:rPr>
        <w:t> :</w:t>
      </w:r>
    </w:p>
    <w:p w:rsidR="001D4CDE" w:rsidRPr="00C70EFF" w:rsidRDefault="00F74154" w:rsidP="00A1343F">
      <w:pPr>
        <w:pStyle w:val="SingleTxtG"/>
        <w:keepNext/>
        <w:ind w:left="2268" w:hanging="1134"/>
        <w:rPr>
          <w:lang w:val="fr-FR"/>
        </w:rPr>
      </w:pPr>
      <w:r>
        <w:rPr>
          <w:lang w:val="fr-FR"/>
        </w:rPr>
        <w:t>« </w:t>
      </w:r>
      <w:r w:rsidR="001D4CDE" w:rsidRPr="00C70EFF">
        <w:rPr>
          <w:lang w:val="fr-FR"/>
        </w:rPr>
        <w:t xml:space="preserve">1.5.1 </w:t>
      </w:r>
      <w:r w:rsidR="001D4CDE" w:rsidRPr="00C70EFF">
        <w:rPr>
          <w:lang w:val="fr-FR"/>
        </w:rPr>
        <w:tab/>
        <w:t>La marque de fabrique ou de commerce</w:t>
      </w:r>
      <w:r w:rsidR="00A1343F">
        <w:rPr>
          <w:lang w:val="fr-FR"/>
        </w:rPr>
        <w:t> :</w:t>
      </w:r>
    </w:p>
    <w:p w:rsidR="001D4CDE" w:rsidRPr="00C70EFF" w:rsidRDefault="00A1343F" w:rsidP="00A1343F">
      <w:pPr>
        <w:pStyle w:val="SingleTxtG"/>
        <w:ind w:left="2835" w:hanging="567"/>
        <w:rPr>
          <w:lang w:val="fr-FR"/>
        </w:rPr>
      </w:pPr>
      <w:r>
        <w:rPr>
          <w:lang w:val="fr-FR"/>
        </w:rPr>
        <w:t>a)</w:t>
      </w:r>
      <w:r>
        <w:rPr>
          <w:lang w:val="fr-FR"/>
        </w:rPr>
        <w:tab/>
      </w:r>
      <w:r w:rsidR="001D4CDE" w:rsidRPr="00C70EFF">
        <w:rPr>
          <w:lang w:val="fr-FR"/>
        </w:rPr>
        <w:t>Des dispositifs de la même marque de fabrique ou de commerce mais produits par des fabricants différents doivent être considérés comme étant de types différents</w:t>
      </w:r>
      <w:r>
        <w:rPr>
          <w:lang w:val="fr-FR"/>
        </w:rPr>
        <w:t> ;</w:t>
      </w:r>
    </w:p>
    <w:p w:rsidR="001D4CDE" w:rsidRPr="00C70EFF" w:rsidRDefault="00A1343F" w:rsidP="00A1343F">
      <w:pPr>
        <w:pStyle w:val="SingleTxtG"/>
        <w:ind w:left="2835" w:hanging="567"/>
        <w:rPr>
          <w:lang w:val="fr-FR"/>
        </w:rPr>
      </w:pPr>
      <w:r>
        <w:rPr>
          <w:lang w:val="fr-FR"/>
        </w:rPr>
        <w:t>b)</w:t>
      </w:r>
      <w:r>
        <w:rPr>
          <w:lang w:val="fr-FR"/>
        </w:rPr>
        <w:tab/>
      </w:r>
      <w:r w:rsidR="001D4CDE" w:rsidRPr="00C70EFF">
        <w:rPr>
          <w:lang w:val="fr-FR"/>
        </w:rPr>
        <w:t>Des dispositifs produits par le même fabricant et ne différant entre eux que par la marque de fabrique ou de commerce doivent être considérés comme étant du même type.</w:t>
      </w:r>
      <w:r w:rsidR="00F74154">
        <w:rPr>
          <w:lang w:val="fr-FR"/>
        </w:rPr>
        <w:t> »</w:t>
      </w:r>
      <w:r w:rsidR="001D4CDE" w:rsidRPr="00C70EFF">
        <w:rPr>
          <w:lang w:val="fr-FR"/>
        </w:rPr>
        <w:t>.</w:t>
      </w:r>
    </w:p>
    <w:p w:rsidR="001D4CDE" w:rsidRPr="00C70EFF" w:rsidRDefault="001D4CDE" w:rsidP="00A1343F">
      <w:pPr>
        <w:pStyle w:val="SingleTxtG"/>
        <w:keepNext/>
        <w:ind w:left="2268" w:hanging="1134"/>
        <w:rPr>
          <w:lang w:val="fr-FR"/>
        </w:rPr>
      </w:pPr>
      <w:r w:rsidRPr="00C70EFF">
        <w:rPr>
          <w:i/>
          <w:lang w:val="fr-FR"/>
        </w:rPr>
        <w:t>Ajouter un nouveau paragraphe 2.4</w:t>
      </w:r>
      <w:r w:rsidRPr="00687CEA">
        <w:rPr>
          <w:lang w:val="fr-FR"/>
        </w:rPr>
        <w:t>,</w:t>
      </w:r>
      <w:r w:rsidRPr="00C70EFF">
        <w:rPr>
          <w:i/>
          <w:lang w:val="fr-FR"/>
        </w:rPr>
        <w:t xml:space="preserve"> libellé comme suit</w:t>
      </w:r>
      <w:r w:rsidR="00A1343F">
        <w:rPr>
          <w:i/>
          <w:lang w:val="fr-FR"/>
        </w:rPr>
        <w:t> :</w:t>
      </w:r>
    </w:p>
    <w:p w:rsidR="001D4CDE" w:rsidRPr="00C70EFF" w:rsidRDefault="00F74154" w:rsidP="00F74154">
      <w:pPr>
        <w:pStyle w:val="SingleTxtG"/>
        <w:ind w:left="2268" w:hanging="1134"/>
        <w:rPr>
          <w:lang w:val="fr-FR"/>
        </w:rPr>
      </w:pPr>
      <w:r>
        <w:rPr>
          <w:lang w:val="fr-FR"/>
        </w:rPr>
        <w:t>« </w:t>
      </w:r>
      <w:r w:rsidR="001D4CDE" w:rsidRPr="00C70EFF">
        <w:rPr>
          <w:lang w:val="fr-FR"/>
        </w:rPr>
        <w:t>2.4</w:t>
      </w:r>
      <w:r w:rsidR="001D4CDE" w:rsidRPr="00C70EFF">
        <w:rPr>
          <w:lang w:val="fr-FR"/>
        </w:rPr>
        <w:tab/>
        <w:t>Lorsqu</w:t>
      </w:r>
      <w:r w:rsidR="001D4CDE">
        <w:rPr>
          <w:lang w:val="fr-FR"/>
        </w:rPr>
        <w:t>’</w:t>
      </w:r>
      <w:r w:rsidR="001D4CDE" w:rsidRPr="00C70EFF">
        <w:rPr>
          <w:lang w:val="fr-FR"/>
        </w:rPr>
        <w:t>il s</w:t>
      </w:r>
      <w:r w:rsidR="001D4CDE">
        <w:rPr>
          <w:lang w:val="fr-FR"/>
        </w:rPr>
        <w:t>’</w:t>
      </w:r>
      <w:r w:rsidR="001D4CDE" w:rsidRPr="00C70EFF">
        <w:rPr>
          <w:lang w:val="fr-FR"/>
        </w:rPr>
        <w:t>agit d</w:t>
      </w:r>
      <w:r w:rsidR="001D4CDE">
        <w:rPr>
          <w:lang w:val="fr-FR"/>
        </w:rPr>
        <w:t>’</w:t>
      </w:r>
      <w:r w:rsidR="001D4CDE" w:rsidRPr="00C70EFF">
        <w:rPr>
          <w:lang w:val="fr-FR"/>
        </w:rPr>
        <w:t>un type de dispositif ne différant que par la marque de fabrique ou de commerce d</w:t>
      </w:r>
      <w:r w:rsidR="001D4CDE">
        <w:rPr>
          <w:lang w:val="fr-FR"/>
        </w:rPr>
        <w:t>’</w:t>
      </w:r>
      <w:r w:rsidR="001D4CDE" w:rsidRPr="00C70EFF">
        <w:rPr>
          <w:lang w:val="fr-FR"/>
        </w:rPr>
        <w:t>un type ayant été antérieurement homologué, il suffit de présenter</w:t>
      </w:r>
      <w:r w:rsidR="00A1343F">
        <w:rPr>
          <w:lang w:val="fr-FR"/>
        </w:rPr>
        <w:t> :</w:t>
      </w:r>
    </w:p>
    <w:p w:rsidR="001D4CDE" w:rsidRPr="00C70EFF" w:rsidRDefault="001D4CDE" w:rsidP="00F74154">
      <w:pPr>
        <w:pStyle w:val="SingleTxtG"/>
        <w:ind w:left="2268" w:hanging="1134"/>
        <w:rPr>
          <w:lang w:val="fr-FR"/>
        </w:rPr>
      </w:pPr>
      <w:r w:rsidRPr="00C70EFF">
        <w:rPr>
          <w:lang w:val="fr-FR"/>
        </w:rPr>
        <w:t>2.4.1</w:t>
      </w:r>
      <w:r w:rsidRPr="00C70EFF">
        <w:rPr>
          <w:lang w:val="fr-FR"/>
        </w:rPr>
        <w:tab/>
        <w:t>Une déclaration du fabricant du dispositif précisant que le type soumis est identique (sauf quant à la marque de fabrique ou de commerce) et provient du même fabricant que le type déjà homologué, identifié par son code d</w:t>
      </w:r>
      <w:r>
        <w:rPr>
          <w:lang w:val="fr-FR"/>
        </w:rPr>
        <w:t>’</w:t>
      </w:r>
      <w:r w:rsidRPr="00C70EFF">
        <w:rPr>
          <w:lang w:val="fr-FR"/>
        </w:rPr>
        <w:t>homologation</w:t>
      </w:r>
      <w:r w:rsidR="00A1343F">
        <w:rPr>
          <w:lang w:val="fr-FR"/>
        </w:rPr>
        <w:t> ;</w:t>
      </w:r>
    </w:p>
    <w:p w:rsidR="001D4CDE" w:rsidRPr="00C70EFF" w:rsidRDefault="001D4CDE" w:rsidP="00F74154">
      <w:pPr>
        <w:pStyle w:val="SingleTxtG"/>
        <w:ind w:left="2268" w:hanging="1134"/>
        <w:rPr>
          <w:lang w:val="fr-FR"/>
        </w:rPr>
      </w:pPr>
      <w:r w:rsidRPr="00C70EFF">
        <w:rPr>
          <w:lang w:val="fr-FR"/>
        </w:rPr>
        <w:t>2.4.2</w:t>
      </w:r>
      <w:r w:rsidRPr="00C70EFF">
        <w:rPr>
          <w:lang w:val="fr-FR"/>
        </w:rPr>
        <w:tab/>
        <w:t>Deux échantillons portant la nouvelle marque de fabrique ou de commerce, ou un document équivalent.</w:t>
      </w:r>
      <w:r w:rsidR="00F74154">
        <w:rPr>
          <w:lang w:val="fr-FR"/>
        </w:rPr>
        <w:t> »</w:t>
      </w:r>
      <w:r w:rsidRPr="00C70EFF">
        <w:rPr>
          <w:lang w:val="fr-FR"/>
        </w:rPr>
        <w:t>.</w:t>
      </w:r>
    </w:p>
    <w:p w:rsidR="001D4CDE" w:rsidRPr="00C70EFF" w:rsidRDefault="001D4CDE" w:rsidP="00A1343F">
      <w:pPr>
        <w:pStyle w:val="SingleTxtG"/>
        <w:keepNext/>
        <w:ind w:left="2268" w:hanging="1134"/>
        <w:rPr>
          <w:lang w:val="fr-FR"/>
        </w:rPr>
      </w:pPr>
      <w:r w:rsidRPr="00C70EFF">
        <w:rPr>
          <w:i/>
          <w:iCs/>
          <w:lang w:val="fr-FR"/>
        </w:rPr>
        <w:t>Paragraphe 5</w:t>
      </w:r>
      <w:r w:rsidRPr="00687CEA">
        <w:rPr>
          <w:iCs/>
          <w:lang w:val="fr-FR"/>
        </w:rPr>
        <w:t>,</w:t>
      </w:r>
      <w:r w:rsidRPr="00C70EFF">
        <w:rPr>
          <w:lang w:val="fr-FR"/>
        </w:rPr>
        <w:t xml:space="preserve"> </w:t>
      </w:r>
      <w:r>
        <w:rPr>
          <w:lang w:val="fr-FR"/>
        </w:rPr>
        <w:t>lire</w:t>
      </w:r>
      <w:r w:rsidR="00A1343F">
        <w:rPr>
          <w:lang w:val="fr-FR"/>
        </w:rPr>
        <w:t> :</w:t>
      </w:r>
      <w:r w:rsidRPr="00C70EFF">
        <w:rPr>
          <w:lang w:val="fr-FR"/>
        </w:rPr>
        <w:tab/>
      </w:r>
    </w:p>
    <w:p w:rsidR="001D4CDE" w:rsidRPr="00C70EFF" w:rsidRDefault="00F74154" w:rsidP="007B1A9F">
      <w:pPr>
        <w:pStyle w:val="HChG"/>
        <w:ind w:left="2268"/>
        <w:rPr>
          <w:lang w:val="fr-FR"/>
        </w:rPr>
      </w:pPr>
      <w:r w:rsidRPr="007B1A9F">
        <w:rPr>
          <w:b w:val="0"/>
          <w:sz w:val="20"/>
          <w:lang w:val="fr-FR"/>
        </w:rPr>
        <w:t>« </w:t>
      </w:r>
      <w:r w:rsidR="001D4CDE" w:rsidRPr="00C70EFF">
        <w:rPr>
          <w:lang w:val="fr-FR"/>
        </w:rPr>
        <w:t>5.</w:t>
      </w:r>
      <w:r w:rsidR="001D4CDE" w:rsidRPr="00C70EFF">
        <w:rPr>
          <w:lang w:val="fr-FR"/>
        </w:rPr>
        <w:tab/>
        <w:t>Prescriptions générales</w:t>
      </w:r>
    </w:p>
    <w:p w:rsidR="001D4CDE" w:rsidRPr="00C70EFF" w:rsidRDefault="007B1A9F" w:rsidP="007B1A9F">
      <w:pPr>
        <w:pStyle w:val="SingleTxtG"/>
        <w:ind w:left="2268"/>
        <w:rPr>
          <w:lang w:val="fr-FR"/>
        </w:rPr>
      </w:pPr>
      <w:r>
        <w:rPr>
          <w:lang w:val="fr-FR"/>
        </w:rPr>
        <w:tab/>
      </w:r>
      <w:r w:rsidR="001D4CDE" w:rsidRPr="00C70EFF">
        <w:rPr>
          <w:lang w:val="fr-FR"/>
        </w:rPr>
        <w:t xml:space="preserve">Les prescriptions contenues dans les sections 5 “Prescriptions générales” et 6 “Prescriptions particulières” ainsi que dans les annexes citées dans lesdites sections des Règlements </w:t>
      </w:r>
      <w:r w:rsidR="0047664D" w:rsidRPr="0047664D">
        <w:rPr>
          <w:rFonts w:eastAsia="MS Mincho"/>
          <w:lang w:val="fr-FR"/>
        </w:rPr>
        <w:t>n</w:t>
      </w:r>
      <w:r w:rsidR="0047664D" w:rsidRPr="0047664D">
        <w:rPr>
          <w:rFonts w:eastAsia="MS Mincho"/>
          <w:vertAlign w:val="superscript"/>
          <w:lang w:val="fr-FR"/>
        </w:rPr>
        <w:t>o</w:t>
      </w:r>
      <w:r w:rsidR="0047664D">
        <w:rPr>
          <w:rFonts w:eastAsia="MS Mincho"/>
          <w:vertAlign w:val="superscript"/>
          <w:lang w:val="fr-FR"/>
        </w:rPr>
        <w:t>s</w:t>
      </w:r>
      <w:r w:rsidR="0047664D">
        <w:rPr>
          <w:lang w:val="fr-FR"/>
        </w:rPr>
        <w:t> </w:t>
      </w:r>
      <w:r w:rsidR="001D4CDE" w:rsidRPr="00C70EFF">
        <w:rPr>
          <w:lang w:val="fr-FR"/>
        </w:rPr>
        <w:t>48, 53 et 86 et de leurs séries d</w:t>
      </w:r>
      <w:r w:rsidR="001D4CDE">
        <w:rPr>
          <w:lang w:val="fr-FR"/>
        </w:rPr>
        <w:t>’</w:t>
      </w:r>
      <w:r w:rsidR="001D4CDE" w:rsidRPr="00C70EFF">
        <w:rPr>
          <w:lang w:val="fr-FR"/>
        </w:rPr>
        <w:t>amendements en vigueur à la date de la demande d</w:t>
      </w:r>
      <w:r w:rsidR="001D4CDE">
        <w:rPr>
          <w:lang w:val="fr-FR"/>
        </w:rPr>
        <w:t>’</w:t>
      </w:r>
      <w:r w:rsidR="001D4CDE" w:rsidRPr="00C70EFF">
        <w:rPr>
          <w:lang w:val="fr-FR"/>
        </w:rPr>
        <w:t>homologation du type de feu s</w:t>
      </w:r>
      <w:r w:rsidR="001D4CDE">
        <w:rPr>
          <w:lang w:val="fr-FR"/>
        </w:rPr>
        <w:t>’</w:t>
      </w:r>
      <w:r w:rsidR="001D4CDE" w:rsidRPr="00C70EFF">
        <w:rPr>
          <w:lang w:val="fr-FR"/>
        </w:rPr>
        <w:t>appliquent au présent Règlement.</w:t>
      </w:r>
    </w:p>
    <w:p w:rsidR="001D4CDE" w:rsidRPr="00C70EFF" w:rsidRDefault="00E747AE" w:rsidP="007B1A9F">
      <w:pPr>
        <w:pStyle w:val="SingleTxtG"/>
        <w:ind w:left="2268"/>
        <w:rPr>
          <w:lang w:val="fr-FR"/>
        </w:rPr>
      </w:pPr>
      <w:r>
        <w:rPr>
          <w:lang w:val="fr-FR"/>
        </w:rPr>
        <w:tab/>
      </w:r>
      <w:r w:rsidR="001D4CDE" w:rsidRPr="00C70EFF">
        <w:rPr>
          <w:lang w:val="fr-FR"/>
        </w:rPr>
        <w:t>Les prescriptions pertinentes pour chaque feu et la</w:t>
      </w:r>
      <w:r w:rsidR="00687CEA">
        <w:rPr>
          <w:lang w:val="fr-FR"/>
        </w:rPr>
        <w:t xml:space="preserve"> (les) catégorie(s) de véhicules </w:t>
      </w:r>
      <w:r w:rsidR="001D4CDE" w:rsidRPr="00C70EFF">
        <w:rPr>
          <w:lang w:val="fr-FR"/>
        </w:rPr>
        <w:t>sur laquelle/lesquelles il est prévu d</w:t>
      </w:r>
      <w:r w:rsidR="001D4CDE">
        <w:rPr>
          <w:lang w:val="fr-FR"/>
        </w:rPr>
        <w:t>’</w:t>
      </w:r>
      <w:r w:rsidR="001D4CDE" w:rsidRPr="00C70EFF">
        <w:rPr>
          <w:lang w:val="fr-FR"/>
        </w:rPr>
        <w:t>installer le feu sont applicables, pour autant que leur vérification soit possible lors de l</w:t>
      </w:r>
      <w:r w:rsidR="001D4CDE">
        <w:rPr>
          <w:lang w:val="fr-FR"/>
        </w:rPr>
        <w:t>’</w:t>
      </w:r>
      <w:r w:rsidR="001D4CDE" w:rsidRPr="00C70EFF">
        <w:rPr>
          <w:lang w:val="fr-FR"/>
        </w:rPr>
        <w:t>homologation du type de feu.</w:t>
      </w:r>
    </w:p>
    <w:p w:rsidR="001D4CDE" w:rsidRDefault="001D4CDE" w:rsidP="001D4CDE">
      <w:pPr>
        <w:kinsoku/>
        <w:overflowPunct/>
        <w:autoSpaceDE/>
        <w:autoSpaceDN/>
        <w:adjustRightInd/>
        <w:snapToGrid/>
        <w:spacing w:after="240" w:line="240" w:lineRule="auto"/>
        <w:ind w:left="567" w:right="1134" w:firstLine="567"/>
        <w:jc w:val="both"/>
        <w:rPr>
          <w:i/>
          <w:lang w:val="fr-FR"/>
        </w:rPr>
      </w:pPr>
      <w:r w:rsidRPr="00C70EFF">
        <w:rPr>
          <w:lang w:val="fr-FR"/>
        </w:rPr>
        <w:t>5.1</w:t>
      </w:r>
      <w:r w:rsidRPr="00C70EFF">
        <w:rPr>
          <w:lang w:val="fr-FR"/>
        </w:rPr>
        <w:tab/>
      </w:r>
      <w:r w:rsidRPr="00C70EFF">
        <w:rPr>
          <w:lang w:val="fr-FR"/>
        </w:rPr>
        <w:tab/>
        <w:t>…</w:t>
      </w:r>
      <w:r w:rsidR="00F74154">
        <w:rPr>
          <w:lang w:val="fr-FR"/>
        </w:rPr>
        <w:t> »</w:t>
      </w:r>
      <w:r w:rsidRPr="00C70EFF">
        <w:rPr>
          <w:lang w:val="fr-FR"/>
        </w:rPr>
        <w:t>.</w:t>
      </w:r>
    </w:p>
    <w:p w:rsidR="001D4CDE" w:rsidRPr="00C70EFF" w:rsidRDefault="001D4CDE" w:rsidP="00A1343F">
      <w:pPr>
        <w:pStyle w:val="SingleTxtG"/>
        <w:keepNext/>
        <w:ind w:left="2268" w:hanging="1134"/>
        <w:rPr>
          <w:lang w:val="fr-FR"/>
        </w:rPr>
      </w:pPr>
      <w:r w:rsidRPr="00C70EFF">
        <w:rPr>
          <w:i/>
          <w:lang w:val="fr-FR"/>
        </w:rPr>
        <w:t>Paragraphe 6.4.2</w:t>
      </w:r>
      <w:r w:rsidRPr="00687CEA">
        <w:rPr>
          <w:lang w:val="fr-FR"/>
        </w:rPr>
        <w:t>,</w:t>
      </w:r>
      <w:r w:rsidRPr="00C70EFF">
        <w:rPr>
          <w:lang w:val="fr-FR"/>
        </w:rPr>
        <w:t xml:space="preserve"> </w:t>
      </w:r>
      <w:r>
        <w:rPr>
          <w:lang w:val="fr-FR"/>
        </w:rPr>
        <w:t>lire</w:t>
      </w:r>
      <w:r w:rsidR="00A1343F">
        <w:rPr>
          <w:lang w:val="fr-FR"/>
        </w:rPr>
        <w:t> :</w:t>
      </w:r>
    </w:p>
    <w:p w:rsidR="001D4CDE" w:rsidRPr="00C70EFF" w:rsidRDefault="00F74154" w:rsidP="00F74154">
      <w:pPr>
        <w:pStyle w:val="SingleTxtG"/>
        <w:ind w:left="2268" w:hanging="1134"/>
        <w:rPr>
          <w:lang w:val="fr-FR"/>
        </w:rPr>
      </w:pPr>
      <w:r>
        <w:rPr>
          <w:lang w:val="fr-FR"/>
        </w:rPr>
        <w:t>« </w:t>
      </w:r>
      <w:r w:rsidR="001D4CDE" w:rsidRPr="00C70EFF">
        <w:rPr>
          <w:lang w:val="fr-FR"/>
        </w:rPr>
        <w:t>6.4.2</w:t>
      </w:r>
      <w:r w:rsidR="001D4CDE" w:rsidRPr="00C70EFF">
        <w:rPr>
          <w:lang w:val="fr-FR"/>
        </w:rPr>
        <w:tab/>
      </w:r>
      <w:r w:rsidR="001D4CDE" w:rsidRPr="00C70EFF">
        <w:rPr>
          <w:lang w:val="fr-FR"/>
        </w:rPr>
        <w:tab/>
        <w:t>On procède à des essais supplémentaires après avoir fait basculer le</w:t>
      </w:r>
      <w:r w:rsidR="00687CEA">
        <w:rPr>
          <w:lang w:val="fr-FR"/>
        </w:rPr>
        <w:t> </w:t>
      </w:r>
      <w:r w:rsidR="001D4CDE" w:rsidRPr="00C70EFF">
        <w:rPr>
          <w:lang w:val="fr-FR"/>
        </w:rPr>
        <w:t>réflecteur, vers le haut dans le plan vertical, de l</w:t>
      </w:r>
      <w:r w:rsidR="001D4CDE">
        <w:rPr>
          <w:lang w:val="fr-FR"/>
        </w:rPr>
        <w:t>’</w:t>
      </w:r>
      <w:r w:rsidR="001D4CDE" w:rsidRPr="00C70EFF">
        <w:rPr>
          <w:lang w:val="fr-FR"/>
        </w:rPr>
        <w:t xml:space="preserve">angle indiqué au paragraphe 2.1.4 ou de </w:t>
      </w:r>
      <w:r w:rsidR="00017036">
        <w:rPr>
          <w:lang w:val="fr-FR"/>
        </w:rPr>
        <w:t>2 </w:t>
      </w:r>
      <w:r w:rsidR="001D4CDE" w:rsidRPr="00C70EFF">
        <w:rPr>
          <w:lang w:val="fr-FR"/>
        </w:rPr>
        <w:t xml:space="preserve"> degrés, la plus petite de ces valeurs étant retenue, au moyen des dispositifs de réglage de l</w:t>
      </w:r>
      <w:r w:rsidR="001D4CDE">
        <w:rPr>
          <w:lang w:val="fr-FR"/>
        </w:rPr>
        <w:t>’</w:t>
      </w:r>
      <w:r w:rsidR="001D4CDE" w:rsidRPr="00C70EFF">
        <w:rPr>
          <w:lang w:val="fr-FR"/>
        </w:rPr>
        <w:t>orientation du projecteur. Le projecteur est ensuite réorienté vers le bas (au moyen du goniomètre) et les spécifications photométriques doivent être satisfaites aux points suivants</w:t>
      </w:r>
      <w:r w:rsidR="00A1343F">
        <w:rPr>
          <w:lang w:val="fr-FR"/>
        </w:rPr>
        <w:t> :</w:t>
      </w:r>
    </w:p>
    <w:p w:rsidR="001D4CDE" w:rsidRPr="00C70EFF" w:rsidRDefault="001D4CDE" w:rsidP="00F03EB4">
      <w:pPr>
        <w:pStyle w:val="SingleTxtG"/>
        <w:tabs>
          <w:tab w:val="left" w:pos="5245"/>
        </w:tabs>
        <w:ind w:left="5245" w:hanging="2977"/>
        <w:jc w:val="left"/>
        <w:rPr>
          <w:lang w:val="fr-FR"/>
        </w:rPr>
      </w:pPr>
      <w:r w:rsidRPr="00C70EFF">
        <w:rPr>
          <w:lang w:val="fr-FR"/>
        </w:rPr>
        <w:t>Faisceau de croisement principal</w:t>
      </w:r>
      <w:r w:rsidR="00A1343F">
        <w:rPr>
          <w:lang w:val="fr-FR"/>
        </w:rPr>
        <w:t> :</w:t>
      </w:r>
      <w:r w:rsidR="00F03EB4">
        <w:rPr>
          <w:lang w:val="fr-FR"/>
        </w:rPr>
        <w:t xml:space="preserve"> </w:t>
      </w:r>
      <w:r w:rsidR="00F03EB4">
        <w:rPr>
          <w:lang w:val="fr-FR"/>
        </w:rPr>
        <w:tab/>
        <w:t>B</w:t>
      </w:r>
      <w:r w:rsidR="00687CEA">
        <w:rPr>
          <w:lang w:val="fr-FR"/>
        </w:rPr>
        <w:t> </w:t>
      </w:r>
      <w:r w:rsidR="00F03EB4">
        <w:rPr>
          <w:lang w:val="fr-FR"/>
        </w:rPr>
        <w:t>50</w:t>
      </w:r>
      <w:r w:rsidR="00687CEA">
        <w:rPr>
          <w:lang w:val="fr-FR"/>
        </w:rPr>
        <w:t> </w:t>
      </w:r>
      <w:r w:rsidR="00F03EB4">
        <w:rPr>
          <w:lang w:val="fr-FR"/>
        </w:rPr>
        <w:t>L et 75 R (B 50 R et 75 </w:t>
      </w:r>
      <w:r w:rsidRPr="00C70EFF">
        <w:rPr>
          <w:lang w:val="fr-FR"/>
        </w:rPr>
        <w:t xml:space="preserve">L </w:t>
      </w:r>
      <w:r w:rsidR="00F03EB4">
        <w:rPr>
          <w:lang w:val="fr-FR"/>
        </w:rPr>
        <w:br/>
      </w:r>
      <w:r w:rsidRPr="00C70EFF">
        <w:rPr>
          <w:lang w:val="fr-FR"/>
        </w:rPr>
        <w:t>respectivement)</w:t>
      </w:r>
      <w:r w:rsidR="00A1343F">
        <w:rPr>
          <w:lang w:val="fr-FR"/>
        </w:rPr>
        <w:t> ;</w:t>
      </w:r>
    </w:p>
    <w:p w:rsidR="001D4CDE" w:rsidRPr="00C70EFF" w:rsidRDefault="001D4CDE" w:rsidP="00F03EB4">
      <w:pPr>
        <w:pStyle w:val="SingleTxtG"/>
        <w:tabs>
          <w:tab w:val="left" w:pos="5245"/>
        </w:tabs>
        <w:ind w:left="5245" w:hanging="2977"/>
        <w:jc w:val="left"/>
        <w:rPr>
          <w:lang w:val="fr-FR"/>
        </w:rPr>
      </w:pPr>
      <w:r w:rsidRPr="00C70EFF">
        <w:rPr>
          <w:lang w:val="fr-FR"/>
        </w:rPr>
        <w:lastRenderedPageBreak/>
        <w:t>Faisceau de route</w:t>
      </w:r>
      <w:r w:rsidR="00A1343F">
        <w:rPr>
          <w:lang w:val="fr-FR"/>
        </w:rPr>
        <w:t> :</w:t>
      </w:r>
      <w:r w:rsidR="00F03EB4">
        <w:rPr>
          <w:lang w:val="fr-FR"/>
        </w:rPr>
        <w:tab/>
      </w:r>
      <w:r w:rsidRPr="00C70EFF">
        <w:rPr>
          <w:lang w:val="fr-FR"/>
        </w:rPr>
        <w:t>I</w:t>
      </w:r>
      <w:r w:rsidRPr="001B5BAB">
        <w:rPr>
          <w:vertAlign w:val="subscript"/>
          <w:lang w:val="fr-FR"/>
        </w:rPr>
        <w:t>M</w:t>
      </w:r>
      <w:r w:rsidRPr="00C70EFF">
        <w:rPr>
          <w:lang w:val="fr-FR"/>
        </w:rPr>
        <w:t xml:space="preserve"> et point HV (en pourcentage </w:t>
      </w:r>
      <w:r w:rsidR="00F03EB4">
        <w:rPr>
          <w:lang w:val="fr-FR"/>
        </w:rPr>
        <w:br/>
      </w:r>
      <w:r w:rsidRPr="00C70EFF">
        <w:rPr>
          <w:lang w:val="fr-FR"/>
        </w:rPr>
        <w:t>de I</w:t>
      </w:r>
      <w:r w:rsidRPr="00017036">
        <w:rPr>
          <w:vertAlign w:val="subscript"/>
          <w:lang w:val="fr-FR"/>
        </w:rPr>
        <w:t>M</w:t>
      </w:r>
      <w:r w:rsidRPr="00C70EFF">
        <w:rPr>
          <w:lang w:val="fr-FR"/>
        </w:rPr>
        <w:t>).</w:t>
      </w:r>
      <w:r w:rsidR="00F74154">
        <w:rPr>
          <w:lang w:val="fr-FR"/>
        </w:rPr>
        <w:t> »</w:t>
      </w:r>
      <w:r w:rsidRPr="00C70EFF">
        <w:rPr>
          <w:lang w:val="fr-FR"/>
        </w:rPr>
        <w:t>.</w:t>
      </w:r>
    </w:p>
    <w:p w:rsidR="001D4CDE" w:rsidRPr="00C70EFF" w:rsidRDefault="001D4CDE" w:rsidP="007B1A9F">
      <w:pPr>
        <w:pStyle w:val="SingleTxtG"/>
        <w:ind w:left="2268"/>
        <w:rPr>
          <w:lang w:val="fr-FR"/>
        </w:rPr>
      </w:pPr>
      <w:r w:rsidRPr="00C70EFF">
        <w:rPr>
          <w:lang w:val="fr-FR"/>
        </w:rPr>
        <w:t>Si les dispositifs d</w:t>
      </w:r>
      <w:r>
        <w:rPr>
          <w:lang w:val="fr-FR"/>
        </w:rPr>
        <w:t>’</w:t>
      </w:r>
      <w:r w:rsidRPr="00C70EFF">
        <w:rPr>
          <w:lang w:val="fr-FR"/>
        </w:rPr>
        <w:t>orientation ne permettent pas un mouvement continu, l</w:t>
      </w:r>
      <w:r>
        <w:rPr>
          <w:lang w:val="fr-FR"/>
        </w:rPr>
        <w:t>’</w:t>
      </w:r>
      <w:r w:rsidRPr="00C70EFF">
        <w:rPr>
          <w:lang w:val="fr-FR"/>
        </w:rPr>
        <w:t xml:space="preserve">orientation la plus proche de </w:t>
      </w:r>
      <w:r w:rsidR="00017036">
        <w:rPr>
          <w:lang w:val="fr-FR"/>
        </w:rPr>
        <w:t>2 </w:t>
      </w:r>
      <w:r w:rsidRPr="00C70EFF">
        <w:rPr>
          <w:lang w:val="fr-FR"/>
        </w:rPr>
        <w:t>degrés est retenue.</w:t>
      </w:r>
      <w:r w:rsidR="00F74154">
        <w:rPr>
          <w:lang w:val="fr-FR"/>
        </w:rPr>
        <w:t> »</w:t>
      </w:r>
      <w:r w:rsidRPr="00C70EFF">
        <w:rPr>
          <w:lang w:val="fr-FR"/>
        </w:rPr>
        <w:t>.</w:t>
      </w:r>
    </w:p>
    <w:p w:rsidR="001D4CDE" w:rsidRPr="00C70EFF" w:rsidRDefault="001D4CDE" w:rsidP="00A1343F">
      <w:pPr>
        <w:pStyle w:val="SingleTxtG"/>
        <w:keepNext/>
        <w:ind w:left="2268" w:hanging="1134"/>
        <w:rPr>
          <w:bCs/>
          <w:i/>
          <w:iCs/>
          <w:lang w:val="fr-FR"/>
        </w:rPr>
      </w:pPr>
      <w:r w:rsidRPr="00C70EFF">
        <w:rPr>
          <w:bCs/>
          <w:i/>
          <w:iCs/>
          <w:lang w:val="fr-FR"/>
        </w:rPr>
        <w:t>Paragraphe 9</w:t>
      </w:r>
      <w:r>
        <w:rPr>
          <w:bCs/>
          <w:iCs/>
          <w:lang w:val="fr-FR"/>
        </w:rPr>
        <w:t>,</w:t>
      </w:r>
      <w:r w:rsidRPr="00C70EFF">
        <w:rPr>
          <w:bCs/>
          <w:iCs/>
          <w:lang w:val="fr-FR"/>
        </w:rPr>
        <w:t xml:space="preserve"> </w:t>
      </w:r>
      <w:r>
        <w:rPr>
          <w:bCs/>
          <w:iCs/>
          <w:lang w:val="fr-FR"/>
        </w:rPr>
        <w:t>lire</w:t>
      </w:r>
      <w:r w:rsidR="00A1343F">
        <w:rPr>
          <w:bCs/>
          <w:iCs/>
          <w:lang w:val="fr-FR"/>
        </w:rPr>
        <w:t> :</w:t>
      </w:r>
    </w:p>
    <w:p w:rsidR="001D4CDE" w:rsidRPr="00F03EB4" w:rsidRDefault="00F74154" w:rsidP="00F03EB4">
      <w:pPr>
        <w:pStyle w:val="HChG"/>
        <w:ind w:left="2268"/>
        <w:rPr>
          <w:b w:val="0"/>
          <w:sz w:val="20"/>
          <w:lang w:val="fr-FR"/>
        </w:rPr>
      </w:pPr>
      <w:r w:rsidRPr="00F03EB4">
        <w:rPr>
          <w:b w:val="0"/>
          <w:sz w:val="20"/>
          <w:lang w:val="fr-FR"/>
        </w:rPr>
        <w:t>« </w:t>
      </w:r>
      <w:r w:rsidR="001D4CDE" w:rsidRPr="0047664D">
        <w:rPr>
          <w:szCs w:val="28"/>
          <w:lang w:val="fr-FR"/>
        </w:rPr>
        <w:t>9.</w:t>
      </w:r>
      <w:r w:rsidR="001D4CDE" w:rsidRPr="0047664D">
        <w:rPr>
          <w:szCs w:val="28"/>
          <w:lang w:val="fr-FR"/>
        </w:rPr>
        <w:tab/>
      </w:r>
      <w:r w:rsidR="001D4CDE" w:rsidRPr="0047664D">
        <w:rPr>
          <w:szCs w:val="28"/>
          <w:lang w:val="fr-FR"/>
        </w:rPr>
        <w:tab/>
        <w:t>Conformité de la production</w:t>
      </w:r>
      <w:r w:rsidR="001D4CDE" w:rsidRPr="00F03EB4">
        <w:rPr>
          <w:b w:val="0"/>
          <w:sz w:val="20"/>
          <w:lang w:val="fr-FR"/>
        </w:rPr>
        <w:t xml:space="preserve"> </w:t>
      </w:r>
    </w:p>
    <w:p w:rsidR="001D4CDE" w:rsidRPr="00C70EFF" w:rsidRDefault="001D4CDE" w:rsidP="007B1A9F">
      <w:pPr>
        <w:pStyle w:val="SingleTxtG"/>
        <w:ind w:left="2268"/>
        <w:rPr>
          <w:lang w:val="fr-FR"/>
        </w:rPr>
      </w:pPr>
      <w:r w:rsidRPr="00C70EFF">
        <w:rPr>
          <w:lang w:val="fr-FR"/>
        </w:rPr>
        <w:t>Les modalités de contrôle de la conformité de la production doivent être conformes à celles qui sont définies à l</w:t>
      </w:r>
      <w:r>
        <w:rPr>
          <w:lang w:val="fr-FR"/>
        </w:rPr>
        <w:t>’</w:t>
      </w:r>
      <w:r w:rsidRPr="00C70EFF">
        <w:rPr>
          <w:lang w:val="fr-FR"/>
        </w:rPr>
        <w:t>appendice 2 de l</w:t>
      </w:r>
      <w:r>
        <w:rPr>
          <w:lang w:val="fr-FR"/>
        </w:rPr>
        <w:t>’</w:t>
      </w:r>
      <w:r w:rsidRPr="00C70EFF">
        <w:rPr>
          <w:lang w:val="fr-FR"/>
        </w:rPr>
        <w:t>Accord (E/ECE/324-E/ECE/TRANS/505/Rev.2), les prescriptions étant les suivantes</w:t>
      </w:r>
      <w:r w:rsidR="00A1343F">
        <w:rPr>
          <w:lang w:val="fr-FR"/>
        </w:rPr>
        <w:t> :</w:t>
      </w:r>
    </w:p>
    <w:p w:rsidR="001D4CDE" w:rsidRPr="00C70EFF" w:rsidRDefault="001D4CDE" w:rsidP="00F74154">
      <w:pPr>
        <w:pStyle w:val="SingleTxtG"/>
        <w:ind w:left="2268" w:hanging="1134"/>
        <w:rPr>
          <w:lang w:val="fr-FR"/>
        </w:rPr>
      </w:pPr>
      <w:r w:rsidRPr="00C70EFF">
        <w:rPr>
          <w:lang w:val="fr-FR"/>
        </w:rPr>
        <w:t>9.1</w:t>
      </w:r>
      <w:r w:rsidRPr="00C70EFF">
        <w:rPr>
          <w:lang w:val="fr-FR"/>
        </w:rPr>
        <w:tab/>
      </w:r>
      <w:r w:rsidRPr="00C70EFF">
        <w:rPr>
          <w:lang w:val="fr-FR"/>
        </w:rPr>
        <w:tab/>
        <w:t>Les projecteurs homologués conformément au présent Règlement doivent être fabriqués de telle sorte qu</w:t>
      </w:r>
      <w:r>
        <w:rPr>
          <w:lang w:val="fr-FR"/>
        </w:rPr>
        <w:t>’</w:t>
      </w:r>
      <w:r w:rsidRPr="00C70EFF">
        <w:rPr>
          <w:lang w:val="fr-FR"/>
        </w:rPr>
        <w:t>ils soient conformes au type homologué en satisfaisant aux prescriptions énoncées au paragraphe 6.</w:t>
      </w:r>
    </w:p>
    <w:p w:rsidR="001D4CDE" w:rsidRPr="00C70EFF" w:rsidRDefault="001D4CDE" w:rsidP="00F74154">
      <w:pPr>
        <w:pStyle w:val="SingleTxtG"/>
        <w:ind w:left="2268" w:hanging="1134"/>
        <w:rPr>
          <w:lang w:val="fr-FR"/>
        </w:rPr>
      </w:pPr>
      <w:r w:rsidRPr="00C70EFF">
        <w:rPr>
          <w:lang w:val="fr-FR"/>
        </w:rPr>
        <w:t>9.1.2</w:t>
      </w:r>
      <w:r w:rsidRPr="00C70EFF">
        <w:rPr>
          <w:lang w:val="fr-FR"/>
        </w:rPr>
        <w:tab/>
        <w:t>Afin de vérifier que les conditions du paragraphe 9.1 sont remplies, il faut procéder à des contrôles appropriés de la production.</w:t>
      </w:r>
    </w:p>
    <w:p w:rsidR="001D4CDE" w:rsidRPr="00C70EFF" w:rsidRDefault="001D4CDE" w:rsidP="0047664D">
      <w:pPr>
        <w:pStyle w:val="SingleTxtG"/>
        <w:keepNext/>
        <w:ind w:left="2268" w:hanging="1134"/>
        <w:rPr>
          <w:lang w:val="fr-FR"/>
        </w:rPr>
      </w:pPr>
      <w:r w:rsidRPr="00C70EFF">
        <w:rPr>
          <w:lang w:val="fr-FR"/>
        </w:rPr>
        <w:t>9.1.3</w:t>
      </w:r>
      <w:r w:rsidRPr="00C70EFF">
        <w:rPr>
          <w:lang w:val="fr-FR"/>
        </w:rPr>
        <w:tab/>
      </w:r>
      <w:r w:rsidRPr="00C70EFF">
        <w:rPr>
          <w:lang w:val="fr-FR"/>
        </w:rPr>
        <w:tab/>
        <w:t>Le détenteur de l</w:t>
      </w:r>
      <w:r>
        <w:rPr>
          <w:lang w:val="fr-FR"/>
        </w:rPr>
        <w:t>’</w:t>
      </w:r>
      <w:r w:rsidRPr="00C70EFF">
        <w:rPr>
          <w:lang w:val="fr-FR"/>
        </w:rPr>
        <w:t>homologation doit notamment</w:t>
      </w:r>
      <w:r w:rsidR="00A1343F">
        <w:rPr>
          <w:lang w:val="fr-FR"/>
        </w:rPr>
        <w:t> :</w:t>
      </w:r>
    </w:p>
    <w:p w:rsidR="001D4CDE" w:rsidRPr="00C70EFF" w:rsidRDefault="001D4CDE" w:rsidP="00F74154">
      <w:pPr>
        <w:pStyle w:val="SingleTxtG"/>
        <w:ind w:left="2268" w:hanging="1134"/>
        <w:rPr>
          <w:lang w:val="fr-FR"/>
        </w:rPr>
      </w:pPr>
      <w:r w:rsidRPr="00C70EFF">
        <w:rPr>
          <w:lang w:val="fr-FR"/>
        </w:rPr>
        <w:t>9.1.3.1</w:t>
      </w:r>
      <w:r w:rsidRPr="00C70EFF">
        <w:rPr>
          <w:lang w:val="fr-FR"/>
        </w:rPr>
        <w:tab/>
        <w:t>Veiller à l</w:t>
      </w:r>
      <w:r>
        <w:rPr>
          <w:lang w:val="fr-FR"/>
        </w:rPr>
        <w:t>’</w:t>
      </w:r>
      <w:r w:rsidRPr="00C70EFF">
        <w:rPr>
          <w:lang w:val="fr-FR"/>
        </w:rPr>
        <w:t>existence de procédures de contrôle efficace de la qualité des produits</w:t>
      </w:r>
      <w:r w:rsidR="00A1343F">
        <w:rPr>
          <w:lang w:val="fr-FR"/>
        </w:rPr>
        <w:t> ;</w:t>
      </w:r>
    </w:p>
    <w:p w:rsidR="001D4CDE" w:rsidRPr="00C70EFF" w:rsidRDefault="001D4CDE" w:rsidP="00F74154">
      <w:pPr>
        <w:pStyle w:val="SingleTxtG"/>
        <w:ind w:left="2268" w:hanging="1134"/>
        <w:rPr>
          <w:lang w:val="fr-FR"/>
        </w:rPr>
      </w:pPr>
      <w:r w:rsidRPr="00C70EFF">
        <w:rPr>
          <w:lang w:val="fr-FR"/>
        </w:rPr>
        <w:t>9.1.3.2</w:t>
      </w:r>
      <w:r w:rsidRPr="00C70EFF">
        <w:rPr>
          <w:lang w:val="fr-FR"/>
        </w:rPr>
        <w:tab/>
        <w:t>Avoir accès à l</w:t>
      </w:r>
      <w:r>
        <w:rPr>
          <w:lang w:val="fr-FR"/>
        </w:rPr>
        <w:t>’</w:t>
      </w:r>
      <w:r w:rsidRPr="00C70EFF">
        <w:rPr>
          <w:lang w:val="fr-FR"/>
        </w:rPr>
        <w:t>équipement de contrôle nécessaire pour vérifier la conformité de chaque type homologué</w:t>
      </w:r>
      <w:r w:rsidR="00A1343F">
        <w:rPr>
          <w:lang w:val="fr-FR"/>
        </w:rPr>
        <w:t> ;</w:t>
      </w:r>
    </w:p>
    <w:p w:rsidR="001D4CDE" w:rsidRPr="00C70EFF" w:rsidRDefault="001D4CDE" w:rsidP="00F74154">
      <w:pPr>
        <w:pStyle w:val="SingleTxtG"/>
        <w:ind w:left="2268" w:hanging="1134"/>
        <w:rPr>
          <w:lang w:val="fr-FR"/>
        </w:rPr>
      </w:pPr>
      <w:r w:rsidRPr="00C70EFF">
        <w:rPr>
          <w:lang w:val="fr-FR"/>
        </w:rPr>
        <w:t>9.1.3.3</w:t>
      </w:r>
      <w:r w:rsidRPr="00C70EFF">
        <w:rPr>
          <w:lang w:val="fr-FR"/>
        </w:rPr>
        <w:tab/>
        <w:t>Veiller à ce que les données concernant les résultats d</w:t>
      </w:r>
      <w:r>
        <w:rPr>
          <w:lang w:val="fr-FR"/>
        </w:rPr>
        <w:t>’</w:t>
      </w:r>
      <w:r w:rsidRPr="00C70EFF">
        <w:rPr>
          <w:lang w:val="fr-FR"/>
        </w:rPr>
        <w:t>essais soient enregistrées et à ce que les documents pertinents soient tenus à disposition pendant une période définie en accord avec le service administratif</w:t>
      </w:r>
      <w:r w:rsidR="00A1343F">
        <w:rPr>
          <w:lang w:val="fr-FR"/>
        </w:rPr>
        <w:t> ;</w:t>
      </w:r>
    </w:p>
    <w:p w:rsidR="001D4CDE" w:rsidRPr="00C70EFF" w:rsidRDefault="001D4CDE" w:rsidP="00F74154">
      <w:pPr>
        <w:pStyle w:val="SingleTxtG"/>
        <w:ind w:left="2268" w:hanging="1134"/>
        <w:rPr>
          <w:lang w:val="fr-FR"/>
        </w:rPr>
      </w:pPr>
      <w:r w:rsidRPr="00C70EFF">
        <w:rPr>
          <w:lang w:val="fr-FR"/>
        </w:rPr>
        <w:t>9.1.3.4</w:t>
      </w:r>
      <w:r w:rsidRPr="00C70EFF">
        <w:rPr>
          <w:lang w:val="fr-FR"/>
        </w:rPr>
        <w:tab/>
        <w:t>Analyser les résultats de chaque type d</w:t>
      </w:r>
      <w:r>
        <w:rPr>
          <w:lang w:val="fr-FR"/>
        </w:rPr>
        <w:t>’</w:t>
      </w:r>
      <w:r w:rsidRPr="00C70EFF">
        <w:rPr>
          <w:lang w:val="fr-FR"/>
        </w:rPr>
        <w:t>essai afin de contrôler et d</w:t>
      </w:r>
      <w:r>
        <w:rPr>
          <w:lang w:val="fr-FR"/>
        </w:rPr>
        <w:t>’</w:t>
      </w:r>
      <w:r w:rsidRPr="00C70EFF">
        <w:rPr>
          <w:lang w:val="fr-FR"/>
        </w:rPr>
        <w:t>assurer la constance des caractéristiques du produit eu égard aux variations admissibles en fabrication industrielle</w:t>
      </w:r>
      <w:r w:rsidR="00A1343F">
        <w:rPr>
          <w:lang w:val="fr-FR"/>
        </w:rPr>
        <w:t> ;</w:t>
      </w:r>
    </w:p>
    <w:p w:rsidR="001D4CDE" w:rsidRPr="00C70EFF" w:rsidRDefault="001D4CDE" w:rsidP="00F74154">
      <w:pPr>
        <w:pStyle w:val="SingleTxtG"/>
        <w:ind w:left="2268" w:hanging="1134"/>
        <w:rPr>
          <w:lang w:val="fr-FR"/>
        </w:rPr>
      </w:pPr>
      <w:r w:rsidRPr="00C70EFF">
        <w:rPr>
          <w:lang w:val="fr-FR"/>
        </w:rPr>
        <w:t>9.1.3.5</w:t>
      </w:r>
      <w:r w:rsidRPr="00C70EFF">
        <w:rPr>
          <w:lang w:val="fr-FR"/>
        </w:rPr>
        <w:tab/>
        <w:t>Faire en sorte que, pour chaque type de produit, au moins les essais prescrits à l</w:t>
      </w:r>
      <w:r>
        <w:rPr>
          <w:lang w:val="fr-FR"/>
        </w:rPr>
        <w:t>’</w:t>
      </w:r>
      <w:r w:rsidRPr="00C70EFF">
        <w:rPr>
          <w:lang w:val="fr-FR"/>
        </w:rPr>
        <w:t>annexe 8 du présent Règlement soient effectués</w:t>
      </w:r>
      <w:r w:rsidR="00A1343F">
        <w:rPr>
          <w:lang w:val="fr-FR"/>
        </w:rPr>
        <w:t> ;</w:t>
      </w:r>
    </w:p>
    <w:p w:rsidR="001D4CDE" w:rsidRPr="00C70EFF" w:rsidRDefault="001D4CDE" w:rsidP="00F74154">
      <w:pPr>
        <w:pStyle w:val="SingleTxtG"/>
        <w:ind w:left="2268" w:hanging="1134"/>
        <w:rPr>
          <w:lang w:val="fr-FR"/>
        </w:rPr>
      </w:pPr>
      <w:r w:rsidRPr="00C70EFF">
        <w:rPr>
          <w:lang w:val="fr-FR"/>
        </w:rPr>
        <w:t>9.1.3.6</w:t>
      </w:r>
      <w:r w:rsidRPr="00C70EFF">
        <w:rPr>
          <w:lang w:val="fr-FR"/>
        </w:rPr>
        <w:tab/>
        <w:t>Faire en sorte que tout prélèvement d</w:t>
      </w:r>
      <w:r>
        <w:rPr>
          <w:lang w:val="fr-FR"/>
        </w:rPr>
        <w:t>’</w:t>
      </w:r>
      <w:r w:rsidRPr="00C70EFF">
        <w:rPr>
          <w:lang w:val="fr-FR"/>
        </w:rPr>
        <w:t>échantillons mettant en évidence la non-conformité pour le type d</w:t>
      </w:r>
      <w:r>
        <w:rPr>
          <w:lang w:val="fr-FR"/>
        </w:rPr>
        <w:t>’</w:t>
      </w:r>
      <w:r w:rsidRPr="00C70EFF">
        <w:rPr>
          <w:lang w:val="fr-FR"/>
        </w:rPr>
        <w:t>essai considéré soit suivi d</w:t>
      </w:r>
      <w:r>
        <w:rPr>
          <w:lang w:val="fr-FR"/>
        </w:rPr>
        <w:t>’</w:t>
      </w:r>
      <w:r w:rsidRPr="00C70EFF">
        <w:rPr>
          <w:lang w:val="fr-FR"/>
        </w:rPr>
        <w:t>un nouveau prélèvement et d</w:t>
      </w:r>
      <w:r>
        <w:rPr>
          <w:lang w:val="fr-FR"/>
        </w:rPr>
        <w:t>’</w:t>
      </w:r>
      <w:r w:rsidRPr="00C70EFF">
        <w:rPr>
          <w:lang w:val="fr-FR"/>
        </w:rPr>
        <w:t>un nouvel essai. Toutes les dispositions nécessaires doivent être prises pour rétablir la conformité de la production correspondante.</w:t>
      </w:r>
    </w:p>
    <w:p w:rsidR="001D4CDE" w:rsidRPr="00C70EFF" w:rsidRDefault="001D4CDE" w:rsidP="00F74154">
      <w:pPr>
        <w:pStyle w:val="SingleTxtG"/>
        <w:ind w:left="2268" w:hanging="1134"/>
        <w:rPr>
          <w:lang w:val="fr-FR"/>
        </w:rPr>
      </w:pPr>
      <w:r w:rsidRPr="00C70EFF">
        <w:rPr>
          <w:lang w:val="fr-FR"/>
        </w:rPr>
        <w:t>9.1.4</w:t>
      </w:r>
      <w:r w:rsidRPr="00C70EFF">
        <w:rPr>
          <w:lang w:val="fr-FR"/>
        </w:rPr>
        <w:tab/>
      </w:r>
      <w:r w:rsidRPr="00C70EFF">
        <w:rPr>
          <w:lang w:val="fr-FR"/>
        </w:rPr>
        <w:tab/>
        <w:t>L</w:t>
      </w:r>
      <w:r>
        <w:rPr>
          <w:lang w:val="fr-FR"/>
        </w:rPr>
        <w:t>’</w:t>
      </w:r>
      <w:r w:rsidRPr="00C70EFF">
        <w:rPr>
          <w:lang w:val="fr-FR"/>
        </w:rPr>
        <w:t>autorité compétente qui a délivré l</w:t>
      </w:r>
      <w:r>
        <w:rPr>
          <w:lang w:val="fr-FR"/>
        </w:rPr>
        <w:t>’</w:t>
      </w:r>
      <w:r w:rsidRPr="00C70EFF">
        <w:rPr>
          <w:lang w:val="fr-FR"/>
        </w:rPr>
        <w:t>homologation peut à tout moment vérifier les méthodes de contrôle de la conformité appliquées dans chaque unité de production.</w:t>
      </w:r>
    </w:p>
    <w:p w:rsidR="001D4CDE" w:rsidRPr="00C70EFF" w:rsidRDefault="001D4CDE" w:rsidP="00F74154">
      <w:pPr>
        <w:pStyle w:val="SingleTxtG"/>
        <w:ind w:left="2268" w:hanging="1134"/>
        <w:rPr>
          <w:lang w:val="fr-FR"/>
        </w:rPr>
      </w:pPr>
      <w:r w:rsidRPr="00C70EFF">
        <w:rPr>
          <w:lang w:val="fr-FR"/>
        </w:rPr>
        <w:t>9.1.4.1</w:t>
      </w:r>
      <w:r w:rsidRPr="00C70EFF">
        <w:rPr>
          <w:lang w:val="fr-FR"/>
        </w:rPr>
        <w:tab/>
        <w:t>Lors de chaque inspection, les registres d</w:t>
      </w:r>
      <w:r>
        <w:rPr>
          <w:lang w:val="fr-FR"/>
        </w:rPr>
        <w:t>’</w:t>
      </w:r>
      <w:r w:rsidRPr="00C70EFF">
        <w:rPr>
          <w:lang w:val="fr-FR"/>
        </w:rPr>
        <w:t>essais et de suivi de la production doivent être communiqués à l</w:t>
      </w:r>
      <w:r>
        <w:rPr>
          <w:lang w:val="fr-FR"/>
        </w:rPr>
        <w:t>’</w:t>
      </w:r>
      <w:r w:rsidRPr="00C70EFF">
        <w:rPr>
          <w:lang w:val="fr-FR"/>
        </w:rPr>
        <w:t>inspecteur.</w:t>
      </w:r>
    </w:p>
    <w:p w:rsidR="001D4CDE" w:rsidRPr="00C70EFF" w:rsidRDefault="001D4CDE" w:rsidP="00F74154">
      <w:pPr>
        <w:pStyle w:val="SingleTxtG"/>
        <w:ind w:left="2268" w:hanging="1134"/>
        <w:rPr>
          <w:lang w:val="fr-FR"/>
        </w:rPr>
      </w:pPr>
      <w:r w:rsidRPr="00C70EFF">
        <w:rPr>
          <w:lang w:val="fr-FR"/>
        </w:rPr>
        <w:t>9.1.4.2</w:t>
      </w:r>
      <w:r w:rsidRPr="00C70EFF">
        <w:rPr>
          <w:lang w:val="fr-FR"/>
        </w:rPr>
        <w:tab/>
        <w:t>L</w:t>
      </w:r>
      <w:r>
        <w:rPr>
          <w:lang w:val="fr-FR"/>
        </w:rPr>
        <w:t>’</w:t>
      </w:r>
      <w:r w:rsidRPr="00C70EFF">
        <w:rPr>
          <w:lang w:val="fr-FR"/>
        </w:rPr>
        <w:t>inspecteur peut sélectionner au hasard des échantillons qui seront essayés dans le laboratoire du fabricant. Le nombre minimal d</w:t>
      </w:r>
      <w:r>
        <w:rPr>
          <w:lang w:val="fr-FR"/>
        </w:rPr>
        <w:t>’</w:t>
      </w:r>
      <w:r w:rsidRPr="00C70EFF">
        <w:rPr>
          <w:lang w:val="fr-FR"/>
        </w:rPr>
        <w:t>échantillons peut être déterminé en fonction des résultats des contrôles effectués par le fabricant lui-même.</w:t>
      </w:r>
    </w:p>
    <w:p w:rsidR="001D4CDE" w:rsidRPr="00C70EFF" w:rsidRDefault="001D4CDE" w:rsidP="0047664D">
      <w:pPr>
        <w:pStyle w:val="SingleTxtG"/>
        <w:keepLines/>
        <w:ind w:left="2268" w:hanging="1134"/>
        <w:rPr>
          <w:lang w:val="fr-FR"/>
        </w:rPr>
      </w:pPr>
      <w:r w:rsidRPr="00C70EFF">
        <w:rPr>
          <w:lang w:val="fr-FR"/>
        </w:rPr>
        <w:lastRenderedPageBreak/>
        <w:t>9.1.4.3</w:t>
      </w:r>
      <w:r w:rsidRPr="00C70EFF">
        <w:rPr>
          <w:lang w:val="fr-FR"/>
        </w:rPr>
        <w:tab/>
        <w:t>Quand le niveau de qualité se révèle insuffisant ou quand il semble nécessaire de vérifier la validité des essais effectués en application du paragraphe ci</w:t>
      </w:r>
      <w:r w:rsidRPr="00C70EFF">
        <w:rPr>
          <w:lang w:val="fr-FR"/>
        </w:rPr>
        <w:noBreakHyphen/>
        <w:t>dessus, l</w:t>
      </w:r>
      <w:r>
        <w:rPr>
          <w:lang w:val="fr-FR"/>
        </w:rPr>
        <w:t>’</w:t>
      </w:r>
      <w:r w:rsidRPr="00C70EFF">
        <w:rPr>
          <w:lang w:val="fr-FR"/>
        </w:rPr>
        <w:t>inspecteur doit prélever des échantillons qui seront envoyés au service technique qui a effectué les essais d</w:t>
      </w:r>
      <w:r>
        <w:rPr>
          <w:lang w:val="fr-FR"/>
        </w:rPr>
        <w:t>’</w:t>
      </w:r>
      <w:r w:rsidRPr="00C70EFF">
        <w:rPr>
          <w:lang w:val="fr-FR"/>
        </w:rPr>
        <w:t>homologation de type en utilisant les critères de l</w:t>
      </w:r>
      <w:r>
        <w:rPr>
          <w:lang w:val="fr-FR"/>
        </w:rPr>
        <w:t>’</w:t>
      </w:r>
      <w:r w:rsidRPr="00C70EFF">
        <w:rPr>
          <w:lang w:val="fr-FR"/>
        </w:rPr>
        <w:t>annexe 9.</w:t>
      </w:r>
    </w:p>
    <w:p w:rsidR="001D4CDE" w:rsidRPr="00C70EFF" w:rsidRDefault="001D4CDE" w:rsidP="00F74154">
      <w:pPr>
        <w:pStyle w:val="SingleTxtG"/>
        <w:ind w:left="2268" w:hanging="1134"/>
        <w:rPr>
          <w:lang w:val="fr-FR"/>
        </w:rPr>
      </w:pPr>
      <w:r w:rsidRPr="00C70EFF">
        <w:rPr>
          <w:lang w:val="fr-FR"/>
        </w:rPr>
        <w:t>9.1.4.4</w:t>
      </w:r>
      <w:r w:rsidRPr="00C70EFF">
        <w:rPr>
          <w:lang w:val="fr-FR"/>
        </w:rPr>
        <w:tab/>
        <w:t>Les autorités compétentes peuvent effectuer tous les essais prescrits dans le présent Règlement. Ces essais seront effectués sur des échantillons prélevés au hasard sans perturber les engagements de livraison du fabricant et en accord avec les critères de l</w:t>
      </w:r>
      <w:r>
        <w:rPr>
          <w:lang w:val="fr-FR"/>
        </w:rPr>
        <w:t>’</w:t>
      </w:r>
      <w:r w:rsidRPr="00C70EFF">
        <w:rPr>
          <w:lang w:val="fr-FR"/>
        </w:rPr>
        <w:t>annexe 9.</w:t>
      </w:r>
    </w:p>
    <w:p w:rsidR="001D4CDE" w:rsidRPr="00C70EFF" w:rsidRDefault="001D4CDE" w:rsidP="00F74154">
      <w:pPr>
        <w:pStyle w:val="SingleTxtG"/>
        <w:ind w:left="2268" w:hanging="1134"/>
        <w:rPr>
          <w:lang w:val="fr-FR"/>
        </w:rPr>
      </w:pPr>
      <w:r w:rsidRPr="00C70EFF">
        <w:rPr>
          <w:lang w:val="fr-FR"/>
        </w:rPr>
        <w:t>9.1.4.5</w:t>
      </w:r>
      <w:r w:rsidRPr="00C70EFF">
        <w:rPr>
          <w:lang w:val="fr-FR"/>
        </w:rPr>
        <w:tab/>
        <w:t>L</w:t>
      </w:r>
      <w:r>
        <w:rPr>
          <w:lang w:val="fr-FR"/>
        </w:rPr>
        <w:t>’</w:t>
      </w:r>
      <w:r w:rsidRPr="00C70EFF">
        <w:rPr>
          <w:lang w:val="fr-FR"/>
        </w:rPr>
        <w:t>autorité compétente doit s</w:t>
      </w:r>
      <w:r>
        <w:rPr>
          <w:lang w:val="fr-FR"/>
        </w:rPr>
        <w:t>’</w:t>
      </w:r>
      <w:r w:rsidRPr="00C70EFF">
        <w:rPr>
          <w:lang w:val="fr-FR"/>
        </w:rPr>
        <w:t>efforcer d</w:t>
      </w:r>
      <w:r>
        <w:rPr>
          <w:lang w:val="fr-FR"/>
        </w:rPr>
        <w:t>’</w:t>
      </w:r>
      <w:r w:rsidRPr="00C70EFF">
        <w:rPr>
          <w:lang w:val="fr-FR"/>
        </w:rPr>
        <w:t>obtenir la fréquence d</w:t>
      </w:r>
      <w:r>
        <w:rPr>
          <w:lang w:val="fr-FR"/>
        </w:rPr>
        <w:t>’</w:t>
      </w:r>
      <w:r w:rsidRPr="00C70EFF">
        <w:rPr>
          <w:lang w:val="fr-FR"/>
        </w:rPr>
        <w:t>une inspection tous les deux ans. Cela reste toutefois à la discrétion de l</w:t>
      </w:r>
      <w:r>
        <w:rPr>
          <w:lang w:val="fr-FR"/>
        </w:rPr>
        <w:t>’</w:t>
      </w:r>
      <w:r w:rsidRPr="00C70EFF">
        <w:rPr>
          <w:lang w:val="fr-FR"/>
        </w:rPr>
        <w:t>autorité compétente et dépend de sa confiance dans les dispositions prises pour assurer un contrôle efficace de la conformité de la production. Dans le cas où des résultats négatifs seraient enregistrés, l</w:t>
      </w:r>
      <w:r>
        <w:rPr>
          <w:lang w:val="fr-FR"/>
        </w:rPr>
        <w:t>’</w:t>
      </w:r>
      <w:r w:rsidRPr="00C70EFF">
        <w:rPr>
          <w:lang w:val="fr-FR"/>
        </w:rPr>
        <w:t>autorité compétente doit veiller à ce que toutes les mesures nécessaires soient prises pour rétablir la conformité de la production dans les plus brefs délais.</w:t>
      </w:r>
    </w:p>
    <w:p w:rsidR="001D4CDE" w:rsidRPr="00C70EFF" w:rsidRDefault="001D4CDE" w:rsidP="00F74154">
      <w:pPr>
        <w:pStyle w:val="SingleTxtG"/>
        <w:ind w:left="2268" w:hanging="1134"/>
        <w:rPr>
          <w:lang w:val="fr-FR"/>
        </w:rPr>
      </w:pPr>
      <w:r w:rsidRPr="00C70EFF">
        <w:rPr>
          <w:lang w:val="fr-FR"/>
        </w:rPr>
        <w:t>9.2</w:t>
      </w:r>
      <w:r w:rsidRPr="00C70EFF">
        <w:rPr>
          <w:lang w:val="fr-FR"/>
        </w:rPr>
        <w:tab/>
        <w:t>Les projecteurs présentant des défauts apparents ne sont pas pris en considération.</w:t>
      </w:r>
    </w:p>
    <w:p w:rsidR="001D4CDE" w:rsidRPr="00C70EFF" w:rsidRDefault="001D4CDE" w:rsidP="00F74154">
      <w:pPr>
        <w:pStyle w:val="SingleTxtG"/>
        <w:ind w:left="2268" w:hanging="1134"/>
        <w:rPr>
          <w:lang w:val="fr-FR"/>
        </w:rPr>
      </w:pPr>
      <w:r w:rsidRPr="00C70EFF">
        <w:rPr>
          <w:lang w:val="fr-FR"/>
        </w:rPr>
        <w:t>9.3</w:t>
      </w:r>
      <w:r w:rsidRPr="00C70EFF">
        <w:rPr>
          <w:lang w:val="fr-FR"/>
        </w:rPr>
        <w:tab/>
      </w:r>
      <w:r w:rsidRPr="00C70EFF">
        <w:rPr>
          <w:lang w:val="fr-FR"/>
        </w:rPr>
        <w:tab/>
        <w:t>Il n</w:t>
      </w:r>
      <w:r>
        <w:rPr>
          <w:lang w:val="fr-FR"/>
        </w:rPr>
        <w:t>’</w:t>
      </w:r>
      <w:r w:rsidRPr="00C70EFF">
        <w:rPr>
          <w:lang w:val="fr-FR"/>
        </w:rPr>
        <w:t>est pas tenu compte du repère de marquage.</w:t>
      </w:r>
    </w:p>
    <w:p w:rsidR="001D4CDE" w:rsidRPr="00C70EFF" w:rsidRDefault="001D4CDE" w:rsidP="00F74154">
      <w:pPr>
        <w:pStyle w:val="SingleTxtG"/>
        <w:ind w:left="2268" w:hanging="1134"/>
        <w:rPr>
          <w:lang w:val="fr-FR"/>
        </w:rPr>
      </w:pPr>
      <w:r w:rsidRPr="00C70EFF">
        <w:rPr>
          <w:lang w:val="fr-FR"/>
        </w:rPr>
        <w:t>9.4</w:t>
      </w:r>
      <w:r w:rsidRPr="00C70EFF">
        <w:rPr>
          <w:lang w:val="fr-FR"/>
        </w:rPr>
        <w:tab/>
      </w:r>
      <w:r w:rsidRPr="00C70EFF">
        <w:rPr>
          <w:lang w:val="fr-FR"/>
        </w:rPr>
        <w:tab/>
        <w:t>Il n</w:t>
      </w:r>
      <w:r>
        <w:rPr>
          <w:lang w:val="fr-FR"/>
        </w:rPr>
        <w:t>’</w:t>
      </w:r>
      <w:r w:rsidRPr="00C70EFF">
        <w:rPr>
          <w:lang w:val="fr-FR"/>
        </w:rPr>
        <w:t>est pas tenu compte des points de mesure 14 à 21 du paragraphe 6.2.6 du présent Règlement.</w:t>
      </w:r>
      <w:r w:rsidR="00F74154">
        <w:rPr>
          <w:lang w:val="fr-FR"/>
        </w:rPr>
        <w:t> »</w:t>
      </w:r>
      <w:r w:rsidR="008E4FC0">
        <w:rPr>
          <w:lang w:val="fr-FR"/>
        </w:rPr>
        <w:t>.</w:t>
      </w:r>
    </w:p>
    <w:p w:rsidR="001D4CDE" w:rsidRPr="00C70EFF" w:rsidRDefault="001D4CDE" w:rsidP="00A1343F">
      <w:pPr>
        <w:pStyle w:val="SingleTxtG"/>
        <w:keepNext/>
        <w:ind w:left="2268" w:hanging="1134"/>
        <w:rPr>
          <w:i/>
          <w:lang w:val="fr-FR"/>
        </w:rPr>
      </w:pPr>
      <w:r w:rsidRPr="00C70EFF">
        <w:rPr>
          <w:i/>
          <w:lang w:val="fr-FR"/>
        </w:rPr>
        <w:t>Annexe 1</w:t>
      </w:r>
      <w:r w:rsidRPr="008E4FC0">
        <w:rPr>
          <w:lang w:val="fr-FR"/>
        </w:rPr>
        <w:t>,</w:t>
      </w:r>
    </w:p>
    <w:p w:rsidR="001D4CDE" w:rsidRPr="00C70EFF" w:rsidRDefault="001D4CDE" w:rsidP="00A1343F">
      <w:pPr>
        <w:pStyle w:val="SingleTxtG"/>
        <w:keepNext/>
        <w:ind w:left="2268" w:hanging="1134"/>
        <w:rPr>
          <w:i/>
          <w:lang w:val="fr-FR"/>
        </w:rPr>
      </w:pPr>
      <w:r w:rsidRPr="00C70EFF">
        <w:rPr>
          <w:i/>
          <w:lang w:val="fr-FR"/>
        </w:rPr>
        <w:t xml:space="preserve">Ligne en dessous du segment </w:t>
      </w:r>
      <w:r w:rsidR="008E4FC0">
        <w:rPr>
          <w:lang w:val="fr-FR"/>
        </w:rPr>
        <w:t>« </w:t>
      </w:r>
      <w:r w:rsidRPr="00C70EFF">
        <w:rPr>
          <w:i/>
          <w:lang w:val="fr-FR"/>
        </w:rPr>
        <w:t>Arrêt définitif de la production</w:t>
      </w:r>
      <w:r w:rsidR="008E4FC0">
        <w:rPr>
          <w:lang w:val="fr-FR"/>
        </w:rPr>
        <w:t> »</w:t>
      </w:r>
      <w:r w:rsidRPr="0047664D">
        <w:rPr>
          <w:lang w:val="fr-FR"/>
        </w:rPr>
        <w:t>,</w:t>
      </w:r>
      <w:r w:rsidRPr="00C70EFF">
        <w:rPr>
          <w:i/>
          <w:lang w:val="fr-FR"/>
        </w:rPr>
        <w:t xml:space="preserve"> </w:t>
      </w:r>
      <w:r>
        <w:rPr>
          <w:lang w:val="fr-FR"/>
        </w:rPr>
        <w:t>lire</w:t>
      </w:r>
      <w:r w:rsidR="00A1343F">
        <w:rPr>
          <w:lang w:val="fr-FR"/>
        </w:rPr>
        <w:t> :</w:t>
      </w:r>
    </w:p>
    <w:p w:rsidR="001D4CDE" w:rsidRPr="00C70EFF" w:rsidRDefault="00F74154" w:rsidP="007B1A9F">
      <w:pPr>
        <w:pStyle w:val="SingleTxtG"/>
        <w:ind w:left="2268"/>
        <w:rPr>
          <w:lang w:val="fr-FR"/>
        </w:rPr>
      </w:pPr>
      <w:r>
        <w:rPr>
          <w:lang w:val="fr-FR"/>
        </w:rPr>
        <w:t>« </w:t>
      </w:r>
      <w:r w:rsidR="001D4CDE" w:rsidRPr="00C70EFF">
        <w:rPr>
          <w:lang w:val="fr-FR"/>
        </w:rPr>
        <w:t>…d</w:t>
      </w:r>
      <w:r w:rsidR="001D4CDE">
        <w:rPr>
          <w:lang w:val="fr-FR"/>
        </w:rPr>
        <w:t>’</w:t>
      </w:r>
      <w:r w:rsidR="001D4CDE" w:rsidRPr="00C70EFF">
        <w:rPr>
          <w:lang w:val="fr-FR"/>
        </w:rPr>
        <w:t xml:space="preserve">un type de projecteur en application du Règlement </w:t>
      </w:r>
      <w:r w:rsidR="0047664D" w:rsidRPr="0047664D">
        <w:rPr>
          <w:rFonts w:eastAsia="MS Mincho"/>
          <w:lang w:val="fr-FR"/>
        </w:rPr>
        <w:t>n</w:t>
      </w:r>
      <w:r w:rsidR="0047664D" w:rsidRPr="0047664D">
        <w:rPr>
          <w:rFonts w:eastAsia="MS Mincho"/>
          <w:vertAlign w:val="superscript"/>
          <w:lang w:val="fr-FR"/>
        </w:rPr>
        <w:t>o</w:t>
      </w:r>
      <w:r w:rsidR="0047664D">
        <w:rPr>
          <w:lang w:val="fr-FR"/>
        </w:rPr>
        <w:t> </w:t>
      </w:r>
      <w:r w:rsidR="001D4CDE" w:rsidRPr="00C70EFF">
        <w:rPr>
          <w:lang w:val="fr-FR"/>
        </w:rPr>
        <w:t>98.</w:t>
      </w:r>
      <w:r>
        <w:rPr>
          <w:lang w:val="fr-FR"/>
        </w:rPr>
        <w:t> »</w:t>
      </w:r>
      <w:r w:rsidR="001D4CDE" w:rsidRPr="00C70EFF">
        <w:rPr>
          <w:lang w:val="fr-FR"/>
        </w:rPr>
        <w:t xml:space="preserve">. </w:t>
      </w:r>
    </w:p>
    <w:p w:rsidR="001D4CDE" w:rsidRPr="00C70EFF" w:rsidRDefault="001D4CDE" w:rsidP="00A1343F">
      <w:pPr>
        <w:pStyle w:val="SingleTxtG"/>
        <w:keepNext/>
        <w:ind w:left="2268" w:hanging="1134"/>
        <w:rPr>
          <w:lang w:val="fr-FR"/>
        </w:rPr>
      </w:pPr>
      <w:r w:rsidRPr="00C70EFF">
        <w:rPr>
          <w:i/>
          <w:lang w:val="fr-FR"/>
        </w:rPr>
        <w:t>Point 1</w:t>
      </w:r>
      <w:r w:rsidRPr="008E4FC0">
        <w:rPr>
          <w:lang w:val="fr-FR"/>
        </w:rPr>
        <w:t>,</w:t>
      </w:r>
      <w:r w:rsidRPr="00C70EFF">
        <w:rPr>
          <w:i/>
          <w:lang w:val="fr-FR"/>
        </w:rPr>
        <w:t xml:space="preserve"> </w:t>
      </w:r>
      <w:r>
        <w:rPr>
          <w:lang w:val="fr-FR"/>
        </w:rPr>
        <w:t>lire</w:t>
      </w:r>
      <w:r w:rsidR="00A1343F">
        <w:rPr>
          <w:lang w:val="fr-FR"/>
        </w:rPr>
        <w:t> :</w:t>
      </w:r>
    </w:p>
    <w:p w:rsidR="001D4CDE" w:rsidRPr="00C70EFF" w:rsidRDefault="00F74154" w:rsidP="00F63087">
      <w:pPr>
        <w:pStyle w:val="SingleTxtG"/>
        <w:tabs>
          <w:tab w:val="right" w:leader="dot" w:pos="8505"/>
        </w:tabs>
        <w:ind w:left="2268" w:hanging="1134"/>
        <w:rPr>
          <w:lang w:val="fr-FR"/>
        </w:rPr>
      </w:pPr>
      <w:r>
        <w:rPr>
          <w:lang w:val="fr-FR"/>
        </w:rPr>
        <w:t>« </w:t>
      </w:r>
      <w:r w:rsidR="001D4CDE" w:rsidRPr="00C70EFF">
        <w:rPr>
          <w:lang w:val="fr-FR"/>
        </w:rPr>
        <w:t>1.</w:t>
      </w:r>
      <w:r w:rsidR="001D4CDE" w:rsidRPr="00C70EFF">
        <w:rPr>
          <w:lang w:val="fr-FR"/>
        </w:rPr>
        <w:tab/>
        <w:t>Marque de fabrique ou de commerce du projecteur</w:t>
      </w:r>
      <w:r w:rsidR="00A1343F">
        <w:rPr>
          <w:lang w:val="fr-FR"/>
        </w:rPr>
        <w:t> :</w:t>
      </w:r>
      <w:r w:rsidR="001D4CDE" w:rsidRPr="00C70EFF">
        <w:rPr>
          <w:lang w:val="fr-FR"/>
        </w:rPr>
        <w:tab/>
      </w:r>
      <w:r>
        <w:rPr>
          <w:lang w:val="fr-FR"/>
        </w:rPr>
        <w:t> »</w:t>
      </w:r>
      <w:r w:rsidR="001D4CDE" w:rsidRPr="00C70EFF">
        <w:rPr>
          <w:lang w:val="fr-FR"/>
        </w:rPr>
        <w:t>.</w:t>
      </w:r>
    </w:p>
    <w:p w:rsidR="001D4CDE" w:rsidRPr="00C70EFF" w:rsidRDefault="001D4CDE" w:rsidP="00A1343F">
      <w:pPr>
        <w:pStyle w:val="SingleTxtG"/>
        <w:keepNext/>
        <w:ind w:left="2268" w:hanging="1134"/>
        <w:rPr>
          <w:lang w:val="fr-FR"/>
        </w:rPr>
      </w:pPr>
      <w:r w:rsidRPr="00C70EFF">
        <w:rPr>
          <w:i/>
          <w:lang w:val="fr-FR"/>
        </w:rPr>
        <w:t>Point 2</w:t>
      </w:r>
      <w:r w:rsidRPr="00017036">
        <w:rPr>
          <w:lang w:val="fr-FR"/>
        </w:rPr>
        <w:t>,</w:t>
      </w:r>
      <w:r w:rsidRPr="00C70EFF">
        <w:rPr>
          <w:i/>
          <w:lang w:val="fr-FR"/>
        </w:rPr>
        <w:t xml:space="preserve"> </w:t>
      </w:r>
      <w:r>
        <w:rPr>
          <w:lang w:val="fr-FR"/>
        </w:rPr>
        <w:t>lire</w:t>
      </w:r>
      <w:r w:rsidR="00A1343F">
        <w:rPr>
          <w:lang w:val="fr-FR"/>
        </w:rPr>
        <w:t> :</w:t>
      </w:r>
    </w:p>
    <w:p w:rsidR="001D4CDE" w:rsidRPr="00C70EFF" w:rsidRDefault="00F74154" w:rsidP="00F63087">
      <w:pPr>
        <w:pStyle w:val="SingleTxtG"/>
        <w:tabs>
          <w:tab w:val="right" w:leader="dot" w:pos="8505"/>
        </w:tabs>
        <w:ind w:left="2268" w:hanging="1134"/>
        <w:rPr>
          <w:lang w:val="fr-FR"/>
        </w:rPr>
      </w:pPr>
      <w:r>
        <w:rPr>
          <w:lang w:val="fr-FR"/>
        </w:rPr>
        <w:t>« </w:t>
      </w:r>
      <w:r w:rsidR="001D4CDE" w:rsidRPr="00C70EFF">
        <w:rPr>
          <w:lang w:val="fr-FR"/>
        </w:rPr>
        <w:t>2.</w:t>
      </w:r>
      <w:r w:rsidR="001D4CDE" w:rsidRPr="00C70EFF">
        <w:rPr>
          <w:lang w:val="fr-FR"/>
        </w:rPr>
        <w:tab/>
        <w:t>Désignation par le fabricant du type de dispositif</w:t>
      </w:r>
      <w:r w:rsidR="00A1343F">
        <w:rPr>
          <w:lang w:val="fr-FR"/>
        </w:rPr>
        <w:t> :</w:t>
      </w:r>
      <w:r w:rsidR="001D4CDE" w:rsidRPr="00C70EFF">
        <w:rPr>
          <w:lang w:val="fr-FR"/>
        </w:rPr>
        <w:tab/>
      </w:r>
      <w:r>
        <w:rPr>
          <w:lang w:val="fr-FR"/>
        </w:rPr>
        <w:t> »</w:t>
      </w:r>
      <w:r w:rsidR="001D4CDE" w:rsidRPr="00C70EFF">
        <w:rPr>
          <w:lang w:val="fr-FR"/>
        </w:rPr>
        <w:t>.</w:t>
      </w:r>
    </w:p>
    <w:p w:rsidR="001D4CDE" w:rsidRPr="00C70EFF" w:rsidRDefault="001D4CDE" w:rsidP="00A1343F">
      <w:pPr>
        <w:pStyle w:val="SingleTxtG"/>
        <w:keepNext/>
        <w:ind w:left="2268" w:hanging="1134"/>
        <w:rPr>
          <w:lang w:val="fr-FR"/>
        </w:rPr>
      </w:pPr>
      <w:r w:rsidRPr="00C70EFF">
        <w:rPr>
          <w:i/>
          <w:lang w:val="fr-FR"/>
        </w:rPr>
        <w:t>Point 9.1</w:t>
      </w:r>
      <w:r w:rsidRPr="008E4FC0">
        <w:rPr>
          <w:lang w:val="fr-FR"/>
        </w:rPr>
        <w:t>,</w:t>
      </w:r>
      <w:r w:rsidRPr="00C70EFF">
        <w:rPr>
          <w:i/>
          <w:lang w:val="fr-FR"/>
        </w:rPr>
        <w:t xml:space="preserve"> </w:t>
      </w:r>
      <w:r>
        <w:rPr>
          <w:lang w:val="fr-FR"/>
        </w:rPr>
        <w:t>lire</w:t>
      </w:r>
      <w:r w:rsidR="00A1343F">
        <w:rPr>
          <w:lang w:val="fr-FR"/>
        </w:rPr>
        <w:t> :</w:t>
      </w:r>
    </w:p>
    <w:p w:rsidR="001D4CDE" w:rsidRPr="00C70EFF" w:rsidRDefault="00F74154" w:rsidP="00F63087">
      <w:pPr>
        <w:pStyle w:val="SingleTxtG"/>
        <w:tabs>
          <w:tab w:val="right" w:leader="dot" w:pos="8505"/>
        </w:tabs>
        <w:ind w:left="2268" w:hanging="1134"/>
        <w:rPr>
          <w:lang w:val="fr-FR"/>
        </w:rPr>
      </w:pPr>
      <w:r>
        <w:rPr>
          <w:lang w:val="fr-FR"/>
        </w:rPr>
        <w:t>« </w:t>
      </w:r>
      <w:r w:rsidR="001D4CDE" w:rsidRPr="00C70EFF">
        <w:rPr>
          <w:lang w:val="fr-FR"/>
        </w:rPr>
        <w:t>9.1</w:t>
      </w:r>
      <w:r w:rsidR="001D4CDE" w:rsidRPr="00C70EFF">
        <w:rPr>
          <w:lang w:val="fr-FR"/>
        </w:rPr>
        <w:tab/>
        <w:t>Projecteur soumis pour homologation comme étant du type</w:t>
      </w:r>
      <w:r w:rsidR="00A1343F">
        <w:rPr>
          <w:lang w:val="fr-FR"/>
        </w:rPr>
        <w:t> :</w:t>
      </w:r>
      <w:r w:rsidR="001D4CDE" w:rsidRPr="00C70EFF">
        <w:rPr>
          <w:lang w:val="fr-FR"/>
        </w:rPr>
        <w:tab/>
      </w:r>
      <w:r>
        <w:rPr>
          <w:lang w:val="fr-FR"/>
        </w:rPr>
        <w:t> »</w:t>
      </w:r>
      <w:r w:rsidR="001D4CDE" w:rsidRPr="00C70EFF">
        <w:rPr>
          <w:lang w:val="fr-FR"/>
        </w:rPr>
        <w:t>.</w:t>
      </w:r>
    </w:p>
    <w:p w:rsidR="001D4CDE" w:rsidRPr="00C70EFF" w:rsidRDefault="001D4CDE" w:rsidP="00A1343F">
      <w:pPr>
        <w:pStyle w:val="SingleTxtG"/>
        <w:keepNext/>
        <w:ind w:left="2268" w:hanging="1134"/>
        <w:rPr>
          <w:lang w:val="fr-FR"/>
        </w:rPr>
      </w:pPr>
      <w:r w:rsidRPr="00C70EFF">
        <w:rPr>
          <w:i/>
          <w:lang w:val="fr-FR"/>
        </w:rPr>
        <w:t>Point 9.4</w:t>
      </w:r>
      <w:r w:rsidRPr="008E4FC0">
        <w:rPr>
          <w:lang w:val="fr-FR"/>
        </w:rPr>
        <w:t xml:space="preserve">, </w:t>
      </w:r>
      <w:r>
        <w:rPr>
          <w:lang w:val="fr-FR"/>
        </w:rPr>
        <w:t>lire</w:t>
      </w:r>
      <w:r w:rsidR="00A1343F">
        <w:rPr>
          <w:lang w:val="fr-FR"/>
        </w:rPr>
        <w:t> :</w:t>
      </w:r>
    </w:p>
    <w:p w:rsidR="001D4CDE" w:rsidRPr="00C70EFF" w:rsidRDefault="00F74154" w:rsidP="00F63087">
      <w:pPr>
        <w:pStyle w:val="SingleTxtG"/>
        <w:tabs>
          <w:tab w:val="right" w:leader="dot" w:pos="8505"/>
        </w:tabs>
        <w:ind w:left="2268" w:hanging="1134"/>
        <w:rPr>
          <w:lang w:val="fr-FR"/>
        </w:rPr>
      </w:pPr>
      <w:r>
        <w:rPr>
          <w:lang w:val="fr-FR"/>
        </w:rPr>
        <w:t>« </w:t>
      </w:r>
      <w:r w:rsidR="001D4CDE" w:rsidRPr="00C70EFF">
        <w:rPr>
          <w:lang w:val="fr-FR"/>
        </w:rPr>
        <w:t>9.4</w:t>
      </w:r>
      <w:r w:rsidR="001D4CDE" w:rsidRPr="00C70EFF">
        <w:rPr>
          <w:lang w:val="fr-FR"/>
        </w:rPr>
        <w:tab/>
        <w:t>Catégorie (ou catégories) des sources lumineuses</w:t>
      </w:r>
      <w:r w:rsidR="00A1343F">
        <w:rPr>
          <w:lang w:val="fr-FR"/>
        </w:rPr>
        <w:t> :</w:t>
      </w:r>
      <w:r w:rsidR="001D4CDE" w:rsidRPr="00C70EFF">
        <w:rPr>
          <w:lang w:val="fr-FR"/>
        </w:rPr>
        <w:tab/>
      </w:r>
      <w:r>
        <w:rPr>
          <w:lang w:val="fr-FR"/>
        </w:rPr>
        <w:t> »</w:t>
      </w:r>
      <w:r w:rsidR="001D4CDE" w:rsidRPr="00C70EFF">
        <w:rPr>
          <w:lang w:val="fr-FR"/>
        </w:rPr>
        <w:t>.</w:t>
      </w:r>
    </w:p>
    <w:p w:rsidR="001D4CDE" w:rsidRPr="00C70EFF" w:rsidRDefault="001D4CDE" w:rsidP="00E456D4">
      <w:pPr>
        <w:pStyle w:val="SingleTxtG"/>
        <w:ind w:left="2268" w:hanging="1134"/>
        <w:rPr>
          <w:lang w:val="fr-FR"/>
        </w:rPr>
      </w:pPr>
      <w:r w:rsidRPr="00C70EFF">
        <w:rPr>
          <w:i/>
          <w:lang w:val="fr-FR"/>
        </w:rPr>
        <w:t>Point 9.8</w:t>
      </w:r>
      <w:r w:rsidRPr="008E4FC0">
        <w:rPr>
          <w:lang w:val="fr-FR"/>
        </w:rPr>
        <w:t>,</w:t>
      </w:r>
      <w:r w:rsidRPr="00C70EFF">
        <w:rPr>
          <w:i/>
          <w:lang w:val="fr-FR"/>
        </w:rPr>
        <w:t xml:space="preserve"> </w:t>
      </w:r>
      <w:r w:rsidRPr="00C70EFF">
        <w:rPr>
          <w:lang w:val="fr-FR"/>
        </w:rPr>
        <w:t>supprimer.</w:t>
      </w:r>
    </w:p>
    <w:p w:rsidR="001D4CDE" w:rsidRPr="00687D56" w:rsidRDefault="001D4CDE" w:rsidP="00E456D4">
      <w:pPr>
        <w:pStyle w:val="SingleTxtG"/>
        <w:ind w:left="2268" w:hanging="1134"/>
        <w:rPr>
          <w:lang w:val="fr-FR"/>
        </w:rPr>
      </w:pPr>
      <w:r w:rsidRPr="00687D56">
        <w:rPr>
          <w:i/>
          <w:lang w:val="fr-FR"/>
        </w:rPr>
        <w:t>Les</w:t>
      </w:r>
      <w:r w:rsidRPr="00687D56">
        <w:rPr>
          <w:lang w:val="fr-FR"/>
        </w:rPr>
        <w:t xml:space="preserve"> </w:t>
      </w:r>
      <w:r w:rsidRPr="00687D56">
        <w:rPr>
          <w:i/>
          <w:lang w:val="fr-FR"/>
        </w:rPr>
        <w:t>points 9.9 et 9.10</w:t>
      </w:r>
      <w:r w:rsidRPr="00687D56">
        <w:rPr>
          <w:lang w:val="fr-FR"/>
        </w:rPr>
        <w:t xml:space="preserve"> deviennent </w:t>
      </w:r>
      <w:r w:rsidRPr="00687D56">
        <w:rPr>
          <w:i/>
          <w:lang w:val="fr-FR"/>
        </w:rPr>
        <w:t>les</w:t>
      </w:r>
      <w:r w:rsidRPr="00687D56">
        <w:rPr>
          <w:lang w:val="fr-FR"/>
        </w:rPr>
        <w:t xml:space="preserve"> </w:t>
      </w:r>
      <w:r w:rsidRPr="00687D56">
        <w:rPr>
          <w:i/>
          <w:lang w:val="fr-FR"/>
        </w:rPr>
        <w:t>points 9.8 et 9.9.</w:t>
      </w:r>
    </w:p>
    <w:p w:rsidR="001D4CDE" w:rsidRPr="00C70EFF" w:rsidRDefault="001D4CDE" w:rsidP="00E456D4">
      <w:pPr>
        <w:pStyle w:val="SingleTxtG"/>
        <w:ind w:left="2268" w:hanging="1134"/>
        <w:rPr>
          <w:lang w:val="fr-FR"/>
        </w:rPr>
      </w:pPr>
      <w:r w:rsidRPr="00C70EFF">
        <w:rPr>
          <w:i/>
          <w:lang w:val="fr-FR"/>
        </w:rPr>
        <w:t>Notes de bas de page 3 et 4</w:t>
      </w:r>
      <w:r w:rsidRPr="008E4FC0">
        <w:rPr>
          <w:lang w:val="fr-FR"/>
        </w:rPr>
        <w:t>,</w:t>
      </w:r>
      <w:r w:rsidRPr="00C70EFF">
        <w:rPr>
          <w:i/>
          <w:lang w:val="fr-FR"/>
        </w:rPr>
        <w:t xml:space="preserve"> </w:t>
      </w:r>
      <w:r w:rsidRPr="00C70EFF">
        <w:rPr>
          <w:lang w:val="fr-FR"/>
        </w:rPr>
        <w:t>supprimer.</w:t>
      </w:r>
    </w:p>
    <w:p w:rsidR="001D4CDE" w:rsidRPr="00C70EFF" w:rsidRDefault="001D4CDE" w:rsidP="00E456D4">
      <w:pPr>
        <w:pStyle w:val="SingleTxtG"/>
        <w:ind w:left="2268" w:hanging="1134"/>
        <w:rPr>
          <w:i/>
          <w:lang w:val="fr-FR"/>
        </w:rPr>
      </w:pPr>
      <w:r w:rsidRPr="00C70EFF">
        <w:rPr>
          <w:i/>
          <w:lang w:val="fr-FR"/>
        </w:rPr>
        <w:t>Annexe 2,</w:t>
      </w:r>
    </w:p>
    <w:p w:rsidR="001D4CDE" w:rsidRPr="00C70EFF" w:rsidRDefault="001D4CDE" w:rsidP="00E456D4">
      <w:pPr>
        <w:pStyle w:val="SingleTxtG"/>
        <w:ind w:left="2268" w:hanging="1134"/>
        <w:rPr>
          <w:lang w:val="fr-FR"/>
        </w:rPr>
      </w:pPr>
      <w:r w:rsidRPr="00C70EFF">
        <w:rPr>
          <w:i/>
          <w:lang w:val="fr-FR"/>
        </w:rPr>
        <w:t>Figure 10 et texte explicatif</w:t>
      </w:r>
      <w:r w:rsidRPr="008E4FC0">
        <w:rPr>
          <w:lang w:val="fr-FR"/>
        </w:rPr>
        <w:t>,</w:t>
      </w:r>
      <w:r w:rsidRPr="00C70EFF">
        <w:rPr>
          <w:i/>
          <w:lang w:val="fr-FR"/>
        </w:rPr>
        <w:t xml:space="preserve"> </w:t>
      </w:r>
      <w:r w:rsidRPr="00C70EFF">
        <w:rPr>
          <w:lang w:val="fr-FR"/>
        </w:rPr>
        <w:t>supprimer.</w:t>
      </w:r>
    </w:p>
    <w:p w:rsidR="001D4CDE" w:rsidRPr="00C70EFF" w:rsidRDefault="001D4CDE" w:rsidP="00E456D4">
      <w:pPr>
        <w:pStyle w:val="SingleTxtG"/>
        <w:ind w:left="2268" w:hanging="1134"/>
        <w:rPr>
          <w:lang w:val="fr-FR"/>
        </w:rPr>
      </w:pPr>
      <w:r w:rsidRPr="008E4FC0">
        <w:rPr>
          <w:i/>
          <w:lang w:val="fr-FR"/>
        </w:rPr>
        <w:t>Les</w:t>
      </w:r>
      <w:r w:rsidRPr="00C70EFF">
        <w:rPr>
          <w:i/>
          <w:lang w:val="fr-FR"/>
        </w:rPr>
        <w:t xml:space="preserve"> figures 11, 12 et 13 </w:t>
      </w:r>
      <w:r w:rsidRPr="00C70EFF">
        <w:rPr>
          <w:lang w:val="fr-FR"/>
        </w:rPr>
        <w:t xml:space="preserve">deviennent </w:t>
      </w:r>
      <w:r w:rsidRPr="008E4FC0">
        <w:rPr>
          <w:i/>
          <w:lang w:val="fr-FR"/>
        </w:rPr>
        <w:t>les</w:t>
      </w:r>
      <w:r w:rsidRPr="00C70EFF">
        <w:rPr>
          <w:lang w:val="fr-FR"/>
        </w:rPr>
        <w:t xml:space="preserve"> </w:t>
      </w:r>
      <w:r w:rsidRPr="00C70EFF">
        <w:rPr>
          <w:i/>
          <w:lang w:val="fr-FR"/>
        </w:rPr>
        <w:t>figures 10, 11 et 12</w:t>
      </w:r>
      <w:r w:rsidRPr="00C70EFF">
        <w:rPr>
          <w:lang w:val="fr-FR"/>
        </w:rPr>
        <w:t>.</w:t>
      </w:r>
    </w:p>
    <w:p w:rsidR="001D4CDE" w:rsidRPr="00C70EFF" w:rsidRDefault="001D4CDE" w:rsidP="008E4FC0">
      <w:pPr>
        <w:pStyle w:val="SingleTxtG"/>
        <w:keepNext/>
        <w:ind w:left="2268" w:hanging="1134"/>
        <w:rPr>
          <w:i/>
          <w:lang w:val="fr-FR"/>
        </w:rPr>
      </w:pPr>
      <w:r w:rsidRPr="00C70EFF">
        <w:rPr>
          <w:i/>
          <w:lang w:val="fr-FR"/>
        </w:rPr>
        <w:lastRenderedPageBreak/>
        <w:t>Annexe 4</w:t>
      </w:r>
      <w:r w:rsidR="008E4FC0" w:rsidRPr="008E4FC0">
        <w:rPr>
          <w:lang w:val="fr-FR"/>
        </w:rPr>
        <w:t>,</w:t>
      </w:r>
    </w:p>
    <w:p w:rsidR="001D4CDE" w:rsidRPr="00C70EFF" w:rsidRDefault="001D4CDE" w:rsidP="00F74154">
      <w:pPr>
        <w:pStyle w:val="SingleTxtG"/>
        <w:keepNext/>
        <w:ind w:left="2268" w:hanging="1134"/>
        <w:rPr>
          <w:lang w:val="fr-FR"/>
        </w:rPr>
      </w:pPr>
      <w:r w:rsidRPr="00C70EFF">
        <w:rPr>
          <w:i/>
          <w:lang w:val="fr-FR"/>
        </w:rPr>
        <w:t>Partie introductive,</w:t>
      </w:r>
      <w:r w:rsidRPr="00C70EFF">
        <w:rPr>
          <w:lang w:val="fr-FR"/>
        </w:rPr>
        <w:t xml:space="preserve"> </w:t>
      </w:r>
      <w:r>
        <w:rPr>
          <w:lang w:val="fr-FR"/>
        </w:rPr>
        <w:t>lire</w:t>
      </w:r>
      <w:r w:rsidR="00A1343F">
        <w:rPr>
          <w:lang w:val="fr-FR"/>
        </w:rPr>
        <w:t> :</w:t>
      </w:r>
    </w:p>
    <w:p w:rsidR="001D4CDE" w:rsidRPr="00C70EFF" w:rsidRDefault="00F74154" w:rsidP="008E4FC0">
      <w:pPr>
        <w:pStyle w:val="SingleTxtG"/>
        <w:keepNext/>
        <w:ind w:left="2268"/>
        <w:rPr>
          <w:lang w:val="fr-FR"/>
        </w:rPr>
      </w:pPr>
      <w:r>
        <w:rPr>
          <w:lang w:val="fr-FR"/>
        </w:rPr>
        <w:t>« </w:t>
      </w:r>
      <w:r w:rsidR="001D4CDE" w:rsidRPr="00C70EFF">
        <w:rPr>
          <w:lang w:val="fr-FR"/>
        </w:rPr>
        <w:t>Essais des projecteurs complets</w:t>
      </w:r>
    </w:p>
    <w:p w:rsidR="001D4CDE" w:rsidRPr="00C70EFF" w:rsidRDefault="001D4CDE" w:rsidP="007B1A9F">
      <w:pPr>
        <w:pStyle w:val="SingleTxtG"/>
        <w:ind w:left="2268"/>
        <w:rPr>
          <w:lang w:val="fr-FR"/>
        </w:rPr>
      </w:pPr>
      <w:r w:rsidRPr="00C70EFF">
        <w:rPr>
          <w:lang w:val="fr-FR"/>
        </w:rPr>
        <w:t>Une fois mesurées les valeurs photométriques conformément aux prescriptions du présent Règlement, au point I</w:t>
      </w:r>
      <w:r w:rsidRPr="00017036">
        <w:rPr>
          <w:vertAlign w:val="subscript"/>
          <w:lang w:val="fr-FR"/>
        </w:rPr>
        <w:t>max</w:t>
      </w:r>
      <w:r w:rsidRPr="00C70EFF">
        <w:rPr>
          <w:lang w:val="fr-FR"/>
        </w:rPr>
        <w:t xml:space="preserve"> pour le faisceau de route et aux points 25 L, 50 R et B 50 L pour le faisceau de croisement (ou 25</w:t>
      </w:r>
      <w:r w:rsidR="00C4481A">
        <w:rPr>
          <w:b/>
          <w:lang w:val="fr-FR"/>
        </w:rPr>
        <w:t> </w:t>
      </w:r>
      <w:r w:rsidRPr="00C70EFF">
        <w:rPr>
          <w:lang w:val="fr-FR"/>
        </w:rPr>
        <w:t>R</w:t>
      </w:r>
      <w:r w:rsidRPr="00C70EFF">
        <w:rPr>
          <w:b/>
          <w:lang w:val="fr-FR"/>
        </w:rPr>
        <w:t>,</w:t>
      </w:r>
      <w:r w:rsidR="00C4481A">
        <w:rPr>
          <w:lang w:val="fr-FR"/>
        </w:rPr>
        <w:t xml:space="preserve"> 50 </w:t>
      </w:r>
      <w:r w:rsidRPr="00C70EFF">
        <w:rPr>
          <w:lang w:val="fr-FR"/>
        </w:rPr>
        <w:t>L, B 50 R pour les projecteurs conçus pour la circulation à gauche), un échantillon du projecteur complet doit être soumis à un essai de stabilité du comportement photométrique en fonctionnement. Par “projecteur complet”, on entend l</w:t>
      </w:r>
      <w:r>
        <w:rPr>
          <w:lang w:val="fr-FR"/>
        </w:rPr>
        <w:t>’</w:t>
      </w:r>
      <w:r w:rsidRPr="00C70EFF">
        <w:rPr>
          <w:lang w:val="fr-FR"/>
        </w:rPr>
        <w:t>ensemble du projecteur lui-même, y compris le(s) ballast(s) et les parties de carrosserie et les feux environnants qui peuvent affecter sa dissipation thermique.</w:t>
      </w:r>
    </w:p>
    <w:p w:rsidR="001D4CDE" w:rsidRPr="00C70EFF" w:rsidRDefault="001D4CDE" w:rsidP="00C4481A">
      <w:pPr>
        <w:pStyle w:val="SingleTxtG"/>
        <w:keepNext/>
        <w:ind w:left="2268"/>
        <w:rPr>
          <w:lang w:val="fr-FR"/>
        </w:rPr>
      </w:pPr>
      <w:r w:rsidRPr="00C70EFF">
        <w:rPr>
          <w:lang w:val="fr-FR"/>
        </w:rPr>
        <w:t>Les essais doivent être effectués</w:t>
      </w:r>
      <w:r w:rsidR="00A1343F">
        <w:rPr>
          <w:lang w:val="fr-FR"/>
        </w:rPr>
        <w:t> :</w:t>
      </w:r>
    </w:p>
    <w:p w:rsidR="001D4CDE" w:rsidRPr="00C70EFF" w:rsidRDefault="001D4CDE" w:rsidP="002C71A7">
      <w:pPr>
        <w:pStyle w:val="SingleTxtG"/>
        <w:ind w:left="2835" w:hanging="567"/>
        <w:rPr>
          <w:lang w:val="fr-FR"/>
        </w:rPr>
      </w:pPr>
      <w:r w:rsidRPr="00C70EFF">
        <w:rPr>
          <w:lang w:val="fr-FR"/>
        </w:rPr>
        <w:t>a)</w:t>
      </w:r>
      <w:r w:rsidRPr="00C70EFF">
        <w:rPr>
          <w:lang w:val="fr-FR"/>
        </w:rPr>
        <w:tab/>
        <w:t>…</w:t>
      </w:r>
      <w:r w:rsidR="00C4481A">
        <w:rPr>
          <w:lang w:val="fr-FR"/>
        </w:rPr>
        <w:t> ;</w:t>
      </w:r>
    </w:p>
    <w:p w:rsidR="001D4CDE" w:rsidRPr="00C70EFF" w:rsidRDefault="001D4CDE" w:rsidP="002C71A7">
      <w:pPr>
        <w:pStyle w:val="SingleTxtG"/>
        <w:ind w:left="2835" w:hanging="567"/>
        <w:rPr>
          <w:lang w:val="fr-FR"/>
        </w:rPr>
      </w:pPr>
      <w:r w:rsidRPr="00C70EFF">
        <w:rPr>
          <w:lang w:val="fr-FR"/>
        </w:rPr>
        <w:t>b)</w:t>
      </w:r>
      <w:r w:rsidRPr="00C70EFF">
        <w:rPr>
          <w:lang w:val="fr-FR"/>
        </w:rPr>
        <w:tab/>
        <w:t>Dans le cas de sources lumineuses</w:t>
      </w:r>
      <w:r w:rsidR="00A1343F">
        <w:rPr>
          <w:lang w:val="fr-FR"/>
        </w:rPr>
        <w:t> :</w:t>
      </w:r>
      <w:r w:rsidRPr="00C70EFF">
        <w:rPr>
          <w:lang w:val="fr-FR"/>
        </w:rPr>
        <w:t xml:space="preserve"> en utilisant une lampe à incandescence de série, …</w:t>
      </w:r>
      <w:r w:rsidR="00F74154">
        <w:rPr>
          <w:lang w:val="fr-FR"/>
        </w:rPr>
        <w:t> »</w:t>
      </w:r>
      <w:r w:rsidRPr="00C70EFF">
        <w:rPr>
          <w:lang w:val="fr-FR"/>
        </w:rPr>
        <w:t xml:space="preserve">. </w:t>
      </w:r>
    </w:p>
    <w:p w:rsidR="001D4CDE" w:rsidRPr="00C70EFF" w:rsidRDefault="001D4CDE" w:rsidP="00F74154">
      <w:pPr>
        <w:pStyle w:val="SingleTxtG"/>
        <w:keepNext/>
        <w:ind w:left="2268" w:hanging="1134"/>
        <w:rPr>
          <w:lang w:val="fr-FR"/>
        </w:rPr>
      </w:pPr>
      <w:r w:rsidRPr="00C70EFF">
        <w:rPr>
          <w:i/>
          <w:lang w:val="fr-FR"/>
        </w:rPr>
        <w:t>Paragraphe 1.1.1.2</w:t>
      </w:r>
      <w:r w:rsidRPr="00C4481A">
        <w:rPr>
          <w:lang w:val="fr-FR"/>
        </w:rPr>
        <w:t>,</w:t>
      </w:r>
      <w:r w:rsidRPr="00C70EFF">
        <w:rPr>
          <w:i/>
          <w:lang w:val="fr-FR"/>
        </w:rPr>
        <w:t xml:space="preserve"> </w:t>
      </w:r>
      <w:r>
        <w:rPr>
          <w:lang w:val="fr-FR"/>
        </w:rPr>
        <w:t>lire</w:t>
      </w:r>
      <w:r w:rsidR="00A1343F">
        <w:rPr>
          <w:lang w:val="fr-FR"/>
        </w:rPr>
        <w:t> :</w:t>
      </w:r>
    </w:p>
    <w:p w:rsidR="001D4CDE" w:rsidRPr="00C70EFF" w:rsidRDefault="00F74154" w:rsidP="008C3302">
      <w:pPr>
        <w:pStyle w:val="SingleTxtG"/>
        <w:ind w:left="2268" w:hanging="1134"/>
        <w:rPr>
          <w:lang w:val="fr-FR"/>
        </w:rPr>
      </w:pPr>
      <w:r>
        <w:rPr>
          <w:lang w:val="fr-FR"/>
        </w:rPr>
        <w:t>« </w:t>
      </w:r>
      <w:r w:rsidR="001D4CDE" w:rsidRPr="00C70EFF">
        <w:rPr>
          <w:lang w:val="fr-FR"/>
        </w:rPr>
        <w:t>1.1.1.2</w:t>
      </w:r>
      <w:r w:rsidR="001D4CDE" w:rsidRPr="00C70EFF">
        <w:rPr>
          <w:lang w:val="fr-FR"/>
        </w:rPr>
        <w:tab/>
        <w:t>Tension d</w:t>
      </w:r>
      <w:r w:rsidR="001D4CDE">
        <w:rPr>
          <w:lang w:val="fr-FR"/>
        </w:rPr>
        <w:t>’</w:t>
      </w:r>
      <w:r w:rsidR="001D4CDE" w:rsidRPr="00C70EFF">
        <w:rPr>
          <w:lang w:val="fr-FR"/>
        </w:rPr>
        <w:t>essai</w:t>
      </w:r>
      <w:r w:rsidR="004179B4">
        <w:rPr>
          <w:lang w:val="fr-FR"/>
        </w:rPr>
        <w:t xml:space="preserve"> </w:t>
      </w:r>
    </w:p>
    <w:p w:rsidR="001D4CDE" w:rsidRPr="00C70EFF" w:rsidRDefault="001D4CDE" w:rsidP="00C4481A">
      <w:pPr>
        <w:pStyle w:val="SingleTxtG"/>
        <w:keepNext/>
        <w:ind w:left="2268"/>
        <w:rPr>
          <w:rFonts w:eastAsia="MS Mincho"/>
          <w:w w:val="102"/>
          <w:lang w:val="fr-FR"/>
        </w:rPr>
      </w:pPr>
      <w:r w:rsidRPr="00C70EFF">
        <w:rPr>
          <w:rFonts w:eastAsia="MS Mincho"/>
          <w:w w:val="102"/>
          <w:lang w:val="fr-FR"/>
        </w:rPr>
        <w:t>La tension doit être appliquée aux bornes de l</w:t>
      </w:r>
      <w:r>
        <w:rPr>
          <w:rFonts w:eastAsia="MS Mincho"/>
          <w:w w:val="102"/>
          <w:lang w:val="fr-FR"/>
        </w:rPr>
        <w:t>’</w:t>
      </w:r>
      <w:r w:rsidRPr="00C70EFF">
        <w:rPr>
          <w:rFonts w:eastAsia="MS Mincho"/>
          <w:w w:val="102"/>
          <w:lang w:val="fr-FR"/>
        </w:rPr>
        <w:t>échantillon d</w:t>
      </w:r>
      <w:r>
        <w:rPr>
          <w:rFonts w:eastAsia="MS Mincho"/>
          <w:w w:val="102"/>
          <w:lang w:val="fr-FR"/>
        </w:rPr>
        <w:t>’</w:t>
      </w:r>
      <w:r w:rsidRPr="00C70EFF">
        <w:rPr>
          <w:rFonts w:eastAsia="MS Mincho"/>
          <w:w w:val="102"/>
          <w:lang w:val="fr-FR"/>
        </w:rPr>
        <w:t>essai comme suit</w:t>
      </w:r>
      <w:r w:rsidR="00A1343F">
        <w:rPr>
          <w:rFonts w:eastAsia="MS Mincho"/>
          <w:w w:val="102"/>
          <w:lang w:val="fr-FR"/>
        </w:rPr>
        <w:t> :</w:t>
      </w:r>
    </w:p>
    <w:p w:rsidR="001D4CDE" w:rsidRPr="00C70EFF" w:rsidRDefault="001D4CDE" w:rsidP="002C71A7">
      <w:pPr>
        <w:pStyle w:val="SingleTxtG"/>
        <w:ind w:left="2835" w:hanging="567"/>
        <w:rPr>
          <w:rFonts w:eastAsia="MS Mincho"/>
          <w:lang w:val="fr-FR"/>
        </w:rPr>
      </w:pPr>
      <w:r w:rsidRPr="00C70EFF">
        <w:rPr>
          <w:rFonts w:eastAsia="MS Mincho"/>
          <w:w w:val="102"/>
          <w:lang w:val="fr-FR"/>
        </w:rPr>
        <w:t>a)</w:t>
      </w:r>
      <w:r w:rsidRPr="00C70EFF">
        <w:rPr>
          <w:rFonts w:eastAsia="MS Mincho"/>
          <w:w w:val="102"/>
          <w:lang w:val="fr-FR"/>
        </w:rPr>
        <w:tab/>
        <w:t>Dans le cas de sources lumineuses à incandescence fonctionnant directement à la tension du véhicule</w:t>
      </w:r>
      <w:r w:rsidR="00A1343F">
        <w:rPr>
          <w:rFonts w:eastAsia="MS Mincho"/>
          <w:w w:val="102"/>
          <w:lang w:val="fr-FR"/>
        </w:rPr>
        <w:t> :</w:t>
      </w:r>
      <w:r w:rsidRPr="00C70EFF">
        <w:rPr>
          <w:rFonts w:eastAsia="MS Mincho"/>
          <w:w w:val="102"/>
          <w:lang w:val="fr-FR"/>
        </w:rPr>
        <w:t xml:space="preserve"> l</w:t>
      </w:r>
      <w:r>
        <w:rPr>
          <w:rFonts w:eastAsia="MS Mincho"/>
          <w:w w:val="102"/>
          <w:lang w:val="fr-FR"/>
        </w:rPr>
        <w:t>’</w:t>
      </w:r>
      <w:r w:rsidRPr="00C70EFF">
        <w:rPr>
          <w:rFonts w:eastAsia="MS Mincho"/>
          <w:w w:val="102"/>
          <w:lang w:val="fr-FR"/>
        </w:rPr>
        <w:t>essai doit être effectué à 6,3</w:t>
      </w:r>
      <w:r w:rsidR="00C4481A">
        <w:rPr>
          <w:rFonts w:eastAsia="MS Mincho"/>
          <w:w w:val="102"/>
          <w:lang w:val="fr-FR"/>
        </w:rPr>
        <w:t> </w:t>
      </w:r>
      <w:r w:rsidRPr="00C70EFF">
        <w:rPr>
          <w:rFonts w:eastAsia="MS Mincho"/>
          <w:w w:val="102"/>
          <w:lang w:val="fr-FR"/>
        </w:rPr>
        <w:t>V, 13,2 V ou 28,0 V, selon le cas, sauf si le demandeur stipule que l</w:t>
      </w:r>
      <w:r>
        <w:rPr>
          <w:rFonts w:eastAsia="MS Mincho"/>
          <w:w w:val="102"/>
          <w:lang w:val="fr-FR"/>
        </w:rPr>
        <w:t>’</w:t>
      </w:r>
      <w:r w:rsidRPr="00C70EFF">
        <w:rPr>
          <w:rFonts w:eastAsia="MS Mincho"/>
          <w:w w:val="102"/>
          <w:lang w:val="fr-FR"/>
        </w:rPr>
        <w:t>échantillon d</w:t>
      </w:r>
      <w:r>
        <w:rPr>
          <w:rFonts w:eastAsia="MS Mincho"/>
          <w:w w:val="102"/>
          <w:lang w:val="fr-FR"/>
        </w:rPr>
        <w:t>’</w:t>
      </w:r>
      <w:r w:rsidRPr="00C70EFF">
        <w:rPr>
          <w:rFonts w:eastAsia="MS Mincho"/>
          <w:w w:val="102"/>
          <w:lang w:val="fr-FR"/>
        </w:rPr>
        <w:t xml:space="preserve">essai peut être utilisé sous une autre tension. </w:t>
      </w:r>
      <w:r w:rsidRPr="00C70EFF">
        <w:rPr>
          <w:rFonts w:eastAsia="MS Mincho"/>
          <w:lang w:val="fr-FR"/>
        </w:rPr>
        <w:t>Dans ce cas, l</w:t>
      </w:r>
      <w:r>
        <w:rPr>
          <w:rFonts w:eastAsia="MS Mincho"/>
          <w:lang w:val="fr-FR"/>
        </w:rPr>
        <w:t>’</w:t>
      </w:r>
      <w:r w:rsidRPr="00C70EFF">
        <w:rPr>
          <w:rFonts w:eastAsia="MS Mincho"/>
          <w:lang w:val="fr-FR"/>
        </w:rPr>
        <w:t xml:space="preserve">essai doit être effectué avec la source lumineuse à incandescence dont la puissance est la plus </w:t>
      </w:r>
      <w:r w:rsidR="002C71A7">
        <w:rPr>
          <w:rFonts w:eastAsia="MS Mincho"/>
          <w:lang w:val="fr-FR"/>
        </w:rPr>
        <w:t>élevée qui puisse être utilisée ;</w:t>
      </w:r>
    </w:p>
    <w:p w:rsidR="001D4CDE" w:rsidRPr="00C70EFF" w:rsidRDefault="001D4CDE" w:rsidP="002C71A7">
      <w:pPr>
        <w:pStyle w:val="SingleTxtG"/>
        <w:ind w:left="2835" w:hanging="567"/>
        <w:rPr>
          <w:rFonts w:eastAsia="MS Mincho"/>
          <w:w w:val="102"/>
          <w:lang w:val="fr-FR"/>
        </w:rPr>
      </w:pPr>
      <w:r w:rsidRPr="00C70EFF">
        <w:rPr>
          <w:rFonts w:eastAsia="MS Mincho"/>
          <w:w w:val="102"/>
          <w:lang w:val="fr-FR"/>
        </w:rPr>
        <w:t>b)</w:t>
      </w:r>
      <w:r w:rsidRPr="00C70EFF">
        <w:rPr>
          <w:rFonts w:eastAsia="MS Mincho"/>
          <w:w w:val="102"/>
          <w:lang w:val="fr-FR"/>
        </w:rPr>
        <w:tab/>
      </w:r>
      <w:r w:rsidRPr="00C70EFF">
        <w:rPr>
          <w:rFonts w:eastAsia="MS Mincho"/>
          <w:w w:val="102"/>
          <w:lang w:val="fr-FR"/>
        </w:rPr>
        <w:tab/>
        <w:t>Dans le cas de sources lumineuses à décharge</w:t>
      </w:r>
      <w:r w:rsidR="00A1343F">
        <w:rPr>
          <w:rFonts w:eastAsia="MS Mincho"/>
          <w:w w:val="102"/>
          <w:lang w:val="fr-FR"/>
        </w:rPr>
        <w:t> :</w:t>
      </w:r>
      <w:r w:rsidRPr="00C70EFF">
        <w:rPr>
          <w:rFonts w:eastAsia="MS Mincho"/>
          <w:w w:val="102"/>
          <w:lang w:val="fr-FR"/>
        </w:rPr>
        <w:t xml:space="preserve"> la tension d</w:t>
      </w:r>
      <w:r>
        <w:rPr>
          <w:rFonts w:eastAsia="MS Mincho"/>
          <w:w w:val="102"/>
          <w:lang w:val="fr-FR"/>
        </w:rPr>
        <w:t>’</w:t>
      </w:r>
      <w:r w:rsidRPr="00C70EFF">
        <w:rPr>
          <w:rFonts w:eastAsia="MS Mincho"/>
          <w:w w:val="102"/>
          <w:lang w:val="fr-FR"/>
        </w:rPr>
        <w:t>essai de leur co</w:t>
      </w:r>
      <w:r w:rsidR="00C4481A">
        <w:rPr>
          <w:rFonts w:eastAsia="MS Mincho"/>
          <w:w w:val="102"/>
          <w:lang w:val="fr-FR"/>
        </w:rPr>
        <w:t>mmande électronique est de 13,2 </w:t>
      </w:r>
      <w:r w:rsidR="00C4481A">
        <w:rPr>
          <w:rFonts w:eastAsia="MS Mincho"/>
          <w:w w:val="102"/>
          <w:lang w:val="fr-FR"/>
        </w:rPr>
        <w:sym w:font="Symbol" w:char="F0B1"/>
      </w:r>
      <w:r w:rsidR="00C4481A">
        <w:rPr>
          <w:rFonts w:eastAsia="MS Mincho"/>
          <w:w w:val="102"/>
          <w:lang w:val="fr-FR"/>
        </w:rPr>
        <w:t> 0,1 </w:t>
      </w:r>
      <w:r w:rsidRPr="00C70EFF">
        <w:rPr>
          <w:rFonts w:eastAsia="MS Mincho"/>
          <w:w w:val="102"/>
          <w:lang w:val="fr-FR"/>
        </w:rPr>
        <w:t>V pour un véhicule fonctionnant sous un</w:t>
      </w:r>
      <w:r w:rsidR="00C4481A">
        <w:rPr>
          <w:rFonts w:eastAsia="MS Mincho"/>
          <w:w w:val="102"/>
          <w:lang w:val="fr-FR"/>
        </w:rPr>
        <w:t>e tension de 12 </w:t>
      </w:r>
      <w:r w:rsidRPr="00C70EFF">
        <w:rPr>
          <w:rFonts w:eastAsia="MS Mincho"/>
          <w:w w:val="102"/>
          <w:lang w:val="fr-FR"/>
        </w:rPr>
        <w:t>V, sauf indications contraires dans la demande d</w:t>
      </w:r>
      <w:r>
        <w:rPr>
          <w:rFonts w:eastAsia="MS Mincho"/>
          <w:w w:val="102"/>
          <w:lang w:val="fr-FR"/>
        </w:rPr>
        <w:t>’</w:t>
      </w:r>
      <w:r w:rsidR="002C71A7">
        <w:rPr>
          <w:rFonts w:eastAsia="MS Mincho"/>
          <w:w w:val="102"/>
          <w:lang w:val="fr-FR"/>
        </w:rPr>
        <w:t>homologation ;</w:t>
      </w:r>
    </w:p>
    <w:p w:rsidR="001D4CDE" w:rsidRPr="00C70EFF" w:rsidRDefault="001D4CDE" w:rsidP="002C71A7">
      <w:pPr>
        <w:pStyle w:val="SingleTxtG"/>
        <w:ind w:left="2835" w:hanging="567"/>
        <w:rPr>
          <w:rFonts w:eastAsia="MS Mincho"/>
          <w:lang w:val="fr-FR"/>
        </w:rPr>
      </w:pPr>
      <w:r w:rsidRPr="00C70EFF">
        <w:rPr>
          <w:rFonts w:eastAsia="MS Mincho"/>
          <w:w w:val="102"/>
          <w:lang w:val="fr-FR"/>
        </w:rPr>
        <w:t>c)</w:t>
      </w:r>
      <w:r w:rsidRPr="00C70EFF">
        <w:rPr>
          <w:rFonts w:eastAsia="MS Mincho"/>
          <w:w w:val="102"/>
          <w:lang w:val="fr-FR"/>
        </w:rPr>
        <w:tab/>
      </w:r>
      <w:r w:rsidRPr="00C70EFF">
        <w:rPr>
          <w:rFonts w:eastAsia="MS Mincho"/>
          <w:lang w:val="fr-FR"/>
        </w:rPr>
        <w:tab/>
        <w:t>Dans le cas de sources lumineuses fonctionnant indépendamment de la tension d</w:t>
      </w:r>
      <w:r>
        <w:rPr>
          <w:rFonts w:eastAsia="MS Mincho"/>
          <w:lang w:val="fr-FR"/>
        </w:rPr>
        <w:t>’</w:t>
      </w:r>
      <w:r w:rsidRPr="00C70EFF">
        <w:rPr>
          <w:rFonts w:eastAsia="MS Mincho"/>
          <w:lang w:val="fr-FR"/>
        </w:rPr>
        <w:t>alimentation du véhicule et entièrement commandées par le système, ou dans le cas de sources lumineuses actionnées par un dispositif d</w:t>
      </w:r>
      <w:r>
        <w:rPr>
          <w:rFonts w:eastAsia="MS Mincho"/>
          <w:lang w:val="fr-FR"/>
        </w:rPr>
        <w:t>’</w:t>
      </w:r>
      <w:r w:rsidRPr="00C70EFF">
        <w:rPr>
          <w:rFonts w:eastAsia="MS Mincho"/>
          <w:lang w:val="fr-FR"/>
        </w:rPr>
        <w:t>alimentation et de fonctionnement, les tensions d</w:t>
      </w:r>
      <w:r>
        <w:rPr>
          <w:rFonts w:eastAsia="MS Mincho"/>
          <w:lang w:val="fr-FR"/>
        </w:rPr>
        <w:t>’</w:t>
      </w:r>
      <w:r w:rsidRPr="00C70EFF">
        <w:rPr>
          <w:rFonts w:eastAsia="MS Mincho"/>
          <w:lang w:val="fr-FR"/>
        </w:rPr>
        <w:t>essai définies ci-dessus doivent être appliquées aux bornes du…</w:t>
      </w:r>
      <w:r w:rsidR="00F74154">
        <w:rPr>
          <w:rFonts w:eastAsia="MS Mincho"/>
          <w:lang w:val="fr-FR"/>
        </w:rPr>
        <w:t> »</w:t>
      </w:r>
      <w:r w:rsidRPr="00C70EFF">
        <w:rPr>
          <w:rFonts w:eastAsia="MS Mincho"/>
          <w:lang w:val="fr-FR"/>
        </w:rPr>
        <w:t>.</w:t>
      </w:r>
    </w:p>
    <w:p w:rsidR="001D4CDE" w:rsidRPr="00C70EFF" w:rsidRDefault="001D4CDE" w:rsidP="00F74154">
      <w:pPr>
        <w:pStyle w:val="SingleTxtG"/>
        <w:keepNext/>
        <w:ind w:left="2268" w:hanging="1134"/>
        <w:rPr>
          <w:lang w:val="fr-FR"/>
        </w:rPr>
      </w:pPr>
      <w:r w:rsidRPr="00C70EFF">
        <w:rPr>
          <w:bCs/>
          <w:i/>
          <w:lang w:val="fr-FR"/>
        </w:rPr>
        <w:t>Paragraphe 1.2.1.1.2</w:t>
      </w:r>
      <w:r w:rsidRPr="00C4481A">
        <w:rPr>
          <w:bCs/>
          <w:lang w:val="fr-FR"/>
        </w:rPr>
        <w:t>,</w:t>
      </w:r>
      <w:r w:rsidRPr="00C4481A">
        <w:rPr>
          <w:b/>
          <w:bCs/>
          <w:lang w:val="fr-FR"/>
        </w:rPr>
        <w:t xml:space="preserve"> </w:t>
      </w:r>
      <w:r>
        <w:rPr>
          <w:bCs/>
          <w:lang w:val="fr-FR"/>
        </w:rPr>
        <w:t>lire</w:t>
      </w:r>
      <w:r w:rsidR="00A1343F">
        <w:rPr>
          <w:bCs/>
          <w:lang w:val="fr-FR"/>
        </w:rPr>
        <w:t> :</w:t>
      </w:r>
    </w:p>
    <w:p w:rsidR="001D4CDE" w:rsidRPr="00C70EFF" w:rsidRDefault="00F74154" w:rsidP="00C4481A">
      <w:pPr>
        <w:pStyle w:val="SingleTxtG"/>
        <w:keepNext/>
        <w:ind w:left="2268" w:hanging="1134"/>
        <w:rPr>
          <w:lang w:val="fr-FR"/>
        </w:rPr>
      </w:pPr>
      <w:r>
        <w:rPr>
          <w:lang w:val="fr-FR"/>
        </w:rPr>
        <w:t>« </w:t>
      </w:r>
      <w:r w:rsidR="001D4CDE" w:rsidRPr="00C70EFF">
        <w:rPr>
          <w:lang w:val="fr-FR"/>
        </w:rPr>
        <w:t>1.2.1.1.2</w:t>
      </w:r>
      <w:r w:rsidR="001D4CDE" w:rsidRPr="00C70EFF">
        <w:rPr>
          <w:lang w:val="fr-FR"/>
        </w:rPr>
        <w:tab/>
        <w:t>Pour un projecteur à glace extérieure en matière plastique</w:t>
      </w:r>
      <w:r w:rsidR="00A1343F">
        <w:rPr>
          <w:lang w:val="fr-FR"/>
        </w:rPr>
        <w:t> :</w:t>
      </w:r>
    </w:p>
    <w:p w:rsidR="001D4CDE" w:rsidRPr="00C70EFF" w:rsidRDefault="001D4CDE" w:rsidP="00C4481A">
      <w:pPr>
        <w:pStyle w:val="SingleTxtG"/>
        <w:keepNext/>
        <w:ind w:left="2268"/>
        <w:rPr>
          <w:lang w:val="fr-FR"/>
        </w:rPr>
      </w:pPr>
      <w:r w:rsidRPr="00C70EFF">
        <w:rPr>
          <w:lang w:val="fr-FR"/>
        </w:rPr>
        <w:t>Le mélange d</w:t>
      </w:r>
      <w:r>
        <w:rPr>
          <w:lang w:val="fr-FR"/>
        </w:rPr>
        <w:t>’</w:t>
      </w:r>
      <w:r w:rsidRPr="00C70EFF">
        <w:rPr>
          <w:lang w:val="fr-FR"/>
        </w:rPr>
        <w:t>eau et de polluant à appliquer sur le projecteur est constitué de</w:t>
      </w:r>
      <w:r w:rsidR="00A1343F">
        <w:rPr>
          <w:lang w:val="fr-FR"/>
        </w:rPr>
        <w:t> :</w:t>
      </w:r>
    </w:p>
    <w:p w:rsidR="001D4CDE" w:rsidRPr="00C70EFF" w:rsidRDefault="00C4481A" w:rsidP="002C71A7">
      <w:pPr>
        <w:pStyle w:val="SingleTxtG"/>
        <w:ind w:left="2835" w:hanging="567"/>
        <w:rPr>
          <w:lang w:val="fr-FR"/>
        </w:rPr>
      </w:pPr>
      <w:r>
        <w:rPr>
          <w:lang w:val="fr-FR"/>
        </w:rPr>
        <w:t>a)</w:t>
      </w:r>
      <w:r>
        <w:rPr>
          <w:lang w:val="fr-FR"/>
        </w:rPr>
        <w:tab/>
        <w:t>9 </w:t>
      </w:r>
      <w:r w:rsidR="001D4CDE" w:rsidRPr="00C70EFF">
        <w:rPr>
          <w:lang w:val="fr-FR"/>
        </w:rPr>
        <w:t>parties (en poids) de sable siliceux ayant une granul</w:t>
      </w:r>
      <w:r>
        <w:rPr>
          <w:lang w:val="fr-FR"/>
        </w:rPr>
        <w:t>ométrie comprise entre 0 et 100 </w:t>
      </w:r>
      <w:r w:rsidR="001D4CDE" w:rsidRPr="00C70EFF">
        <w:rPr>
          <w:lang w:val="fr-FR"/>
        </w:rPr>
        <w:t>micromètres</w:t>
      </w:r>
      <w:r w:rsidR="00A1343F">
        <w:rPr>
          <w:lang w:val="fr-FR"/>
        </w:rPr>
        <w:t> ;</w:t>
      </w:r>
    </w:p>
    <w:p w:rsidR="001D4CDE" w:rsidRPr="00C70EFF" w:rsidRDefault="001D4CDE" w:rsidP="002C71A7">
      <w:pPr>
        <w:pStyle w:val="SingleTxtG"/>
        <w:ind w:left="2835" w:hanging="567"/>
        <w:rPr>
          <w:lang w:val="fr-FR"/>
        </w:rPr>
      </w:pPr>
      <w:r w:rsidRPr="00C70EFF">
        <w:rPr>
          <w:lang w:val="fr-FR"/>
        </w:rPr>
        <w:t>b)</w:t>
      </w:r>
      <w:r w:rsidRPr="00C70EFF">
        <w:rPr>
          <w:lang w:val="fr-FR"/>
        </w:rPr>
        <w:tab/>
        <w:t>Une partie (en poids) de poussière de charbon végétal produite à partir de bois de hêtre et ayant une granulométrie comprise entre 0 et 100</w:t>
      </w:r>
      <w:r w:rsidR="00C4481A">
        <w:rPr>
          <w:lang w:val="fr-FR"/>
        </w:rPr>
        <w:t> </w:t>
      </w:r>
      <w:r w:rsidRPr="00C70EFF">
        <w:rPr>
          <w:lang w:val="fr-FR"/>
        </w:rPr>
        <w:t>micromètres</w:t>
      </w:r>
      <w:r w:rsidR="00A1343F">
        <w:rPr>
          <w:lang w:val="fr-FR"/>
        </w:rPr>
        <w:t> ;</w:t>
      </w:r>
    </w:p>
    <w:p w:rsidR="001D4CDE" w:rsidRPr="00C70EFF" w:rsidRDefault="001D4CDE" w:rsidP="002C71A7">
      <w:pPr>
        <w:pStyle w:val="SingleTxtG"/>
        <w:ind w:left="2835" w:hanging="567"/>
        <w:rPr>
          <w:lang w:val="fr-FR"/>
        </w:rPr>
      </w:pPr>
      <w:r w:rsidRPr="00C70EFF">
        <w:rPr>
          <w:lang w:val="fr-FR"/>
        </w:rPr>
        <w:lastRenderedPageBreak/>
        <w:t>c)</w:t>
      </w:r>
      <w:r w:rsidRPr="00C70EFF">
        <w:rPr>
          <w:lang w:val="fr-FR"/>
        </w:rPr>
        <w:tab/>
        <w:t>0,2</w:t>
      </w:r>
      <w:r w:rsidR="00C4481A">
        <w:rPr>
          <w:lang w:val="fr-FR"/>
        </w:rPr>
        <w:t> </w:t>
      </w:r>
      <w:r w:rsidRPr="00C70EFF">
        <w:rPr>
          <w:lang w:val="fr-FR"/>
        </w:rPr>
        <w:t>partie (en poids) de NaCMC</w:t>
      </w:r>
      <w:r w:rsidRPr="00C4481A">
        <w:rPr>
          <w:vertAlign w:val="superscript"/>
          <w:lang w:val="fr-FR"/>
        </w:rPr>
        <w:t>3</w:t>
      </w:r>
      <w:r w:rsidR="00A1343F">
        <w:rPr>
          <w:lang w:val="fr-FR"/>
        </w:rPr>
        <w:t> ;</w:t>
      </w:r>
    </w:p>
    <w:p w:rsidR="001D4CDE" w:rsidRPr="00C70EFF" w:rsidRDefault="00C4481A" w:rsidP="002C71A7">
      <w:pPr>
        <w:pStyle w:val="SingleTxtG"/>
        <w:ind w:left="2835" w:hanging="567"/>
        <w:rPr>
          <w:lang w:val="fr-FR"/>
        </w:rPr>
      </w:pPr>
      <w:r>
        <w:rPr>
          <w:lang w:val="fr-FR"/>
        </w:rPr>
        <w:t>d)</w:t>
      </w:r>
      <w:r>
        <w:rPr>
          <w:lang w:val="fr-FR"/>
        </w:rPr>
        <w:tab/>
        <w:t>5 </w:t>
      </w:r>
      <w:r w:rsidR="001D4CDE" w:rsidRPr="00C70EFF">
        <w:rPr>
          <w:lang w:val="fr-FR"/>
        </w:rPr>
        <w:t>parties (en poids) de chlorure de sodium (pur à 99 %)</w:t>
      </w:r>
      <w:r w:rsidR="00A1343F">
        <w:rPr>
          <w:lang w:val="fr-FR"/>
        </w:rPr>
        <w:t> ;</w:t>
      </w:r>
    </w:p>
    <w:p w:rsidR="001D4CDE" w:rsidRPr="00C70EFF" w:rsidRDefault="00C4481A" w:rsidP="002C71A7">
      <w:pPr>
        <w:pStyle w:val="SingleTxtG"/>
        <w:ind w:left="2835" w:hanging="567"/>
        <w:rPr>
          <w:lang w:val="fr-FR"/>
        </w:rPr>
      </w:pPr>
      <w:r>
        <w:rPr>
          <w:lang w:val="fr-FR"/>
        </w:rPr>
        <w:t>e)</w:t>
      </w:r>
      <w:r>
        <w:rPr>
          <w:lang w:val="fr-FR"/>
        </w:rPr>
        <w:tab/>
        <w:t>13 </w:t>
      </w:r>
      <w:r w:rsidR="001D4CDE" w:rsidRPr="00C70EFF">
        <w:rPr>
          <w:lang w:val="fr-FR"/>
        </w:rPr>
        <w:t>parties (en poids) d</w:t>
      </w:r>
      <w:r w:rsidR="001D4CDE">
        <w:rPr>
          <w:lang w:val="fr-FR"/>
        </w:rPr>
        <w:t>’</w:t>
      </w:r>
      <w:r w:rsidR="001D4CDE" w:rsidRPr="00C70EFF">
        <w:rPr>
          <w:lang w:val="fr-FR"/>
        </w:rPr>
        <w:t>eau dis</w:t>
      </w:r>
      <w:r>
        <w:rPr>
          <w:lang w:val="fr-FR"/>
        </w:rPr>
        <w:t>tillée ayant une conductivité ≤ </w:t>
      </w:r>
      <w:r w:rsidR="001D4CDE" w:rsidRPr="00C70EFF">
        <w:rPr>
          <w:lang w:val="fr-FR"/>
        </w:rPr>
        <w:t>1</w:t>
      </w:r>
      <w:r>
        <w:rPr>
          <w:lang w:val="fr-FR"/>
        </w:rPr>
        <w:t> </w:t>
      </w:r>
      <w:r w:rsidR="00017036">
        <w:rPr>
          <w:lang w:val="fr-FR"/>
        </w:rPr>
        <w:t>m</w:t>
      </w:r>
      <w:r w:rsidR="001D4CDE" w:rsidRPr="00C70EFF">
        <w:rPr>
          <w:lang w:val="fr-FR"/>
        </w:rPr>
        <w:t>S/m</w:t>
      </w:r>
      <w:r w:rsidR="00A1343F">
        <w:rPr>
          <w:lang w:val="fr-FR"/>
        </w:rPr>
        <w:t> ;</w:t>
      </w:r>
      <w:r w:rsidR="001D4CDE" w:rsidRPr="00C70EFF">
        <w:rPr>
          <w:lang w:val="fr-FR"/>
        </w:rPr>
        <w:t xml:space="preserve"> et </w:t>
      </w:r>
    </w:p>
    <w:p w:rsidR="001D4CDE" w:rsidRPr="00C70EFF" w:rsidRDefault="001D4CDE" w:rsidP="002C71A7">
      <w:pPr>
        <w:pStyle w:val="SingleTxtG"/>
        <w:ind w:left="2835" w:hanging="567"/>
        <w:rPr>
          <w:lang w:val="fr-FR"/>
        </w:rPr>
      </w:pPr>
      <w:r w:rsidRPr="00C70EFF">
        <w:rPr>
          <w:lang w:val="fr-FR"/>
        </w:rPr>
        <w:t>f)</w:t>
      </w:r>
      <w:r w:rsidRPr="00C70EFF">
        <w:rPr>
          <w:lang w:val="fr-FR"/>
        </w:rPr>
        <w:tab/>
        <w:t xml:space="preserve">2 </w:t>
      </w:r>
      <w:r w:rsidR="00C4481A">
        <w:rPr>
          <w:lang w:val="fr-FR"/>
        </w:rPr>
        <w:sym w:font="Symbol" w:char="F0B1"/>
      </w:r>
      <w:r w:rsidRPr="00C70EFF">
        <w:rPr>
          <w:lang w:val="fr-FR"/>
        </w:rPr>
        <w:t xml:space="preserve"> 1 parties (en poids) d</w:t>
      </w:r>
      <w:r>
        <w:rPr>
          <w:lang w:val="fr-FR"/>
        </w:rPr>
        <w:t>’</w:t>
      </w:r>
      <w:r w:rsidRPr="00C70EFF">
        <w:rPr>
          <w:lang w:val="fr-FR"/>
        </w:rPr>
        <w:t>agent tensioactif.</w:t>
      </w:r>
      <w:r w:rsidRPr="00C70EFF">
        <w:rPr>
          <w:vertAlign w:val="superscript"/>
          <w:lang w:val="fr-FR"/>
        </w:rPr>
        <w:t>4</w:t>
      </w:r>
    </w:p>
    <w:p w:rsidR="001D4CDE" w:rsidRPr="00C70EFF" w:rsidRDefault="001D4CDE" w:rsidP="002C71A7">
      <w:pPr>
        <w:pStyle w:val="SingleTxtG"/>
        <w:ind w:left="2835" w:hanging="567"/>
        <w:rPr>
          <w:lang w:val="fr-FR"/>
        </w:rPr>
      </w:pPr>
      <w:r w:rsidRPr="00C70EFF">
        <w:rPr>
          <w:lang w:val="fr-FR"/>
        </w:rPr>
        <w:t>Le mélange ne doit pas dater de plus de 14 jours.</w:t>
      </w:r>
      <w:r w:rsidR="00F74154">
        <w:rPr>
          <w:lang w:val="fr-FR"/>
        </w:rPr>
        <w:t> »</w:t>
      </w:r>
      <w:r w:rsidRPr="00C70EFF">
        <w:rPr>
          <w:lang w:val="fr-FR"/>
        </w:rPr>
        <w:t>.</w:t>
      </w:r>
    </w:p>
    <w:p w:rsidR="001D4CDE" w:rsidRPr="00C70EFF" w:rsidRDefault="001D4CDE" w:rsidP="00C4481A">
      <w:pPr>
        <w:pStyle w:val="SingleTxtG"/>
        <w:keepNext/>
        <w:ind w:left="2268" w:hanging="1134"/>
        <w:rPr>
          <w:lang w:val="fr-FR"/>
        </w:rPr>
      </w:pPr>
      <w:r w:rsidRPr="00C70EFF">
        <w:rPr>
          <w:i/>
          <w:iCs/>
          <w:lang w:val="fr-FR"/>
        </w:rPr>
        <w:t>Paragraphes 2.2.1 et 2.2.2</w:t>
      </w:r>
      <w:r w:rsidRPr="00C4481A">
        <w:rPr>
          <w:iCs/>
          <w:lang w:val="fr-FR"/>
        </w:rPr>
        <w:t>,</w:t>
      </w:r>
      <w:r w:rsidRPr="00C70EFF">
        <w:rPr>
          <w:lang w:val="fr-FR"/>
        </w:rPr>
        <w:t xml:space="preserve"> </w:t>
      </w:r>
      <w:r>
        <w:rPr>
          <w:lang w:val="fr-FR"/>
        </w:rPr>
        <w:t>lire</w:t>
      </w:r>
      <w:r w:rsidR="00A1343F">
        <w:rPr>
          <w:lang w:val="fr-FR"/>
        </w:rPr>
        <w:t> :</w:t>
      </w:r>
    </w:p>
    <w:p w:rsidR="001D4CDE" w:rsidRPr="00C70EFF" w:rsidRDefault="00F74154" w:rsidP="008C3302">
      <w:pPr>
        <w:pStyle w:val="SingleTxtG"/>
        <w:ind w:left="2268" w:hanging="1134"/>
        <w:rPr>
          <w:lang w:val="fr-FR" w:eastAsia="ja-JP"/>
        </w:rPr>
      </w:pPr>
      <w:r>
        <w:rPr>
          <w:lang w:val="fr-FR"/>
        </w:rPr>
        <w:t>« </w:t>
      </w:r>
      <w:r w:rsidR="001D4CDE" w:rsidRPr="00C70EFF">
        <w:rPr>
          <w:lang w:val="fr-FR"/>
        </w:rPr>
        <w:t>2.2.1</w:t>
      </w:r>
      <w:r w:rsidR="001D4CDE" w:rsidRPr="00C70EFF">
        <w:rPr>
          <w:lang w:val="fr-FR"/>
        </w:rPr>
        <w:tab/>
      </w:r>
      <w:r w:rsidR="001D4CDE" w:rsidRPr="00C70EFF">
        <w:rPr>
          <w:lang w:val="fr-FR" w:eastAsia="ja-JP"/>
        </w:rPr>
        <w:tab/>
        <w:t>Le résultat exprimé en milliradians (mrad) est considéré comme acceptable pour un feu de croisement quand la valeur absolue Δ</w:t>
      </w:r>
      <w:r w:rsidR="00017036">
        <w:rPr>
          <w:lang w:val="fr-FR" w:eastAsia="ja-JP"/>
        </w:rPr>
        <w:t> </w:t>
      </w:r>
      <w:r w:rsidR="001D4CDE" w:rsidRPr="00C70EFF">
        <w:rPr>
          <w:lang w:val="fr-FR" w:eastAsia="ja-JP"/>
        </w:rPr>
        <w:t>r</w:t>
      </w:r>
      <w:r w:rsidR="001D4CDE" w:rsidRPr="00017036">
        <w:rPr>
          <w:vertAlign w:val="subscript"/>
          <w:lang w:val="fr-FR" w:eastAsia="ja-JP"/>
        </w:rPr>
        <w:t>1</w:t>
      </w:r>
      <w:r w:rsidR="0061346A">
        <w:rPr>
          <w:lang w:val="fr-FR" w:eastAsia="ja-JP"/>
        </w:rPr>
        <w:t> </w:t>
      </w:r>
      <w:r w:rsidR="001D4CDE" w:rsidRPr="00C70EFF">
        <w:rPr>
          <w:lang w:val="fr-FR" w:eastAsia="ja-JP"/>
        </w:rPr>
        <w:t>=</w:t>
      </w:r>
      <w:r w:rsidR="0061346A">
        <w:rPr>
          <w:lang w:val="fr-FR" w:eastAsia="ja-JP"/>
        </w:rPr>
        <w:t> </w:t>
      </w:r>
      <w:r w:rsidR="001D4CDE" w:rsidRPr="00C70EFF">
        <w:rPr>
          <w:lang w:val="fr-FR" w:eastAsia="ja-JP"/>
        </w:rPr>
        <w:t>│</w:t>
      </w:r>
      <w:r w:rsidR="0061346A">
        <w:rPr>
          <w:lang w:val="fr-FR" w:eastAsia="ja-JP"/>
        </w:rPr>
        <w:t> </w:t>
      </w:r>
      <w:r w:rsidR="001D4CDE" w:rsidRPr="00C70EFF">
        <w:rPr>
          <w:lang w:val="fr-FR" w:eastAsia="ja-JP"/>
        </w:rPr>
        <w:t>r</w:t>
      </w:r>
      <w:r w:rsidR="001D4CDE" w:rsidRPr="00017036">
        <w:rPr>
          <w:vertAlign w:val="subscript"/>
          <w:lang w:val="fr-FR" w:eastAsia="ja-JP"/>
        </w:rPr>
        <w:t>3</w:t>
      </w:r>
      <w:r w:rsidR="001D4CDE" w:rsidRPr="00C70EFF">
        <w:rPr>
          <w:lang w:val="fr-FR" w:eastAsia="ja-JP"/>
        </w:rPr>
        <w:t xml:space="preserve"> – r</w:t>
      </w:r>
      <w:r w:rsidR="001D4CDE" w:rsidRPr="00017036">
        <w:rPr>
          <w:vertAlign w:val="subscript"/>
          <w:lang w:val="fr-FR" w:eastAsia="ja-JP"/>
        </w:rPr>
        <w:t>60</w:t>
      </w:r>
      <w:r w:rsidR="0061346A">
        <w:rPr>
          <w:lang w:val="fr-FR" w:eastAsia="ja-JP"/>
        </w:rPr>
        <w:t> </w:t>
      </w:r>
      <w:r w:rsidR="001D4CDE" w:rsidRPr="00C70EFF">
        <w:rPr>
          <w:lang w:val="fr-FR" w:eastAsia="ja-JP"/>
        </w:rPr>
        <w:t>│ enregistrée sur le projecteur n</w:t>
      </w:r>
      <w:r w:rsidR="001D4CDE">
        <w:rPr>
          <w:lang w:val="fr-FR" w:eastAsia="ja-JP"/>
        </w:rPr>
        <w:t>’</w:t>
      </w:r>
      <w:r w:rsidR="001D4CDE" w:rsidRPr="00C70EFF">
        <w:rPr>
          <w:lang w:val="fr-FR" w:eastAsia="ja-JP"/>
        </w:rPr>
        <w:t>est pas supérieure à 1,0 mrad (Δ</w:t>
      </w:r>
      <w:r w:rsidR="00017036">
        <w:rPr>
          <w:lang w:val="fr-FR" w:eastAsia="ja-JP"/>
        </w:rPr>
        <w:t> </w:t>
      </w:r>
      <w:r w:rsidR="001D4CDE" w:rsidRPr="00C70EFF">
        <w:rPr>
          <w:lang w:val="fr-FR" w:eastAsia="ja-JP"/>
        </w:rPr>
        <w:t>r</w:t>
      </w:r>
      <w:r w:rsidR="001D4CDE" w:rsidRPr="00017036">
        <w:rPr>
          <w:vertAlign w:val="subscript"/>
          <w:lang w:val="fr-FR" w:eastAsia="ja-JP"/>
        </w:rPr>
        <w:t>1</w:t>
      </w:r>
      <w:r w:rsidR="001D4CDE" w:rsidRPr="00C70EFF">
        <w:rPr>
          <w:lang w:val="fr-FR" w:eastAsia="ja-JP"/>
        </w:rPr>
        <w:t xml:space="preserve"> ≤ 1,0 mrad) vers le haut ni à 2,0 mrad (Δ</w:t>
      </w:r>
      <w:r w:rsidR="00017036">
        <w:rPr>
          <w:lang w:val="fr-FR" w:eastAsia="ja-JP"/>
        </w:rPr>
        <w:t> </w:t>
      </w:r>
      <w:r w:rsidR="001D4CDE" w:rsidRPr="00C70EFF">
        <w:rPr>
          <w:lang w:val="fr-FR" w:eastAsia="ja-JP"/>
        </w:rPr>
        <w:t>r</w:t>
      </w:r>
      <w:r w:rsidR="001D4CDE" w:rsidRPr="00017036">
        <w:rPr>
          <w:vertAlign w:val="subscript"/>
          <w:lang w:val="fr-FR" w:eastAsia="ja-JP"/>
        </w:rPr>
        <w:t>1</w:t>
      </w:r>
      <w:r w:rsidR="001D4CDE" w:rsidRPr="00C70EFF">
        <w:rPr>
          <w:lang w:val="fr-FR" w:eastAsia="ja-JP"/>
        </w:rPr>
        <w:t xml:space="preserve"> ≤ 2,0 mrad) vers le bas.</w:t>
      </w:r>
    </w:p>
    <w:p w:rsidR="001D4CDE" w:rsidRPr="00C70EFF" w:rsidRDefault="001D4CDE" w:rsidP="0061346A">
      <w:pPr>
        <w:pStyle w:val="SingleTxtG"/>
        <w:keepNext/>
        <w:ind w:left="2268" w:hanging="1134"/>
        <w:rPr>
          <w:lang w:val="fr-FR" w:eastAsia="ja-JP"/>
        </w:rPr>
      </w:pPr>
      <w:r w:rsidRPr="00C70EFF">
        <w:rPr>
          <w:lang w:val="fr-FR"/>
        </w:rPr>
        <w:t>2.2.2</w:t>
      </w:r>
      <w:r w:rsidRPr="00C70EFF">
        <w:rPr>
          <w:lang w:val="fr-FR"/>
        </w:rPr>
        <w:tab/>
        <w:t>Cependant, si cette valeur est</w:t>
      </w:r>
      <w:r w:rsidR="00A1343F">
        <w:rPr>
          <w:lang w:val="fr-FR" w:eastAsia="ja-JP"/>
        </w:rPr>
        <w:t>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4252"/>
      </w:tblGrid>
      <w:tr w:rsidR="0061346A" w:rsidRPr="00C70EFF" w:rsidTr="001A31BF">
        <w:tc>
          <w:tcPr>
            <w:tcW w:w="7371" w:type="dxa"/>
            <w:gridSpan w:val="2"/>
          </w:tcPr>
          <w:p w:rsidR="0061346A" w:rsidRPr="00C70EFF" w:rsidRDefault="0061346A" w:rsidP="0061346A">
            <w:pPr>
              <w:widowControl w:val="0"/>
              <w:tabs>
                <w:tab w:val="left" w:pos="1851"/>
                <w:tab w:val="left" w:pos="2268"/>
                <w:tab w:val="left" w:pos="2475"/>
                <w:tab w:val="left" w:pos="3627"/>
                <w:tab w:val="left" w:pos="4779"/>
                <w:tab w:val="left" w:pos="5931"/>
                <w:tab w:val="left" w:pos="7083"/>
                <w:tab w:val="left" w:pos="8235"/>
              </w:tabs>
              <w:kinsoku/>
              <w:overflowPunct/>
              <w:autoSpaceDE/>
              <w:autoSpaceDN/>
              <w:adjustRightInd/>
              <w:snapToGrid/>
              <w:spacing w:before="60" w:after="60" w:line="240" w:lineRule="auto"/>
              <w:ind w:left="57" w:right="57"/>
              <w:jc w:val="both"/>
              <w:rPr>
                <w:lang w:val="fr-FR" w:eastAsia="ja-JP"/>
              </w:rPr>
            </w:pPr>
            <w:r w:rsidRPr="00C70EFF">
              <w:rPr>
                <w:i/>
                <w:sz w:val="16"/>
                <w:szCs w:val="16"/>
                <w:lang w:val="fr-FR" w:eastAsia="ja-JP"/>
              </w:rPr>
              <w:t>Sens de déplacement</w:t>
            </w:r>
          </w:p>
        </w:tc>
      </w:tr>
      <w:tr w:rsidR="001D4CDE" w:rsidRPr="00C70EFF" w:rsidTr="0061346A">
        <w:tc>
          <w:tcPr>
            <w:tcW w:w="3119" w:type="dxa"/>
            <w:vAlign w:val="center"/>
          </w:tcPr>
          <w:p w:rsidR="001D4CDE" w:rsidRPr="00C70EFF" w:rsidRDefault="001D4CDE" w:rsidP="000F68CA">
            <w:pPr>
              <w:widowControl w:val="0"/>
              <w:tabs>
                <w:tab w:val="left" w:pos="8235"/>
              </w:tabs>
              <w:kinsoku/>
              <w:overflowPunct/>
              <w:autoSpaceDE/>
              <w:autoSpaceDN/>
              <w:adjustRightInd/>
              <w:snapToGrid/>
              <w:spacing w:before="60" w:after="60" w:line="240" w:lineRule="auto"/>
              <w:ind w:left="34" w:right="57"/>
              <w:rPr>
                <w:lang w:val="fr-FR" w:eastAsia="ja-JP"/>
              </w:rPr>
            </w:pPr>
            <w:r w:rsidRPr="00C70EFF">
              <w:rPr>
                <w:lang w:val="fr-FR" w:eastAsia="ja-JP"/>
              </w:rPr>
              <w:t>Vers le haut</w:t>
            </w:r>
          </w:p>
        </w:tc>
        <w:tc>
          <w:tcPr>
            <w:tcW w:w="4252" w:type="dxa"/>
          </w:tcPr>
          <w:p w:rsidR="001D4CDE" w:rsidRPr="00C70EFF" w:rsidRDefault="001D4CDE" w:rsidP="0061346A">
            <w:pPr>
              <w:widowControl w:val="0"/>
              <w:tabs>
                <w:tab w:val="left" w:pos="4779"/>
                <w:tab w:val="left" w:pos="5931"/>
                <w:tab w:val="left" w:pos="7083"/>
                <w:tab w:val="left" w:pos="8235"/>
              </w:tabs>
              <w:kinsoku/>
              <w:overflowPunct/>
              <w:autoSpaceDE/>
              <w:autoSpaceDN/>
              <w:adjustRightInd/>
              <w:snapToGrid/>
              <w:spacing w:before="60" w:after="60" w:line="240" w:lineRule="auto"/>
              <w:ind w:left="34"/>
              <w:rPr>
                <w:lang w:val="fr-FR" w:eastAsia="ja-JP"/>
              </w:rPr>
            </w:pPr>
            <w:r w:rsidRPr="00C70EFF">
              <w:rPr>
                <w:lang w:val="fr-FR" w:eastAsia="ja-JP"/>
              </w:rPr>
              <w:t>Supérieure à 1,0 mrad</w:t>
            </w:r>
            <w:r w:rsidR="0061346A">
              <w:rPr>
                <w:lang w:val="fr-FR" w:eastAsia="ja-JP"/>
              </w:rPr>
              <w:t xml:space="preserve"> mais inférieure ou égale à 1,5 </w:t>
            </w:r>
            <w:r w:rsidRPr="00C70EFF">
              <w:rPr>
                <w:lang w:val="fr-FR" w:eastAsia="ja-JP"/>
              </w:rPr>
              <w:t>mrad (1,0 mrad &lt; Δ</w:t>
            </w:r>
            <w:r w:rsidR="00BA6BCD">
              <w:rPr>
                <w:lang w:val="fr-FR" w:eastAsia="ja-JP"/>
              </w:rPr>
              <w:t> </w:t>
            </w:r>
            <w:r w:rsidRPr="00C70EFF">
              <w:rPr>
                <w:lang w:val="fr-FR" w:eastAsia="ja-JP"/>
              </w:rPr>
              <w:t>r</w:t>
            </w:r>
            <w:r w:rsidRPr="00BA6BCD">
              <w:rPr>
                <w:vertAlign w:val="subscript"/>
                <w:lang w:val="fr-FR" w:eastAsia="ja-JP"/>
              </w:rPr>
              <w:t xml:space="preserve">I </w:t>
            </w:r>
            <w:r w:rsidRPr="00C70EFF">
              <w:rPr>
                <w:lang w:val="fr-FR" w:eastAsia="ja-JP"/>
              </w:rPr>
              <w:t xml:space="preserve">≤ 1,5 mrad) </w:t>
            </w:r>
          </w:p>
        </w:tc>
      </w:tr>
      <w:tr w:rsidR="001D4CDE" w:rsidRPr="00C70EFF" w:rsidTr="0061346A">
        <w:tc>
          <w:tcPr>
            <w:tcW w:w="3119" w:type="dxa"/>
            <w:vAlign w:val="center"/>
          </w:tcPr>
          <w:p w:rsidR="001D4CDE" w:rsidRPr="00C70EFF" w:rsidRDefault="001D4CDE" w:rsidP="000F68CA">
            <w:pPr>
              <w:widowControl w:val="0"/>
              <w:tabs>
                <w:tab w:val="left" w:pos="8235"/>
              </w:tabs>
              <w:kinsoku/>
              <w:overflowPunct/>
              <w:autoSpaceDE/>
              <w:autoSpaceDN/>
              <w:adjustRightInd/>
              <w:snapToGrid/>
              <w:spacing w:before="60" w:after="60" w:line="240" w:lineRule="auto"/>
              <w:ind w:left="34" w:right="57"/>
              <w:rPr>
                <w:lang w:val="fr-FR" w:eastAsia="ja-JP"/>
              </w:rPr>
            </w:pPr>
            <w:r w:rsidRPr="00C70EFF">
              <w:rPr>
                <w:lang w:val="fr-FR" w:eastAsia="ja-JP"/>
              </w:rPr>
              <w:t>Vers le bas</w:t>
            </w:r>
          </w:p>
        </w:tc>
        <w:tc>
          <w:tcPr>
            <w:tcW w:w="4252" w:type="dxa"/>
          </w:tcPr>
          <w:p w:rsidR="001D4CDE" w:rsidRPr="00C70EFF" w:rsidRDefault="001D4CDE" w:rsidP="0061346A">
            <w:pPr>
              <w:widowControl w:val="0"/>
              <w:tabs>
                <w:tab w:val="left" w:pos="4779"/>
                <w:tab w:val="left" w:pos="5931"/>
                <w:tab w:val="left" w:pos="7083"/>
                <w:tab w:val="left" w:pos="8235"/>
              </w:tabs>
              <w:kinsoku/>
              <w:overflowPunct/>
              <w:autoSpaceDE/>
              <w:autoSpaceDN/>
              <w:adjustRightInd/>
              <w:snapToGrid/>
              <w:spacing w:before="60" w:after="60" w:line="240" w:lineRule="auto"/>
              <w:ind w:left="34"/>
              <w:rPr>
                <w:lang w:val="fr-FR" w:eastAsia="ja-JP"/>
              </w:rPr>
            </w:pPr>
            <w:r w:rsidRPr="00C70EFF">
              <w:rPr>
                <w:lang w:val="fr-FR" w:eastAsia="ja-JP"/>
              </w:rPr>
              <w:t>Supérieure à 2,0 mrad</w:t>
            </w:r>
            <w:r w:rsidR="0061346A">
              <w:rPr>
                <w:lang w:val="fr-FR" w:eastAsia="ja-JP"/>
              </w:rPr>
              <w:t xml:space="preserve"> mais inférieure ou égale à 3,0 </w:t>
            </w:r>
            <w:r w:rsidRPr="00C70EFF">
              <w:rPr>
                <w:lang w:val="fr-FR" w:eastAsia="ja-JP"/>
              </w:rPr>
              <w:t>mrad (2,0 mrad &lt; Δ</w:t>
            </w:r>
            <w:r w:rsidR="00BA6BCD">
              <w:rPr>
                <w:lang w:val="fr-FR" w:eastAsia="ja-JP"/>
              </w:rPr>
              <w:t> </w:t>
            </w:r>
            <w:r w:rsidRPr="00C70EFF">
              <w:rPr>
                <w:lang w:val="fr-FR" w:eastAsia="ja-JP"/>
              </w:rPr>
              <w:t>r</w:t>
            </w:r>
            <w:r w:rsidRPr="00BA6BCD">
              <w:rPr>
                <w:vertAlign w:val="subscript"/>
                <w:lang w:val="fr-FR" w:eastAsia="ja-JP"/>
              </w:rPr>
              <w:t>I</w:t>
            </w:r>
            <w:r w:rsidRPr="00C70EFF">
              <w:rPr>
                <w:lang w:val="fr-FR" w:eastAsia="ja-JP"/>
              </w:rPr>
              <w:t xml:space="preserve"> ≤ 3,0 mrad)</w:t>
            </w:r>
          </w:p>
        </w:tc>
      </w:tr>
    </w:tbl>
    <w:p w:rsidR="001D4CDE" w:rsidRPr="00C70EFF" w:rsidRDefault="001D4CDE" w:rsidP="001E5E9A">
      <w:pPr>
        <w:pStyle w:val="SingleTxtG"/>
        <w:keepNext/>
        <w:spacing w:before="240" w:after="100"/>
        <w:ind w:left="2268"/>
        <w:rPr>
          <w:lang w:val="fr-FR" w:eastAsia="ja-JP"/>
        </w:rPr>
      </w:pPr>
      <w:r w:rsidRPr="004803E6">
        <w:rPr>
          <w:lang w:val="fr-FR" w:eastAsia="ja-JP"/>
        </w:rPr>
        <w:t>Un autre échantillon de projecteur monté sur un appareillage d</w:t>
      </w:r>
      <w:r>
        <w:rPr>
          <w:lang w:val="fr-FR" w:eastAsia="ja-JP"/>
        </w:rPr>
        <w:t>’</w:t>
      </w:r>
      <w:r w:rsidRPr="004803E6">
        <w:rPr>
          <w:lang w:val="fr-FR" w:eastAsia="ja-JP"/>
        </w:rPr>
        <w:t>essai</w:t>
      </w:r>
      <w:r>
        <w:rPr>
          <w:lang w:val="fr-FR" w:eastAsia="ja-JP"/>
        </w:rPr>
        <w:t xml:space="preserve"> </w:t>
      </w:r>
      <w:r w:rsidRPr="004803E6">
        <w:rPr>
          <w:lang w:val="fr-FR" w:eastAsia="ja-JP"/>
        </w:rPr>
        <w:t>représentatif de son installation correcte sur le véhicule est mis à l</w:t>
      </w:r>
      <w:r>
        <w:rPr>
          <w:lang w:val="fr-FR" w:eastAsia="ja-JP"/>
        </w:rPr>
        <w:t>’</w:t>
      </w:r>
      <w:r w:rsidRPr="004803E6">
        <w:rPr>
          <w:lang w:val="fr-FR" w:eastAsia="ja-JP"/>
        </w:rPr>
        <w:t>essai</w:t>
      </w:r>
      <w:r>
        <w:rPr>
          <w:lang w:val="fr-FR" w:eastAsia="ja-JP"/>
        </w:rPr>
        <w:t xml:space="preserve"> </w:t>
      </w:r>
      <w:r w:rsidRPr="004803E6">
        <w:rPr>
          <w:lang w:val="fr-FR" w:eastAsia="ja-JP"/>
        </w:rPr>
        <w:t>comme prévu au paragraphe 2.1 ci-dessus, après avoir été soumis trois</w:t>
      </w:r>
      <w:r>
        <w:rPr>
          <w:lang w:val="fr-FR" w:eastAsia="ja-JP"/>
        </w:rPr>
        <w:t xml:space="preserve"> </w:t>
      </w:r>
      <w:r w:rsidRPr="004803E6">
        <w:rPr>
          <w:lang w:val="fr-FR" w:eastAsia="ja-JP"/>
        </w:rPr>
        <w:t>fois de suite au cycle décrit ci-dessous, afin de stabiliser la position des</w:t>
      </w:r>
      <w:r>
        <w:rPr>
          <w:lang w:val="fr-FR" w:eastAsia="ja-JP"/>
        </w:rPr>
        <w:t xml:space="preserve"> </w:t>
      </w:r>
      <w:r w:rsidRPr="004803E6">
        <w:rPr>
          <w:lang w:val="fr-FR" w:eastAsia="ja-JP"/>
        </w:rPr>
        <w:t>parties mécaniques du projecteur</w:t>
      </w:r>
      <w:r w:rsidR="00A1343F">
        <w:rPr>
          <w:lang w:val="fr-FR" w:eastAsia="ja-JP"/>
        </w:rPr>
        <w:t> :</w:t>
      </w:r>
    </w:p>
    <w:p w:rsidR="001D4CDE" w:rsidRPr="00C70EFF" w:rsidRDefault="001D4CDE" w:rsidP="001E5E9A">
      <w:pPr>
        <w:pStyle w:val="SingleTxtG"/>
        <w:spacing w:after="100"/>
        <w:ind w:left="2835" w:hanging="567"/>
        <w:rPr>
          <w:lang w:val="fr-FR" w:eastAsia="ja-JP"/>
        </w:rPr>
      </w:pPr>
      <w:r w:rsidRPr="00C70EFF">
        <w:rPr>
          <w:lang w:val="fr-FR" w:eastAsia="ja-JP"/>
        </w:rPr>
        <w:t>a)</w:t>
      </w:r>
      <w:r w:rsidRPr="00C70EFF">
        <w:rPr>
          <w:lang w:val="fr-FR" w:eastAsia="ja-JP"/>
        </w:rPr>
        <w:tab/>
      </w:r>
      <w:r w:rsidRPr="00C70EFF">
        <w:rPr>
          <w:lang w:val="fr-FR" w:eastAsia="ja-JP"/>
        </w:rPr>
        <w:tab/>
      </w:r>
      <w:r w:rsidRPr="00D20577">
        <w:rPr>
          <w:lang w:val="fr-FR" w:eastAsia="ja-JP"/>
        </w:rPr>
        <w:t>1 heure de fonctionnement du projecteur (la tension étant réglée</w:t>
      </w:r>
      <w:r>
        <w:rPr>
          <w:lang w:val="fr-FR" w:eastAsia="ja-JP"/>
        </w:rPr>
        <w:t xml:space="preserve"> </w:t>
      </w:r>
      <w:r w:rsidR="000F68CA">
        <w:rPr>
          <w:lang w:val="fr-FR" w:eastAsia="ja-JP"/>
        </w:rPr>
        <w:t>comme prévu au paragraphe </w:t>
      </w:r>
      <w:r w:rsidRPr="00D20577">
        <w:rPr>
          <w:lang w:val="fr-FR" w:eastAsia="ja-JP"/>
        </w:rPr>
        <w:t>1.1.1.2 de la présente annexe)</w:t>
      </w:r>
      <w:r w:rsidR="00A1343F">
        <w:rPr>
          <w:lang w:val="fr-FR" w:eastAsia="ja-JP"/>
        </w:rPr>
        <w:t> ;</w:t>
      </w:r>
    </w:p>
    <w:p w:rsidR="001D4CDE" w:rsidRPr="00C70EFF" w:rsidRDefault="001D4CDE" w:rsidP="001E5E9A">
      <w:pPr>
        <w:pStyle w:val="SingleTxtG"/>
        <w:spacing w:after="100"/>
        <w:ind w:left="2835" w:hanging="567"/>
        <w:rPr>
          <w:lang w:val="fr-FR" w:eastAsia="ja-JP"/>
        </w:rPr>
      </w:pPr>
      <w:r w:rsidRPr="00C70EFF">
        <w:rPr>
          <w:lang w:val="fr-FR" w:eastAsia="ja-JP"/>
        </w:rPr>
        <w:t>b)</w:t>
      </w:r>
      <w:r w:rsidRPr="00C70EFF">
        <w:rPr>
          <w:lang w:val="fr-FR" w:eastAsia="ja-JP"/>
        </w:rPr>
        <w:tab/>
      </w:r>
      <w:r w:rsidRPr="00D20577">
        <w:rPr>
          <w:lang w:val="fr-FR" w:eastAsia="ja-JP"/>
        </w:rPr>
        <w:t>1 heure de mise hors tension du projecteur</w:t>
      </w:r>
      <w:r w:rsidRPr="00C70EFF">
        <w:rPr>
          <w:lang w:val="fr-FR" w:eastAsia="ja-JP"/>
        </w:rPr>
        <w:t>.</w:t>
      </w:r>
    </w:p>
    <w:p w:rsidR="001D4CDE" w:rsidRPr="00C70EFF" w:rsidRDefault="001D4CDE" w:rsidP="001E5E9A">
      <w:pPr>
        <w:pStyle w:val="SingleTxtG"/>
        <w:spacing w:after="100"/>
        <w:ind w:left="2268"/>
        <w:rPr>
          <w:lang w:val="fr-FR" w:eastAsia="ja-JP"/>
        </w:rPr>
      </w:pPr>
      <w:r w:rsidRPr="00D20577">
        <w:rPr>
          <w:rFonts w:eastAsia="MS Mincho"/>
          <w:bCs/>
          <w:lang w:val="fr-FR"/>
        </w:rPr>
        <w:t>Après avoir été soumis trois fois de suite à ce cycle, le projecteur est</w:t>
      </w:r>
      <w:r>
        <w:rPr>
          <w:rFonts w:eastAsia="MS Mincho"/>
          <w:bCs/>
          <w:lang w:val="fr-FR"/>
        </w:rPr>
        <w:t xml:space="preserve"> </w:t>
      </w:r>
      <w:r w:rsidRPr="00D20577">
        <w:rPr>
          <w:rFonts w:eastAsia="MS Mincho"/>
          <w:bCs/>
          <w:lang w:val="fr-FR"/>
        </w:rPr>
        <w:t>considéré comme acceptable si les valeurs absolues ∆r mesurées sur cet</w:t>
      </w:r>
      <w:r>
        <w:rPr>
          <w:rFonts w:eastAsia="MS Mincho"/>
          <w:bCs/>
          <w:lang w:val="fr-FR"/>
        </w:rPr>
        <w:t xml:space="preserve"> </w:t>
      </w:r>
      <w:r w:rsidRPr="00D20577">
        <w:rPr>
          <w:rFonts w:eastAsia="MS Mincho"/>
          <w:bCs/>
          <w:lang w:val="fr-FR"/>
        </w:rPr>
        <w:t>autre échantillon comme prévu au paragraphe 2.1 ci-dessus satisfont</w:t>
      </w:r>
      <w:r>
        <w:rPr>
          <w:rFonts w:eastAsia="MS Mincho"/>
          <w:bCs/>
          <w:lang w:val="fr-FR"/>
        </w:rPr>
        <w:t xml:space="preserve"> </w:t>
      </w:r>
      <w:r w:rsidRPr="00D20577">
        <w:rPr>
          <w:rFonts w:eastAsia="MS Mincho"/>
          <w:bCs/>
          <w:lang w:val="fr-FR"/>
        </w:rPr>
        <w:t>aux prescriptions du paragraphe 2.2.1 ci-dessus.</w:t>
      </w:r>
      <w:r w:rsidR="00F74154">
        <w:rPr>
          <w:lang w:val="fr-FR" w:eastAsia="ja-JP"/>
        </w:rPr>
        <w:t> »</w:t>
      </w:r>
      <w:r w:rsidRPr="00C70EFF">
        <w:rPr>
          <w:lang w:val="fr-FR" w:eastAsia="ja-JP"/>
        </w:rPr>
        <w:t>.</w:t>
      </w:r>
    </w:p>
    <w:p w:rsidR="001D4CDE" w:rsidRPr="00C70EFF" w:rsidRDefault="001D4CDE" w:rsidP="001E5E9A">
      <w:pPr>
        <w:pStyle w:val="SingleTxtG"/>
        <w:keepNext/>
        <w:spacing w:after="100"/>
        <w:ind w:left="2268" w:hanging="1134"/>
        <w:rPr>
          <w:i/>
          <w:lang w:val="fr-FR"/>
        </w:rPr>
      </w:pPr>
      <w:r w:rsidRPr="00C70EFF">
        <w:rPr>
          <w:i/>
          <w:lang w:val="fr-FR"/>
        </w:rPr>
        <w:t>Annexe 5</w:t>
      </w:r>
      <w:r w:rsidRPr="0010288C">
        <w:rPr>
          <w:lang w:val="fr-FR"/>
        </w:rPr>
        <w:t xml:space="preserve">, </w:t>
      </w:r>
    </w:p>
    <w:p w:rsidR="001D4CDE" w:rsidRPr="00C70EFF" w:rsidRDefault="001D4CDE" w:rsidP="001E5E9A">
      <w:pPr>
        <w:pStyle w:val="SingleTxtG"/>
        <w:keepNext/>
        <w:spacing w:after="100"/>
        <w:ind w:left="2268" w:hanging="1134"/>
        <w:rPr>
          <w:lang w:val="fr-FR"/>
        </w:rPr>
      </w:pPr>
      <w:r w:rsidRPr="00C70EFF">
        <w:rPr>
          <w:i/>
          <w:lang w:val="fr-FR"/>
        </w:rPr>
        <w:t>Paragraphe 1.2</w:t>
      </w:r>
      <w:r w:rsidRPr="0010288C">
        <w:rPr>
          <w:lang w:val="fr-FR"/>
        </w:rPr>
        <w:t>,</w:t>
      </w:r>
      <w:r w:rsidRPr="00C70EFF">
        <w:rPr>
          <w:i/>
          <w:lang w:val="fr-FR"/>
        </w:rPr>
        <w:t xml:space="preserve"> </w:t>
      </w:r>
      <w:r>
        <w:rPr>
          <w:lang w:val="fr-FR"/>
        </w:rPr>
        <w:t>lire</w:t>
      </w:r>
      <w:r w:rsidR="00A1343F">
        <w:rPr>
          <w:lang w:val="fr-FR"/>
        </w:rPr>
        <w:t> :</w:t>
      </w:r>
    </w:p>
    <w:p w:rsidR="001D4CDE" w:rsidRPr="00C70EFF" w:rsidRDefault="00F74154" w:rsidP="001E5E9A">
      <w:pPr>
        <w:pStyle w:val="SingleTxtG"/>
        <w:spacing w:after="100"/>
        <w:ind w:left="2268" w:hanging="1134"/>
        <w:rPr>
          <w:lang w:val="fr-FR"/>
        </w:rPr>
      </w:pPr>
      <w:r>
        <w:rPr>
          <w:lang w:val="fr-FR"/>
        </w:rPr>
        <w:t>« </w:t>
      </w:r>
      <w:r w:rsidR="001D4CDE" w:rsidRPr="00C70EFF">
        <w:rPr>
          <w:lang w:val="fr-FR"/>
        </w:rPr>
        <w:t>1.2</w:t>
      </w:r>
      <w:r w:rsidR="001D4CDE" w:rsidRPr="00C70EFF">
        <w:rPr>
          <w:lang w:val="fr-FR"/>
        </w:rPr>
        <w:tab/>
      </w:r>
      <w:r w:rsidR="001D4CDE" w:rsidRPr="00C70EFF">
        <w:rPr>
          <w:lang w:val="fr-FR"/>
        </w:rPr>
        <w:tab/>
        <w:t>Les deux échantillons de feux complets fournis conformément au paragraphe</w:t>
      </w:r>
      <w:r w:rsidR="00BA6BCD">
        <w:rPr>
          <w:lang w:val="fr-FR"/>
        </w:rPr>
        <w:t> </w:t>
      </w:r>
      <w:r w:rsidR="001D4CDE" w:rsidRPr="00C70EFF">
        <w:rPr>
          <w:lang w:val="fr-FR"/>
        </w:rPr>
        <w:t>2.2.4 du présent Règlement et comportant des lentilles en plastique doivent, en ce qui concerne le matériau de ces lentilles, satisfaire aux prescriptions indiquées ci-après.</w:t>
      </w:r>
      <w:r>
        <w:rPr>
          <w:lang w:val="fr-FR"/>
        </w:rPr>
        <w:t> »</w:t>
      </w:r>
      <w:r w:rsidR="001D4CDE" w:rsidRPr="00C70EFF">
        <w:rPr>
          <w:lang w:val="fr-FR"/>
        </w:rPr>
        <w:t xml:space="preserve">. </w:t>
      </w:r>
    </w:p>
    <w:p w:rsidR="001D4CDE" w:rsidRPr="00C70EFF" w:rsidRDefault="001D4CDE" w:rsidP="001E5E9A">
      <w:pPr>
        <w:pStyle w:val="SingleTxtG"/>
        <w:keepNext/>
        <w:spacing w:after="100"/>
        <w:ind w:left="2268" w:hanging="1134"/>
        <w:rPr>
          <w:lang w:val="fr-FR"/>
        </w:rPr>
      </w:pPr>
      <w:r w:rsidRPr="00C70EFF">
        <w:rPr>
          <w:i/>
          <w:lang w:val="fr-FR"/>
        </w:rPr>
        <w:t>Paragraphe 2.6.1.2</w:t>
      </w:r>
      <w:r w:rsidRPr="001E5E9A">
        <w:rPr>
          <w:lang w:val="fr-FR"/>
        </w:rPr>
        <w:t>,</w:t>
      </w:r>
      <w:r w:rsidRPr="00C70EFF">
        <w:rPr>
          <w:lang w:val="fr-FR"/>
        </w:rPr>
        <w:t xml:space="preserve"> </w:t>
      </w:r>
      <w:r>
        <w:rPr>
          <w:lang w:val="fr-FR"/>
        </w:rPr>
        <w:t>lire</w:t>
      </w:r>
      <w:r w:rsidR="00A1343F">
        <w:rPr>
          <w:lang w:val="fr-FR"/>
        </w:rPr>
        <w:t> :</w:t>
      </w:r>
    </w:p>
    <w:p w:rsidR="001D4CDE" w:rsidRPr="00C70EFF" w:rsidRDefault="00F74154" w:rsidP="001E5E9A">
      <w:pPr>
        <w:pStyle w:val="SingleTxtG"/>
        <w:spacing w:after="100"/>
        <w:ind w:left="2268" w:hanging="1134"/>
        <w:rPr>
          <w:i/>
          <w:lang w:val="fr-FR"/>
        </w:rPr>
      </w:pPr>
      <w:r>
        <w:rPr>
          <w:lang w:val="fr-FR"/>
        </w:rPr>
        <w:t>« </w:t>
      </w:r>
      <w:r w:rsidR="001D4CDE" w:rsidRPr="00C70EFF">
        <w:rPr>
          <w:lang w:val="fr-FR"/>
        </w:rPr>
        <w:t>2.6.1.2</w:t>
      </w:r>
      <w:r w:rsidR="001D4CDE" w:rsidRPr="00C70EFF">
        <w:rPr>
          <w:lang w:val="fr-FR"/>
        </w:rPr>
        <w:tab/>
        <w:t>Résultats</w:t>
      </w:r>
    </w:p>
    <w:p w:rsidR="001D4CDE" w:rsidRPr="00C70EFF" w:rsidRDefault="001D4CDE" w:rsidP="001E5E9A">
      <w:pPr>
        <w:pStyle w:val="SingleTxtG"/>
        <w:spacing w:after="100"/>
        <w:ind w:left="2268"/>
        <w:rPr>
          <w:lang w:val="fr-FR"/>
        </w:rPr>
      </w:pPr>
      <w:r w:rsidRPr="00C70EFF">
        <w:rPr>
          <w:lang w:val="fr-FR"/>
        </w:rPr>
        <w:t>Après essai, les résultats des mesures photométriques sur un projecteur, exécutées conformément au présent Règlement, ne doivent pas être</w:t>
      </w:r>
      <w:r w:rsidR="00A1343F">
        <w:rPr>
          <w:lang w:val="fr-FR"/>
        </w:rPr>
        <w:t> :</w:t>
      </w:r>
    </w:p>
    <w:p w:rsidR="001D4CDE" w:rsidRPr="00C70EFF" w:rsidRDefault="001E5E9A" w:rsidP="001E5E9A">
      <w:pPr>
        <w:pStyle w:val="SingleTxtG"/>
        <w:spacing w:after="100"/>
        <w:ind w:left="2835" w:hanging="567"/>
        <w:rPr>
          <w:lang w:val="fr-FR"/>
        </w:rPr>
      </w:pPr>
      <w:r>
        <w:rPr>
          <w:lang w:val="fr-FR"/>
        </w:rPr>
        <w:t>a)</w:t>
      </w:r>
      <w:r>
        <w:rPr>
          <w:lang w:val="fr-FR"/>
        </w:rPr>
        <w:tab/>
      </w:r>
      <w:r>
        <w:rPr>
          <w:lang w:val="fr-FR"/>
        </w:rPr>
        <w:tab/>
        <w:t>Supérieurs à 130 </w:t>
      </w:r>
      <w:r w:rsidR="001D4CDE" w:rsidRPr="00C70EFF">
        <w:rPr>
          <w:lang w:val="fr-FR"/>
        </w:rPr>
        <w:t>% des valeurs limites prescrites aux points B</w:t>
      </w:r>
      <w:r>
        <w:rPr>
          <w:lang w:val="fr-FR"/>
        </w:rPr>
        <w:t xml:space="preserve"> 50 L, ni inférieurs à 90 </w:t>
      </w:r>
      <w:r w:rsidR="001D4CDE" w:rsidRPr="00C70EFF">
        <w:rPr>
          <w:lang w:val="fr-FR"/>
        </w:rPr>
        <w:t>% de la vale</w:t>
      </w:r>
      <w:r>
        <w:rPr>
          <w:lang w:val="fr-FR"/>
        </w:rPr>
        <w:t>ur limite prescrite au point 75 </w:t>
      </w:r>
      <w:r w:rsidR="001D4CDE" w:rsidRPr="00C70EFF">
        <w:rPr>
          <w:lang w:val="fr-FR"/>
        </w:rPr>
        <w:t>R (dans le cas de projecteurs destinés à la circulation à gauche, les points pris en considération sont B 50 R et 75 L)</w:t>
      </w:r>
      <w:r w:rsidR="00A1343F">
        <w:rPr>
          <w:lang w:val="fr-FR"/>
        </w:rPr>
        <w:t> ;</w:t>
      </w:r>
    </w:p>
    <w:p w:rsidR="001D4CDE" w:rsidRPr="00C70EFF" w:rsidRDefault="001D4CDE" w:rsidP="007B1A9F">
      <w:pPr>
        <w:pStyle w:val="SingleTxtG"/>
        <w:ind w:left="2268"/>
        <w:rPr>
          <w:lang w:val="fr-FR"/>
        </w:rPr>
      </w:pPr>
      <w:r w:rsidRPr="00C70EFF">
        <w:rPr>
          <w:lang w:val="fr-FR"/>
        </w:rPr>
        <w:lastRenderedPageBreak/>
        <w:t>ou</w:t>
      </w:r>
    </w:p>
    <w:p w:rsidR="001D4CDE" w:rsidRPr="00C70EFF" w:rsidRDefault="001E5E9A" w:rsidP="002C71A7">
      <w:pPr>
        <w:pStyle w:val="SingleTxtG"/>
        <w:ind w:left="2835" w:hanging="567"/>
        <w:rPr>
          <w:lang w:val="fr-FR"/>
        </w:rPr>
      </w:pPr>
      <w:r>
        <w:rPr>
          <w:lang w:val="fr-FR"/>
        </w:rPr>
        <w:t>b)</w:t>
      </w:r>
      <w:r>
        <w:rPr>
          <w:lang w:val="fr-FR"/>
        </w:rPr>
        <w:tab/>
      </w:r>
      <w:r>
        <w:rPr>
          <w:lang w:val="fr-FR"/>
        </w:rPr>
        <w:tab/>
        <w:t>Inférieurs à 90 </w:t>
      </w:r>
      <w:r w:rsidR="001D4CDE" w:rsidRPr="00C70EFF">
        <w:rPr>
          <w:lang w:val="fr-FR"/>
        </w:rPr>
        <w:t>% de la valeur limite prescrite au point HV dans le cas de projecteurs émettant uniquement un faisceau de route</w:t>
      </w:r>
      <w:r>
        <w:rPr>
          <w:lang w:val="fr-FR"/>
        </w:rPr>
        <w:t>.</w:t>
      </w:r>
      <w:r w:rsidR="00F74154">
        <w:rPr>
          <w:lang w:val="fr-FR"/>
        </w:rPr>
        <w:t> »</w:t>
      </w:r>
      <w:r w:rsidR="001D4CDE" w:rsidRPr="00C70EFF">
        <w:rPr>
          <w:lang w:val="fr-FR"/>
        </w:rPr>
        <w:t xml:space="preserve">. </w:t>
      </w:r>
    </w:p>
    <w:p w:rsidR="001D4CDE" w:rsidRPr="00C70EFF" w:rsidRDefault="001D4CDE" w:rsidP="00F74154">
      <w:pPr>
        <w:pStyle w:val="SingleTxtG"/>
        <w:keepNext/>
        <w:ind w:left="2268" w:hanging="1134"/>
        <w:rPr>
          <w:i/>
          <w:lang w:val="fr-FR"/>
        </w:rPr>
      </w:pPr>
      <w:r w:rsidRPr="00C70EFF">
        <w:rPr>
          <w:i/>
          <w:lang w:val="fr-FR"/>
        </w:rPr>
        <w:t>Annexe 8</w:t>
      </w:r>
      <w:r w:rsidRPr="001E5E9A">
        <w:rPr>
          <w:lang w:val="fr-FR"/>
        </w:rPr>
        <w:t>,</w:t>
      </w:r>
      <w:r w:rsidRPr="00C70EFF">
        <w:rPr>
          <w:i/>
          <w:lang w:val="fr-FR"/>
        </w:rPr>
        <w:t xml:space="preserve"> </w:t>
      </w:r>
    </w:p>
    <w:p w:rsidR="001D4CDE" w:rsidRPr="00C70EFF" w:rsidRDefault="001D4CDE" w:rsidP="00F74154">
      <w:pPr>
        <w:pStyle w:val="SingleTxtG"/>
        <w:keepNext/>
        <w:ind w:left="2268" w:hanging="1134"/>
        <w:rPr>
          <w:lang w:val="fr-FR"/>
        </w:rPr>
      </w:pPr>
      <w:r w:rsidRPr="00C70EFF">
        <w:rPr>
          <w:i/>
          <w:lang w:val="fr-FR"/>
        </w:rPr>
        <w:t>Paragraphes</w:t>
      </w:r>
      <w:r w:rsidRPr="00C70EFF">
        <w:rPr>
          <w:bCs/>
          <w:i/>
          <w:iCs/>
          <w:lang w:val="fr-FR"/>
        </w:rPr>
        <w:t xml:space="preserve"> 1.2 à 1.2.2.2</w:t>
      </w:r>
      <w:r w:rsidRPr="001E5E9A">
        <w:rPr>
          <w:bCs/>
          <w:iCs/>
          <w:lang w:val="fr-FR"/>
        </w:rPr>
        <w:t>,</w:t>
      </w:r>
      <w:r w:rsidRPr="00C70EFF">
        <w:rPr>
          <w:bCs/>
          <w:i/>
          <w:iCs/>
          <w:lang w:val="fr-FR"/>
        </w:rPr>
        <w:t xml:space="preserve"> </w:t>
      </w:r>
      <w:r>
        <w:rPr>
          <w:lang w:val="fr-FR"/>
        </w:rPr>
        <w:t>lire</w:t>
      </w:r>
      <w:r w:rsidR="00A1343F">
        <w:rPr>
          <w:lang w:val="fr-FR"/>
        </w:rPr>
        <w:t> :</w:t>
      </w:r>
    </w:p>
    <w:p w:rsidR="001D4CDE" w:rsidRPr="00C70EFF" w:rsidRDefault="00F74154" w:rsidP="008C3302">
      <w:pPr>
        <w:pStyle w:val="SingleTxtG"/>
        <w:ind w:left="2268" w:hanging="1134"/>
        <w:rPr>
          <w:lang w:val="fr-FR"/>
        </w:rPr>
      </w:pPr>
      <w:r>
        <w:rPr>
          <w:lang w:val="fr-FR"/>
        </w:rPr>
        <w:t>« </w:t>
      </w:r>
      <w:r w:rsidR="001D4CDE" w:rsidRPr="00C70EFF">
        <w:rPr>
          <w:lang w:val="fr-FR"/>
        </w:rPr>
        <w:t>1.2</w:t>
      </w:r>
      <w:r w:rsidR="001D4CDE" w:rsidRPr="00C70EFF">
        <w:rPr>
          <w:lang w:val="fr-FR"/>
        </w:rPr>
        <w:tab/>
        <w:t>En ce qui concerne les caractéristiques photométriques, la conformité des projecteurs de série n</w:t>
      </w:r>
      <w:r w:rsidR="001D4CDE">
        <w:rPr>
          <w:lang w:val="fr-FR"/>
        </w:rPr>
        <w:t>’</w:t>
      </w:r>
      <w:r w:rsidR="001D4CDE" w:rsidRPr="00C70EFF">
        <w:rPr>
          <w:lang w:val="fr-FR"/>
        </w:rPr>
        <w:t>est pas contestée si, lors de l</w:t>
      </w:r>
      <w:r w:rsidR="001D4CDE">
        <w:rPr>
          <w:lang w:val="fr-FR"/>
        </w:rPr>
        <w:t>’</w:t>
      </w:r>
      <w:r w:rsidR="001D4CDE" w:rsidRPr="00C70EFF">
        <w:rPr>
          <w:lang w:val="fr-FR"/>
        </w:rPr>
        <w:t>essai des caractéristiques photométriques d</w:t>
      </w:r>
      <w:r w:rsidR="001D4CDE">
        <w:rPr>
          <w:lang w:val="fr-FR"/>
        </w:rPr>
        <w:t>’</w:t>
      </w:r>
      <w:r w:rsidR="001D4CDE" w:rsidRPr="00C70EFF">
        <w:rPr>
          <w:lang w:val="fr-FR"/>
        </w:rPr>
        <w:t>un projecteur choisi au hasard e</w:t>
      </w:r>
      <w:r w:rsidR="00470352">
        <w:rPr>
          <w:lang w:val="fr-FR"/>
        </w:rPr>
        <w:t>t mesuré à la tension de 13,2 V </w:t>
      </w:r>
      <w:r w:rsidR="001D4CDE" w:rsidRPr="00C70EFF">
        <w:rPr>
          <w:lang w:val="fr-FR"/>
        </w:rPr>
        <w:sym w:font="Symbol" w:char="F0B1"/>
      </w:r>
      <w:r w:rsidR="00470352">
        <w:rPr>
          <w:lang w:val="fr-FR"/>
        </w:rPr>
        <w:t> </w:t>
      </w:r>
      <w:r w:rsidR="001D4CDE" w:rsidRPr="00C70EFF">
        <w:rPr>
          <w:lang w:val="fr-FR"/>
        </w:rPr>
        <w:t>0,1 V ou comme spécifié par ailleurs et</w:t>
      </w:r>
      <w:r w:rsidR="00A1343F">
        <w:rPr>
          <w:lang w:val="fr-FR"/>
        </w:rPr>
        <w:t> :</w:t>
      </w:r>
    </w:p>
    <w:p w:rsidR="001D4CDE" w:rsidRPr="00C70EFF" w:rsidRDefault="001D4CDE" w:rsidP="007B1A9F">
      <w:pPr>
        <w:pStyle w:val="SingleTxtG"/>
        <w:ind w:left="2268"/>
        <w:rPr>
          <w:lang w:val="fr-FR"/>
        </w:rPr>
      </w:pPr>
      <w:r w:rsidRPr="00C70EFF">
        <w:rPr>
          <w:lang w:val="fr-FR"/>
        </w:rPr>
        <w:tab/>
        <w:t>soit</w:t>
      </w:r>
    </w:p>
    <w:p w:rsidR="001D4CDE" w:rsidRPr="00C70EFF" w:rsidRDefault="001D4CDE" w:rsidP="007B1A9F">
      <w:pPr>
        <w:pStyle w:val="SingleTxtG"/>
        <w:ind w:left="2268"/>
        <w:rPr>
          <w:lang w:val="fr-FR"/>
        </w:rPr>
      </w:pPr>
      <w:r w:rsidRPr="00C70EFF">
        <w:rPr>
          <w:lang w:val="fr-FR"/>
        </w:rPr>
        <w:t>équipé d</w:t>
      </w:r>
      <w:r>
        <w:rPr>
          <w:lang w:val="fr-FR"/>
        </w:rPr>
        <w:t>’</w:t>
      </w:r>
      <w:r w:rsidRPr="00C70EFF">
        <w:rPr>
          <w:lang w:val="fr-FR"/>
        </w:rPr>
        <w:t>une source lumineuse à décharge étalon selon le paragraphe 6.1.3. Le flux lumineux de cette source lumineuse à décharge peut être différent de la valeur du flux lumineux de référence spécifiée dans le Règlement n</w:t>
      </w:r>
      <w:r w:rsidRPr="00C70EFF">
        <w:rPr>
          <w:vertAlign w:val="superscript"/>
          <w:lang w:val="fr-FR"/>
        </w:rPr>
        <w:t>o</w:t>
      </w:r>
      <w:r w:rsidRPr="00C70EFF">
        <w:rPr>
          <w:lang w:val="fr-FR"/>
        </w:rPr>
        <w:t> 99. Dans ce cas, les éclairements sont corrigés en conséquence</w:t>
      </w:r>
      <w:r w:rsidR="00A1343F">
        <w:rPr>
          <w:lang w:val="fr-FR"/>
        </w:rPr>
        <w:t> ;</w:t>
      </w:r>
    </w:p>
    <w:p w:rsidR="001D4CDE" w:rsidRPr="00C70EFF" w:rsidRDefault="001D4CDE" w:rsidP="007B1A9F">
      <w:pPr>
        <w:pStyle w:val="SingleTxtG"/>
        <w:ind w:left="2268"/>
        <w:rPr>
          <w:lang w:val="fr-FR"/>
        </w:rPr>
      </w:pPr>
      <w:r w:rsidRPr="00C70EFF">
        <w:rPr>
          <w:lang w:val="fr-FR"/>
        </w:rPr>
        <w:tab/>
        <w:t>soit</w:t>
      </w:r>
    </w:p>
    <w:p w:rsidR="001D4CDE" w:rsidRPr="00C70EFF" w:rsidRDefault="001D4CDE" w:rsidP="007B1A9F">
      <w:pPr>
        <w:pStyle w:val="SingleTxtG"/>
        <w:ind w:left="2268"/>
        <w:rPr>
          <w:lang w:val="fr-FR"/>
        </w:rPr>
      </w:pPr>
      <w:r w:rsidRPr="00C70EFF">
        <w:rPr>
          <w:lang w:val="fr-FR"/>
        </w:rPr>
        <w:tab/>
        <w:t>équipé de la source lumineuse à décharge de série et du ballast de série. Le flux lumineux de cette source lumineuse peut s</w:t>
      </w:r>
      <w:r>
        <w:rPr>
          <w:lang w:val="fr-FR"/>
        </w:rPr>
        <w:t>’</w:t>
      </w:r>
      <w:r w:rsidRPr="00C70EFF">
        <w:rPr>
          <w:lang w:val="fr-FR"/>
        </w:rPr>
        <w:t>écarter du flux lumineux nominal en raison des tolérances relatives à la source lumineuse et au ballast comme stipulé dans le Règlement n</w:t>
      </w:r>
      <w:r w:rsidRPr="00C70EFF">
        <w:rPr>
          <w:vertAlign w:val="superscript"/>
          <w:lang w:val="fr-FR"/>
        </w:rPr>
        <w:t>o</w:t>
      </w:r>
      <w:r w:rsidRPr="00C70EFF">
        <w:rPr>
          <w:lang w:val="fr-FR"/>
        </w:rPr>
        <w:t> 99</w:t>
      </w:r>
      <w:r w:rsidR="00A1343F">
        <w:rPr>
          <w:lang w:val="fr-FR"/>
        </w:rPr>
        <w:t> ;</w:t>
      </w:r>
      <w:r w:rsidRPr="00C70EFF">
        <w:rPr>
          <w:lang w:val="fr-FR"/>
        </w:rPr>
        <w:t xml:space="preserve"> en conséquence, les intensités lumineuses mesurées peuvent être corrigées de 20 % dans le sens favorable.</w:t>
      </w:r>
    </w:p>
    <w:p w:rsidR="001D4CDE" w:rsidRPr="00C70EFF" w:rsidRDefault="001D4CDE" w:rsidP="008C3302">
      <w:pPr>
        <w:pStyle w:val="SingleTxtG"/>
        <w:ind w:left="2268" w:hanging="1134"/>
        <w:rPr>
          <w:lang w:val="fr-FR"/>
        </w:rPr>
      </w:pPr>
      <w:r w:rsidRPr="00C70EFF">
        <w:rPr>
          <w:lang w:val="fr-FR"/>
        </w:rPr>
        <w:t>1.2.1</w:t>
      </w:r>
      <w:r w:rsidRPr="00C70EFF">
        <w:rPr>
          <w:lang w:val="fr-FR"/>
        </w:rPr>
        <w:tab/>
      </w:r>
      <w:r w:rsidRPr="00C70EFF">
        <w:rPr>
          <w:lang w:val="fr-FR"/>
        </w:rPr>
        <w:tab/>
        <w:t>Aucune valeur d</w:t>
      </w:r>
      <w:r>
        <w:rPr>
          <w:lang w:val="fr-FR"/>
        </w:rPr>
        <w:t>’</w:t>
      </w:r>
      <w:r w:rsidRPr="00C70EFF">
        <w:rPr>
          <w:lang w:val="fr-FR"/>
        </w:rPr>
        <w:t>intensité lumineuse mesurée et corrigée conformément au paragraphe 1.2 ci-dessus ne s</w:t>
      </w:r>
      <w:r>
        <w:rPr>
          <w:lang w:val="fr-FR"/>
        </w:rPr>
        <w:t>’</w:t>
      </w:r>
      <w:r w:rsidRPr="00C70EFF">
        <w:rPr>
          <w:lang w:val="fr-FR"/>
        </w:rPr>
        <w:t>écarte, dans le sens défavorable, de plus de 20 % des valeurs prescrites dans le présent Rè</w:t>
      </w:r>
      <w:r w:rsidR="00470352">
        <w:rPr>
          <w:lang w:val="fr-FR"/>
        </w:rPr>
        <w:t>glement. Pour les valeurs B </w:t>
      </w:r>
      <w:r w:rsidRPr="00C70EFF">
        <w:rPr>
          <w:lang w:val="fr-FR"/>
        </w:rPr>
        <w:t>50</w:t>
      </w:r>
      <w:r w:rsidR="00470352">
        <w:rPr>
          <w:lang w:val="fr-FR"/>
        </w:rPr>
        <w:t> </w:t>
      </w:r>
      <w:r w:rsidRPr="00C70EFF">
        <w:rPr>
          <w:lang w:val="fr-FR"/>
        </w:rPr>
        <w:t>L (ou R) et dans la zone A, l</w:t>
      </w:r>
      <w:r>
        <w:rPr>
          <w:lang w:val="fr-FR"/>
        </w:rPr>
        <w:t>’</w:t>
      </w:r>
      <w:r w:rsidRPr="00C70EFF">
        <w:rPr>
          <w:lang w:val="fr-FR"/>
        </w:rPr>
        <w:t>écart maximal admissible est le suivant</w:t>
      </w:r>
      <w:r w:rsidR="00A1343F">
        <w:rPr>
          <w:lang w:val="fr-FR"/>
        </w:rPr>
        <w:t> :</w:t>
      </w:r>
    </w:p>
    <w:p w:rsidR="001D4CDE" w:rsidRPr="00C70EFF" w:rsidRDefault="001D4CDE" w:rsidP="00C75D1B">
      <w:pPr>
        <w:pStyle w:val="SingleTxtG"/>
        <w:tabs>
          <w:tab w:val="left" w:pos="3828"/>
        </w:tabs>
        <w:ind w:left="2268"/>
        <w:rPr>
          <w:lang w:val="fr-FR"/>
        </w:rPr>
      </w:pPr>
      <w:r w:rsidRPr="00C70EFF">
        <w:rPr>
          <w:lang w:val="fr-FR"/>
        </w:rPr>
        <w:t>B 50 L (ou R)</w:t>
      </w:r>
      <w:r w:rsidR="00C75D1B" w:rsidRPr="00C70EFF">
        <w:rPr>
          <w:sz w:val="18"/>
          <w:vertAlign w:val="superscript"/>
          <w:lang w:val="fr-FR"/>
        </w:rPr>
        <w:t>1</w:t>
      </w:r>
      <w:r w:rsidR="00A1343F">
        <w:rPr>
          <w:lang w:val="fr-FR"/>
        </w:rPr>
        <w:t> :</w:t>
      </w:r>
      <w:r w:rsidRPr="00C70EFF">
        <w:rPr>
          <w:lang w:val="fr-FR"/>
        </w:rPr>
        <w:tab/>
        <w:t>170 cd, soit 20 %</w:t>
      </w:r>
      <w:r w:rsidR="00C75D1B">
        <w:rPr>
          <w:lang w:val="fr-FR"/>
        </w:rPr>
        <w:t> ;</w:t>
      </w:r>
    </w:p>
    <w:p w:rsidR="001D4CDE" w:rsidRPr="00C70EFF" w:rsidRDefault="00C75D1B" w:rsidP="00C75D1B">
      <w:pPr>
        <w:pStyle w:val="SingleTxtG"/>
        <w:tabs>
          <w:tab w:val="left" w:pos="3828"/>
        </w:tabs>
        <w:ind w:left="2268"/>
        <w:rPr>
          <w:lang w:val="fr-FR"/>
        </w:rPr>
      </w:pPr>
      <w:r>
        <w:rPr>
          <w:lang w:val="fr-FR"/>
        </w:rPr>
        <w:tab/>
      </w:r>
      <w:r w:rsidR="001D4CDE" w:rsidRPr="00C70EFF">
        <w:rPr>
          <w:lang w:val="fr-FR"/>
        </w:rPr>
        <w:t>255 cd, soit 30 %</w:t>
      </w:r>
      <w:r>
        <w:rPr>
          <w:lang w:val="fr-FR"/>
        </w:rPr>
        <w:t> ;</w:t>
      </w:r>
    </w:p>
    <w:p w:rsidR="001D4CDE" w:rsidRPr="00C70EFF" w:rsidRDefault="001D4CDE" w:rsidP="00C75D1B">
      <w:pPr>
        <w:pStyle w:val="SingleTxtG"/>
        <w:tabs>
          <w:tab w:val="left" w:pos="3828"/>
        </w:tabs>
        <w:ind w:left="2268"/>
        <w:rPr>
          <w:lang w:val="fr-FR"/>
        </w:rPr>
      </w:pPr>
      <w:r w:rsidRPr="00C70EFF">
        <w:rPr>
          <w:lang w:val="fr-FR"/>
        </w:rPr>
        <w:t>Zone A</w:t>
      </w:r>
      <w:r w:rsidRPr="00C70EFF">
        <w:rPr>
          <w:lang w:val="fr-FR"/>
        </w:rPr>
        <w:tab/>
        <w:t>255 cd, soit 20 %</w:t>
      </w:r>
      <w:r w:rsidR="00C75D1B">
        <w:rPr>
          <w:lang w:val="fr-FR"/>
        </w:rPr>
        <w:t> ;</w:t>
      </w:r>
    </w:p>
    <w:p w:rsidR="001D4CDE" w:rsidRPr="00C70EFF" w:rsidRDefault="00C75D1B" w:rsidP="00C75D1B">
      <w:pPr>
        <w:pStyle w:val="SingleTxtG"/>
        <w:tabs>
          <w:tab w:val="left" w:pos="3828"/>
        </w:tabs>
        <w:ind w:left="2268"/>
        <w:rPr>
          <w:lang w:val="fr-FR"/>
        </w:rPr>
      </w:pPr>
      <w:r>
        <w:rPr>
          <w:lang w:val="fr-FR"/>
        </w:rPr>
        <w:tab/>
      </w:r>
      <w:r w:rsidR="001D4CDE" w:rsidRPr="00C70EFF">
        <w:rPr>
          <w:lang w:val="fr-FR"/>
        </w:rPr>
        <w:t>380 cd, soit 30 %.</w:t>
      </w:r>
    </w:p>
    <w:p w:rsidR="001D4CDE" w:rsidRPr="00C70EFF" w:rsidRDefault="001D4CDE" w:rsidP="00C75D1B">
      <w:pPr>
        <w:pStyle w:val="SingleTxtG"/>
        <w:keepNext/>
        <w:ind w:left="2268" w:hanging="1134"/>
        <w:jc w:val="left"/>
        <w:rPr>
          <w:lang w:val="fr-FR"/>
        </w:rPr>
      </w:pPr>
      <w:r w:rsidRPr="00C70EFF">
        <w:rPr>
          <w:lang w:val="fr-FR"/>
        </w:rPr>
        <w:t>1.2.2</w:t>
      </w:r>
      <w:r w:rsidRPr="00C70EFF">
        <w:rPr>
          <w:lang w:val="fr-FR"/>
        </w:rPr>
        <w:tab/>
        <w:t>Ou bien si</w:t>
      </w:r>
    </w:p>
    <w:p w:rsidR="001D4CDE" w:rsidRPr="00C70EFF" w:rsidRDefault="001D4CDE" w:rsidP="008C3302">
      <w:pPr>
        <w:pStyle w:val="SingleTxtG"/>
        <w:ind w:left="2268" w:hanging="1134"/>
        <w:rPr>
          <w:lang w:val="fr-FR" w:eastAsia="en-GB"/>
        </w:rPr>
      </w:pPr>
      <w:r w:rsidRPr="00C70EFF">
        <w:rPr>
          <w:lang w:val="fr-FR" w:eastAsia="en-GB"/>
        </w:rPr>
        <w:t>1.2.2.1</w:t>
      </w:r>
      <w:r w:rsidRPr="00C70EFF">
        <w:rPr>
          <w:lang w:val="fr-FR" w:eastAsia="en-GB"/>
        </w:rPr>
        <w:tab/>
        <w:t>Pour le faisceau de croisement, les valeurs prescrites dans le présent Règlement sont atteintes en un point</w:t>
      </w:r>
      <w:r w:rsidR="00C75D1B">
        <w:rPr>
          <w:lang w:val="fr-FR" w:eastAsia="en-GB"/>
        </w:rPr>
        <w:t xml:space="preserve"> inscrit dans un cercle de 0,35 </w:t>
      </w:r>
      <w:r w:rsidRPr="00C70EFF">
        <w:rPr>
          <w:lang w:val="fr-FR" w:eastAsia="en-GB"/>
        </w:rPr>
        <w:t>degré autour des points B</w:t>
      </w:r>
      <w:r w:rsidR="00C75D1B">
        <w:rPr>
          <w:lang w:val="fr-FR" w:eastAsia="en-GB"/>
        </w:rPr>
        <w:t> </w:t>
      </w:r>
      <w:r w:rsidRPr="00C70EFF">
        <w:rPr>
          <w:lang w:val="fr-FR" w:eastAsia="en-GB"/>
        </w:rPr>
        <w:t>50</w:t>
      </w:r>
      <w:r w:rsidR="00C75D1B">
        <w:rPr>
          <w:lang w:val="fr-FR" w:eastAsia="en-GB"/>
        </w:rPr>
        <w:t> </w:t>
      </w:r>
      <w:r w:rsidRPr="00C70EFF">
        <w:rPr>
          <w:lang w:val="fr-FR" w:eastAsia="en-GB"/>
        </w:rPr>
        <w:t>L (ou R)</w:t>
      </w:r>
      <w:r w:rsidRPr="00C70EFF">
        <w:rPr>
          <w:vertAlign w:val="superscript"/>
          <w:lang w:val="fr-FR" w:eastAsia="en-GB"/>
        </w:rPr>
        <w:t xml:space="preserve">1 </w:t>
      </w:r>
      <w:r w:rsidRPr="00C70EFF">
        <w:rPr>
          <w:lang w:val="fr-FR" w:eastAsia="en-GB"/>
        </w:rPr>
        <w:t>avec une tolérance de 85</w:t>
      </w:r>
      <w:r w:rsidR="00C75D1B">
        <w:rPr>
          <w:lang w:val="fr-FR" w:eastAsia="en-GB"/>
        </w:rPr>
        <w:t> </w:t>
      </w:r>
      <w:r w:rsidRPr="00C70EFF">
        <w:rPr>
          <w:lang w:val="fr-FR" w:eastAsia="en-GB"/>
        </w:rPr>
        <w:t>cd), 75</w:t>
      </w:r>
      <w:r w:rsidR="00C75D1B">
        <w:rPr>
          <w:lang w:val="fr-FR" w:eastAsia="en-GB"/>
        </w:rPr>
        <w:t> </w:t>
      </w:r>
      <w:r w:rsidRPr="00C70EFF">
        <w:rPr>
          <w:lang w:val="fr-FR" w:eastAsia="en-GB"/>
        </w:rPr>
        <w:t>R (ou L), 50</w:t>
      </w:r>
      <w:r w:rsidR="00C75D1B">
        <w:rPr>
          <w:lang w:val="fr-FR" w:eastAsia="en-GB"/>
        </w:rPr>
        <w:t> </w:t>
      </w:r>
      <w:r w:rsidRPr="00C70EFF">
        <w:rPr>
          <w:lang w:val="fr-FR" w:eastAsia="en-GB"/>
        </w:rPr>
        <w:t>V, 25</w:t>
      </w:r>
      <w:r w:rsidR="00C75D1B">
        <w:rPr>
          <w:lang w:val="fr-FR" w:eastAsia="en-GB"/>
        </w:rPr>
        <w:t> </w:t>
      </w:r>
      <w:r w:rsidRPr="00C70EFF">
        <w:rPr>
          <w:lang w:val="fr-FR" w:eastAsia="en-GB"/>
        </w:rPr>
        <w:t>R1 et 25</w:t>
      </w:r>
      <w:r w:rsidR="00C75D1B">
        <w:rPr>
          <w:lang w:val="fr-FR" w:eastAsia="en-GB"/>
        </w:rPr>
        <w:t> </w:t>
      </w:r>
      <w:r w:rsidRPr="00C70EFF">
        <w:rPr>
          <w:lang w:val="fr-FR" w:eastAsia="en-GB"/>
        </w:rPr>
        <w:t>L2, ainsi que sur le segment I</w:t>
      </w:r>
      <w:r w:rsidR="00A1343F">
        <w:rPr>
          <w:lang w:val="fr-FR" w:eastAsia="en-GB"/>
        </w:rPr>
        <w:t> ;</w:t>
      </w:r>
    </w:p>
    <w:p w:rsidR="001D4CDE" w:rsidRPr="00C70EFF" w:rsidRDefault="001D4CDE" w:rsidP="008C3302">
      <w:pPr>
        <w:pStyle w:val="SingleTxtG"/>
        <w:ind w:left="2268" w:hanging="1134"/>
        <w:rPr>
          <w:lang w:val="fr-FR"/>
        </w:rPr>
      </w:pPr>
      <w:r w:rsidRPr="00C70EFF">
        <w:rPr>
          <w:lang w:val="fr-FR" w:eastAsia="en-GB"/>
        </w:rPr>
        <w:t>1.2.2.2</w:t>
      </w:r>
      <w:r w:rsidRPr="00C70EFF">
        <w:rPr>
          <w:lang w:val="fr-FR" w:eastAsia="en-GB"/>
        </w:rPr>
        <w:tab/>
        <w:t>Et si, pour le faisceau de route, HV étant situé à l</w:t>
      </w:r>
      <w:r>
        <w:rPr>
          <w:lang w:val="fr-FR" w:eastAsia="en-GB"/>
        </w:rPr>
        <w:t>’</w:t>
      </w:r>
      <w:r w:rsidRPr="00C70EFF">
        <w:rPr>
          <w:lang w:val="fr-FR" w:eastAsia="en-GB"/>
        </w:rPr>
        <w:t>intérieur de l</w:t>
      </w:r>
      <w:r>
        <w:rPr>
          <w:lang w:val="fr-FR" w:eastAsia="en-GB"/>
        </w:rPr>
        <w:t>’</w:t>
      </w:r>
      <w:r w:rsidRPr="00C70EFF">
        <w:rPr>
          <w:lang w:val="fr-FR" w:eastAsia="en-GB"/>
        </w:rPr>
        <w:t>isolux 0,75</w:t>
      </w:r>
      <w:r w:rsidR="00C75D1B">
        <w:rPr>
          <w:lang w:val="fr-FR" w:eastAsia="en-GB"/>
        </w:rPr>
        <w:t> I</w:t>
      </w:r>
      <w:r w:rsidR="00C75D1B" w:rsidRPr="00C75D1B">
        <w:rPr>
          <w:vertAlign w:val="subscript"/>
          <w:lang w:val="fr-FR" w:eastAsia="en-GB"/>
        </w:rPr>
        <w:t>max</w:t>
      </w:r>
      <w:r w:rsidR="00C75D1B">
        <w:rPr>
          <w:lang w:val="fr-FR" w:eastAsia="en-GB"/>
        </w:rPr>
        <w:t>, une tolérance de +20 </w:t>
      </w:r>
      <w:r w:rsidRPr="00C70EFF">
        <w:rPr>
          <w:lang w:val="fr-FR" w:eastAsia="en-GB"/>
        </w:rPr>
        <w:t>% pou</w:t>
      </w:r>
      <w:r w:rsidR="00C75D1B">
        <w:rPr>
          <w:lang w:val="fr-FR" w:eastAsia="en-GB"/>
        </w:rPr>
        <w:t>r les valeurs maximum et de -20 </w:t>
      </w:r>
      <w:r w:rsidRPr="00C70EFF">
        <w:rPr>
          <w:lang w:val="fr-FR" w:eastAsia="en-GB"/>
        </w:rPr>
        <w:t>% pour les valeurs minimum est respectée pour les valeurs photométriques en tout point de mesure défini au paragraphe 6.3 du présent Règlement.</w:t>
      </w:r>
    </w:p>
    <w:p w:rsidR="001D4CDE" w:rsidRPr="00C70EFF" w:rsidRDefault="001D4CDE" w:rsidP="00016583">
      <w:pPr>
        <w:kinsoku/>
        <w:overflowPunct/>
        <w:autoSpaceDE/>
        <w:autoSpaceDN/>
        <w:adjustRightInd/>
        <w:snapToGrid/>
        <w:spacing w:after="120" w:line="240" w:lineRule="auto"/>
        <w:ind w:left="2268" w:right="1134" w:hanging="1701"/>
        <w:jc w:val="both"/>
        <w:rPr>
          <w:lang w:val="fr-FR"/>
        </w:rPr>
      </w:pPr>
      <w:r w:rsidRPr="00C70EFF">
        <w:rPr>
          <w:lang w:val="fr-FR"/>
        </w:rPr>
        <w:t>_______________</w:t>
      </w:r>
    </w:p>
    <w:p w:rsidR="001D4CDE" w:rsidRDefault="001D4CDE" w:rsidP="00016583">
      <w:pPr>
        <w:pStyle w:val="FootnoteText"/>
        <w:rPr>
          <w:lang w:val="fr-FR"/>
        </w:rPr>
      </w:pPr>
      <w:r w:rsidRPr="00C70EFF">
        <w:rPr>
          <w:lang w:val="fr-FR"/>
        </w:rPr>
        <w:tab/>
      </w:r>
      <w:r w:rsidRPr="00C70EFF">
        <w:rPr>
          <w:vertAlign w:val="superscript"/>
          <w:lang w:val="fr-FR"/>
        </w:rPr>
        <w:t>1</w:t>
      </w:r>
      <w:r w:rsidRPr="00C70EFF">
        <w:rPr>
          <w:lang w:val="fr-FR"/>
        </w:rPr>
        <w:tab/>
        <w:t>Les lettres entre parenthèses renvoient aux projecteurs destinés à la circulation à gauche.</w:t>
      </w:r>
      <w:r w:rsidR="00BA6BCD">
        <w:rPr>
          <w:lang w:val="fr-FR" w:eastAsia="en-GB"/>
        </w:rPr>
        <w:t> »</w:t>
      </w:r>
      <w:r w:rsidR="00BA6BCD" w:rsidRPr="00C70EFF">
        <w:rPr>
          <w:lang w:val="fr-FR" w:eastAsia="en-GB"/>
        </w:rPr>
        <w:t>.</w:t>
      </w:r>
    </w:p>
    <w:p w:rsidR="001D4CDE" w:rsidRPr="00C70EFF" w:rsidRDefault="001D4CDE" w:rsidP="00016583">
      <w:pPr>
        <w:pStyle w:val="SingleTxtG"/>
        <w:keepNext/>
        <w:spacing w:before="240"/>
        <w:ind w:left="2268" w:hanging="1134"/>
        <w:rPr>
          <w:lang w:val="fr-FR"/>
        </w:rPr>
      </w:pPr>
      <w:r w:rsidRPr="00C70EFF">
        <w:rPr>
          <w:i/>
          <w:lang w:val="fr-FR"/>
        </w:rPr>
        <w:lastRenderedPageBreak/>
        <w:t>Paragraphe 2.4</w:t>
      </w:r>
      <w:r>
        <w:rPr>
          <w:i/>
          <w:lang w:val="fr-FR"/>
        </w:rPr>
        <w:t>,</w:t>
      </w:r>
      <w:r w:rsidRPr="00C70EFF">
        <w:rPr>
          <w:lang w:val="fr-FR"/>
        </w:rPr>
        <w:t xml:space="preserve"> </w:t>
      </w:r>
      <w:r>
        <w:rPr>
          <w:lang w:val="fr-FR"/>
        </w:rPr>
        <w:t>lire</w:t>
      </w:r>
      <w:r w:rsidR="00A1343F">
        <w:rPr>
          <w:lang w:val="fr-FR"/>
        </w:rPr>
        <w:t> :</w:t>
      </w:r>
    </w:p>
    <w:p w:rsidR="001D4CDE" w:rsidRPr="00C70EFF" w:rsidRDefault="00F74154" w:rsidP="00016583">
      <w:pPr>
        <w:pStyle w:val="SingleTxtG"/>
        <w:keepNext/>
        <w:ind w:left="2268" w:hanging="1134"/>
        <w:rPr>
          <w:lang w:val="fr-FR"/>
        </w:rPr>
      </w:pPr>
      <w:r>
        <w:rPr>
          <w:lang w:val="fr-FR"/>
        </w:rPr>
        <w:t>« </w:t>
      </w:r>
      <w:r w:rsidR="001D4CDE" w:rsidRPr="00C70EFF">
        <w:rPr>
          <w:lang w:val="fr-FR"/>
        </w:rPr>
        <w:t>2.4</w:t>
      </w:r>
      <w:r w:rsidR="001D4CDE" w:rsidRPr="00C70EFF">
        <w:rPr>
          <w:lang w:val="fr-FR"/>
        </w:rPr>
        <w:tab/>
        <w:t xml:space="preserve">Caractéristiques photométriques mesurées et relevées </w:t>
      </w:r>
    </w:p>
    <w:p w:rsidR="001D4CDE" w:rsidRPr="00C70EFF" w:rsidRDefault="001D4CDE" w:rsidP="00016583">
      <w:pPr>
        <w:pStyle w:val="SingleTxtG"/>
        <w:ind w:left="2268"/>
        <w:rPr>
          <w:lang w:val="fr-FR"/>
        </w:rPr>
      </w:pPr>
      <w:r w:rsidRPr="00C70EFF">
        <w:rPr>
          <w:lang w:val="fr-FR"/>
        </w:rPr>
        <w:t>Les projecteurs prélevés sont soumis à des mesures photométriques aux points prévus par le Règlement, en limitant le relevé aux points I</w:t>
      </w:r>
      <w:r w:rsidRPr="00BA6BCD">
        <w:rPr>
          <w:vertAlign w:val="subscript"/>
          <w:lang w:val="fr-FR"/>
        </w:rPr>
        <w:t>max</w:t>
      </w:r>
      <w:r w:rsidRPr="00C70EFF">
        <w:rPr>
          <w:lang w:val="fr-FR"/>
        </w:rPr>
        <w:t>, HV</w:t>
      </w:r>
      <w:r w:rsidRPr="00C70EFF">
        <w:rPr>
          <w:vertAlign w:val="superscript"/>
          <w:lang w:val="fr-FR"/>
        </w:rPr>
        <w:t>1</w:t>
      </w:r>
      <w:r w:rsidRPr="00C70EFF">
        <w:rPr>
          <w:lang w:val="fr-FR"/>
        </w:rPr>
        <w:t>, HL, HR</w:t>
      </w:r>
      <w:r w:rsidRPr="00C70EFF">
        <w:rPr>
          <w:vertAlign w:val="superscript"/>
          <w:lang w:val="fr-FR"/>
        </w:rPr>
        <w:t>2</w:t>
      </w:r>
      <w:r w:rsidRPr="00C70EFF">
        <w:rPr>
          <w:lang w:val="fr-FR"/>
        </w:rPr>
        <w:t xml:space="preserve"> dans le cas du faisceau de route, et aux points B 50 L (ou R)</w:t>
      </w:r>
      <w:r w:rsidRPr="00C70EFF">
        <w:rPr>
          <w:vertAlign w:val="superscript"/>
          <w:lang w:val="fr-FR"/>
        </w:rPr>
        <w:t>1</w:t>
      </w:r>
      <w:r w:rsidRPr="00C70EFF">
        <w:rPr>
          <w:lang w:val="fr-FR"/>
        </w:rPr>
        <w:t>, 50</w:t>
      </w:r>
      <w:r w:rsidR="00016583">
        <w:rPr>
          <w:lang w:val="fr-FR"/>
        </w:rPr>
        <w:t> </w:t>
      </w:r>
      <w:r w:rsidRPr="00C70EFF">
        <w:rPr>
          <w:lang w:val="fr-FR"/>
        </w:rPr>
        <w:t>L (ou R), 50</w:t>
      </w:r>
      <w:r w:rsidR="00016583">
        <w:rPr>
          <w:lang w:val="fr-FR" w:eastAsia="en-GB"/>
        </w:rPr>
        <w:t> </w:t>
      </w:r>
      <w:r w:rsidRPr="00C70EFF">
        <w:rPr>
          <w:lang w:val="fr-FR"/>
        </w:rPr>
        <w:t>V, 75</w:t>
      </w:r>
      <w:r w:rsidR="00016583">
        <w:rPr>
          <w:lang w:val="fr-FR" w:eastAsia="en-GB"/>
        </w:rPr>
        <w:t> </w:t>
      </w:r>
      <w:r w:rsidRPr="00C70EFF">
        <w:rPr>
          <w:lang w:val="fr-FR"/>
        </w:rPr>
        <w:t>R (ou L) et 25</w:t>
      </w:r>
      <w:r w:rsidR="00016583">
        <w:rPr>
          <w:lang w:val="fr-FR" w:eastAsia="en-GB"/>
        </w:rPr>
        <w:t> </w:t>
      </w:r>
      <w:r w:rsidRPr="00C70EFF">
        <w:rPr>
          <w:lang w:val="fr-FR"/>
        </w:rPr>
        <w:t xml:space="preserve">L2 (ou R2) dans le cas du faisceau de croisement (voir </w:t>
      </w:r>
      <w:r w:rsidR="00016583">
        <w:rPr>
          <w:lang w:val="fr-FR"/>
        </w:rPr>
        <w:t>la figure</w:t>
      </w:r>
      <w:r w:rsidRPr="00C70EFF">
        <w:rPr>
          <w:lang w:val="fr-FR"/>
        </w:rPr>
        <w:t xml:space="preserve"> à l</w:t>
      </w:r>
      <w:r>
        <w:rPr>
          <w:lang w:val="fr-FR"/>
        </w:rPr>
        <w:t>’</w:t>
      </w:r>
      <w:r w:rsidRPr="00C70EFF">
        <w:rPr>
          <w:lang w:val="fr-FR"/>
        </w:rPr>
        <w:t>annexe 3).</w:t>
      </w:r>
      <w:r w:rsidR="00F74154">
        <w:rPr>
          <w:lang w:val="fr-FR"/>
        </w:rPr>
        <w:t> »</w:t>
      </w:r>
      <w:r w:rsidRPr="00C70EFF">
        <w:rPr>
          <w:lang w:val="fr-FR"/>
        </w:rPr>
        <w:t>.</w:t>
      </w:r>
    </w:p>
    <w:p w:rsidR="001D4CDE" w:rsidRPr="00016583" w:rsidRDefault="001D4CDE" w:rsidP="00F74154">
      <w:pPr>
        <w:pStyle w:val="SingleTxtG"/>
        <w:keepNext/>
        <w:ind w:left="2268" w:hanging="1134"/>
        <w:rPr>
          <w:lang w:val="fr-FR"/>
        </w:rPr>
      </w:pPr>
      <w:r w:rsidRPr="00C70EFF">
        <w:rPr>
          <w:i/>
          <w:lang w:val="fr-FR"/>
        </w:rPr>
        <w:t>Annexe 9</w:t>
      </w:r>
      <w:r w:rsidRPr="00016583">
        <w:rPr>
          <w:lang w:val="fr-FR"/>
        </w:rPr>
        <w:t xml:space="preserve">, </w:t>
      </w:r>
    </w:p>
    <w:p w:rsidR="001D4CDE" w:rsidRPr="00C70EFF" w:rsidRDefault="001D4CDE" w:rsidP="00F74154">
      <w:pPr>
        <w:pStyle w:val="SingleTxtG"/>
        <w:keepNext/>
        <w:ind w:left="2268" w:hanging="1134"/>
        <w:rPr>
          <w:lang w:val="fr-FR"/>
        </w:rPr>
      </w:pPr>
      <w:r w:rsidRPr="00C70EFF">
        <w:rPr>
          <w:i/>
          <w:lang w:val="fr-FR"/>
        </w:rPr>
        <w:t>Paragraphe 1.2</w:t>
      </w:r>
      <w:r w:rsidRPr="00016583">
        <w:rPr>
          <w:lang w:val="fr-FR"/>
        </w:rPr>
        <w:t>,</w:t>
      </w:r>
      <w:r w:rsidRPr="00C70EFF">
        <w:rPr>
          <w:i/>
          <w:lang w:val="fr-FR"/>
        </w:rPr>
        <w:t xml:space="preserve"> </w:t>
      </w:r>
      <w:r>
        <w:rPr>
          <w:lang w:val="fr-FR"/>
        </w:rPr>
        <w:t>lire</w:t>
      </w:r>
      <w:r w:rsidR="00A1343F">
        <w:rPr>
          <w:lang w:val="fr-FR"/>
        </w:rPr>
        <w:t> :</w:t>
      </w:r>
    </w:p>
    <w:p w:rsidR="001D4CDE" w:rsidRPr="00C70EFF" w:rsidRDefault="00F74154" w:rsidP="007B1A9F">
      <w:pPr>
        <w:pStyle w:val="SingleTxtG"/>
        <w:ind w:left="2268"/>
        <w:rPr>
          <w:lang w:val="fr-FR"/>
        </w:rPr>
      </w:pPr>
      <w:r>
        <w:rPr>
          <w:lang w:val="fr-FR"/>
        </w:rPr>
        <w:t>« </w:t>
      </w:r>
      <w:r w:rsidR="001D4CDE" w:rsidRPr="00C70EFF">
        <w:rPr>
          <w:lang w:val="fr-FR"/>
        </w:rPr>
        <w:t>…</w:t>
      </w:r>
    </w:p>
    <w:p w:rsidR="001D4CDE" w:rsidRPr="00C70EFF" w:rsidRDefault="001D4CDE" w:rsidP="007B1A9F">
      <w:pPr>
        <w:pStyle w:val="SingleTxtG"/>
        <w:ind w:left="2268"/>
        <w:rPr>
          <w:lang w:val="fr-FR"/>
        </w:rPr>
      </w:pPr>
      <w:r w:rsidRPr="00C70EFF">
        <w:rPr>
          <w:lang w:val="fr-FR"/>
        </w:rPr>
        <w:t>soit</w:t>
      </w:r>
    </w:p>
    <w:p w:rsidR="001D4CDE" w:rsidRPr="00C70EFF" w:rsidRDefault="001D4CDE" w:rsidP="007B1A9F">
      <w:pPr>
        <w:pStyle w:val="SingleTxtG"/>
        <w:ind w:left="2268"/>
        <w:rPr>
          <w:lang w:val="fr-FR"/>
        </w:rPr>
      </w:pPr>
      <w:r w:rsidRPr="00C70EFF">
        <w:rPr>
          <w:lang w:val="fr-FR"/>
        </w:rPr>
        <w:t>Équipé d</w:t>
      </w:r>
      <w:r>
        <w:rPr>
          <w:lang w:val="fr-FR"/>
        </w:rPr>
        <w:t>’</w:t>
      </w:r>
      <w:r w:rsidRPr="00C70EFF">
        <w:rPr>
          <w:lang w:val="fr-FR"/>
        </w:rPr>
        <w:t>une source lumineuse à décharge étalon selon…</w:t>
      </w:r>
      <w:r w:rsidR="00F74154">
        <w:rPr>
          <w:lang w:val="fr-FR"/>
        </w:rPr>
        <w:t> »</w:t>
      </w:r>
      <w:r w:rsidRPr="00C70EFF">
        <w:rPr>
          <w:lang w:val="fr-FR"/>
        </w:rPr>
        <w:t>.</w:t>
      </w:r>
    </w:p>
    <w:p w:rsidR="001D4CDE" w:rsidRPr="00C70EFF" w:rsidRDefault="001D4CDE" w:rsidP="00F20EBA">
      <w:pPr>
        <w:pStyle w:val="SingleTxtG"/>
        <w:keepNext/>
        <w:spacing w:after="100"/>
        <w:ind w:left="2268" w:hanging="1134"/>
        <w:rPr>
          <w:lang w:val="fr-FR"/>
        </w:rPr>
      </w:pPr>
      <w:r w:rsidRPr="00C70EFF">
        <w:rPr>
          <w:i/>
          <w:lang w:val="fr-FR"/>
        </w:rPr>
        <w:t>Paragraphe 1.2.2.1</w:t>
      </w:r>
      <w:r w:rsidRPr="00016583">
        <w:rPr>
          <w:lang w:val="fr-FR"/>
        </w:rPr>
        <w:t>,</w:t>
      </w:r>
      <w:r w:rsidRPr="00C70EFF">
        <w:rPr>
          <w:lang w:val="fr-FR"/>
        </w:rPr>
        <w:t xml:space="preserve"> </w:t>
      </w:r>
      <w:r>
        <w:rPr>
          <w:lang w:val="fr-FR"/>
        </w:rPr>
        <w:t>lire</w:t>
      </w:r>
      <w:r w:rsidR="00A1343F">
        <w:rPr>
          <w:lang w:val="fr-FR"/>
        </w:rPr>
        <w:t> :</w:t>
      </w:r>
    </w:p>
    <w:p w:rsidR="001D4CDE" w:rsidRPr="00C70EFF" w:rsidRDefault="00F74154" w:rsidP="00F20EBA">
      <w:pPr>
        <w:pStyle w:val="SingleTxtG"/>
        <w:spacing w:after="100"/>
        <w:ind w:left="2268" w:hanging="1134"/>
        <w:rPr>
          <w:i/>
          <w:lang w:val="fr-FR"/>
        </w:rPr>
      </w:pPr>
      <w:r>
        <w:rPr>
          <w:lang w:val="fr-FR"/>
        </w:rPr>
        <w:t>« </w:t>
      </w:r>
      <w:r w:rsidR="001D4CDE" w:rsidRPr="00C70EFF">
        <w:rPr>
          <w:lang w:val="fr-FR" w:eastAsia="en-GB"/>
        </w:rPr>
        <w:t xml:space="preserve">1.2.2.1 </w:t>
      </w:r>
      <w:r w:rsidR="001D4CDE" w:rsidRPr="00C70EFF">
        <w:rPr>
          <w:lang w:val="fr-FR" w:eastAsia="en-GB"/>
        </w:rPr>
        <w:tab/>
      </w:r>
      <w:r w:rsidR="001D4CDE" w:rsidRPr="00C70EFF">
        <w:rPr>
          <w:lang w:val="fr-FR" w:eastAsia="en-GB"/>
        </w:rPr>
        <w:tab/>
        <w:t>Pour le faisceau de croisement, les valeurs prescrites dans le présent Règlement sont atteintes en un point inscrit dans un cercle de 0,35</w:t>
      </w:r>
      <w:r w:rsidR="00016583">
        <w:rPr>
          <w:lang w:val="fr-FR" w:eastAsia="en-GB"/>
        </w:rPr>
        <w:t> </w:t>
      </w:r>
      <w:r w:rsidR="001D4CDE" w:rsidRPr="00C70EFF">
        <w:rPr>
          <w:lang w:val="fr-FR" w:eastAsia="en-GB"/>
        </w:rPr>
        <w:t>degré autour des points B 50 L (ou R) 1/ (avec une tolérance de +85 cd), 75</w:t>
      </w:r>
      <w:r w:rsidR="00016583">
        <w:rPr>
          <w:lang w:val="fr-FR" w:eastAsia="en-GB"/>
        </w:rPr>
        <w:t> </w:t>
      </w:r>
      <w:r w:rsidR="001D4CDE" w:rsidRPr="00C70EFF">
        <w:rPr>
          <w:lang w:val="fr-FR" w:eastAsia="en-GB"/>
        </w:rPr>
        <w:t>R (ou</w:t>
      </w:r>
      <w:r w:rsidR="00016583">
        <w:rPr>
          <w:lang w:val="fr-FR" w:eastAsia="en-GB"/>
        </w:rPr>
        <w:t> </w:t>
      </w:r>
      <w:r w:rsidR="001D4CDE" w:rsidRPr="00C70EFF">
        <w:rPr>
          <w:lang w:val="fr-FR" w:eastAsia="en-GB"/>
        </w:rPr>
        <w:t>L), 50 V, 25 R1 et 25 L2, 25 L2, ainsi que sur le segment I</w:t>
      </w:r>
      <w:r w:rsidR="00A1343F">
        <w:rPr>
          <w:lang w:val="fr-FR" w:eastAsia="en-GB"/>
        </w:rPr>
        <w:t> ;</w:t>
      </w:r>
      <w:r>
        <w:rPr>
          <w:lang w:val="fr-FR" w:eastAsia="en-GB"/>
        </w:rPr>
        <w:t> »</w:t>
      </w:r>
      <w:r w:rsidR="001D4CDE" w:rsidRPr="00C70EFF">
        <w:rPr>
          <w:lang w:val="fr-FR" w:eastAsia="en-GB"/>
        </w:rPr>
        <w:t xml:space="preserve">. </w:t>
      </w:r>
    </w:p>
    <w:p w:rsidR="001D4CDE" w:rsidRPr="00C70EFF" w:rsidRDefault="001D4CDE" w:rsidP="00F20EBA">
      <w:pPr>
        <w:pStyle w:val="SingleTxtG"/>
        <w:keepNext/>
        <w:spacing w:after="100"/>
        <w:ind w:left="2268" w:hanging="1134"/>
        <w:rPr>
          <w:lang w:val="fr-FR"/>
        </w:rPr>
      </w:pPr>
      <w:r w:rsidRPr="00C70EFF">
        <w:rPr>
          <w:i/>
          <w:lang w:val="fr-FR"/>
        </w:rPr>
        <w:t>Paragraphes 2 à 4</w:t>
      </w:r>
      <w:r w:rsidRPr="00016583">
        <w:rPr>
          <w:lang w:val="fr-FR"/>
        </w:rPr>
        <w:t>,</w:t>
      </w:r>
      <w:r w:rsidRPr="00C70EFF">
        <w:rPr>
          <w:bCs/>
          <w:i/>
          <w:iCs/>
          <w:lang w:val="fr-FR"/>
        </w:rPr>
        <w:t xml:space="preserve"> </w:t>
      </w:r>
      <w:r>
        <w:rPr>
          <w:lang w:val="fr-FR"/>
        </w:rPr>
        <w:t>lire</w:t>
      </w:r>
      <w:r w:rsidR="00A1343F">
        <w:rPr>
          <w:lang w:val="fr-FR"/>
        </w:rPr>
        <w:t> :</w:t>
      </w:r>
    </w:p>
    <w:p w:rsidR="001D4CDE" w:rsidRPr="00C70EFF" w:rsidRDefault="00F74154" w:rsidP="00F20EBA">
      <w:pPr>
        <w:pStyle w:val="SingleTxtG"/>
        <w:spacing w:after="100"/>
        <w:ind w:left="2268" w:hanging="1134"/>
        <w:jc w:val="left"/>
        <w:rPr>
          <w:lang w:val="fr-FR"/>
        </w:rPr>
      </w:pPr>
      <w:r>
        <w:rPr>
          <w:lang w:val="fr-FR"/>
        </w:rPr>
        <w:t>« </w:t>
      </w:r>
      <w:r w:rsidR="001D4CDE" w:rsidRPr="00C70EFF">
        <w:rPr>
          <w:lang w:val="fr-FR"/>
        </w:rPr>
        <w:t>2.</w:t>
      </w:r>
      <w:r w:rsidR="001D4CDE" w:rsidRPr="00C70EFF">
        <w:rPr>
          <w:lang w:val="fr-FR"/>
        </w:rPr>
        <w:tab/>
        <w:t xml:space="preserve">Premier prélèvement </w:t>
      </w:r>
    </w:p>
    <w:p w:rsidR="001D4CDE" w:rsidRPr="00C70EFF" w:rsidRDefault="001D4CDE" w:rsidP="00F20EBA">
      <w:pPr>
        <w:pStyle w:val="SingleTxtG"/>
        <w:spacing w:after="100"/>
        <w:ind w:left="2268"/>
        <w:rPr>
          <w:lang w:val="fr-FR"/>
        </w:rPr>
      </w:pPr>
      <w:r w:rsidRPr="00C70EFF">
        <w:rPr>
          <w:lang w:val="fr-FR"/>
        </w:rPr>
        <w:t>Lors du premier prélèvement, quatre projecteurs sont choisis au hasard. La</w:t>
      </w:r>
      <w:r w:rsidR="00F20EBA">
        <w:rPr>
          <w:lang w:val="fr-FR"/>
        </w:rPr>
        <w:t> </w:t>
      </w:r>
      <w:r w:rsidRPr="00C70EFF">
        <w:rPr>
          <w:lang w:val="fr-FR"/>
        </w:rPr>
        <w:t>lettre A est apposée sur le premier et le troisième, et la lettre B sur le deuxième et le quatrième.</w:t>
      </w:r>
    </w:p>
    <w:p w:rsidR="001D4CDE" w:rsidRPr="00C70EFF" w:rsidRDefault="001D4CDE" w:rsidP="00F20EBA">
      <w:pPr>
        <w:pStyle w:val="SingleTxtG"/>
        <w:spacing w:after="100"/>
        <w:ind w:left="2268" w:hanging="1134"/>
        <w:rPr>
          <w:lang w:val="fr-FR"/>
        </w:rPr>
      </w:pPr>
      <w:r w:rsidRPr="00C70EFF">
        <w:rPr>
          <w:lang w:val="fr-FR"/>
        </w:rPr>
        <w:t>2.1</w:t>
      </w:r>
      <w:r w:rsidRPr="00C70EFF">
        <w:rPr>
          <w:lang w:val="fr-FR"/>
        </w:rPr>
        <w:tab/>
        <w:t>La conformité des projecteurs de série n</w:t>
      </w:r>
      <w:r>
        <w:rPr>
          <w:lang w:val="fr-FR"/>
        </w:rPr>
        <w:t>’</w:t>
      </w:r>
      <w:r w:rsidRPr="00C70EFF">
        <w:rPr>
          <w:lang w:val="fr-FR"/>
        </w:rPr>
        <w:t>est pas contestée si aucune valeur mesurée sur les feux des échantillons A et B ne s</w:t>
      </w:r>
      <w:r>
        <w:rPr>
          <w:lang w:val="fr-FR"/>
        </w:rPr>
        <w:t>’</w:t>
      </w:r>
      <w:r w:rsidRPr="00C70EFF">
        <w:rPr>
          <w:lang w:val="fr-FR"/>
        </w:rPr>
        <w:t xml:space="preserve">écarte de plus de 20 % (pour aucun des quatre feux). </w:t>
      </w:r>
    </w:p>
    <w:p w:rsidR="001D4CDE" w:rsidRPr="00C70EFF" w:rsidRDefault="001D4CDE" w:rsidP="00F20EBA">
      <w:pPr>
        <w:pStyle w:val="SingleTxtG"/>
        <w:spacing w:after="100"/>
        <w:ind w:left="2268"/>
        <w:rPr>
          <w:lang w:val="fr-FR"/>
        </w:rPr>
      </w:pPr>
      <w:r w:rsidRPr="00C70EFF">
        <w:rPr>
          <w:lang w:val="fr-FR"/>
        </w:rPr>
        <w:tab/>
        <w:t>Si l</w:t>
      </w:r>
      <w:r>
        <w:rPr>
          <w:lang w:val="fr-FR"/>
        </w:rPr>
        <w:t>’</w:t>
      </w:r>
      <w:r w:rsidRPr="00C70EFF">
        <w:rPr>
          <w:lang w:val="fr-FR"/>
        </w:rPr>
        <w:t>écart n</w:t>
      </w:r>
      <w:r>
        <w:rPr>
          <w:lang w:val="fr-FR"/>
        </w:rPr>
        <w:t>’</w:t>
      </w:r>
      <w:r w:rsidRPr="00C70EFF">
        <w:rPr>
          <w:lang w:val="fr-FR"/>
        </w:rPr>
        <w:t xml:space="preserve">est pas supérieur à </w:t>
      </w:r>
      <w:r w:rsidRPr="00C70EFF">
        <w:rPr>
          <w:bCs/>
          <w:lang w:val="fr-FR"/>
        </w:rPr>
        <w:t>0</w:t>
      </w:r>
      <w:r w:rsidRPr="00C70EFF">
        <w:rPr>
          <w:lang w:val="fr-FR"/>
        </w:rPr>
        <w:t xml:space="preserve"> % pour les deux feux de l</w:t>
      </w:r>
      <w:r>
        <w:rPr>
          <w:lang w:val="fr-FR"/>
        </w:rPr>
        <w:t>’</w:t>
      </w:r>
      <w:r w:rsidRPr="00C70EFF">
        <w:rPr>
          <w:lang w:val="fr-FR"/>
        </w:rPr>
        <w:t>échantillon A on peut arrêter les mesures.</w:t>
      </w:r>
    </w:p>
    <w:p w:rsidR="001D4CDE" w:rsidRPr="00C70EFF" w:rsidRDefault="001D4CDE" w:rsidP="00F20EBA">
      <w:pPr>
        <w:pStyle w:val="SingleTxtG"/>
        <w:spacing w:after="100"/>
        <w:ind w:left="2268" w:hanging="1134"/>
        <w:rPr>
          <w:lang w:val="fr-FR"/>
        </w:rPr>
      </w:pPr>
      <w:r w:rsidRPr="00C70EFF">
        <w:rPr>
          <w:lang w:val="fr-FR"/>
        </w:rPr>
        <w:t>2.2</w:t>
      </w:r>
      <w:r w:rsidRPr="00C70EFF">
        <w:rPr>
          <w:lang w:val="fr-FR"/>
        </w:rPr>
        <w:tab/>
        <w:t>La conformité des projecteurs de série est contestée si l</w:t>
      </w:r>
      <w:r>
        <w:rPr>
          <w:lang w:val="fr-FR"/>
        </w:rPr>
        <w:t>’</w:t>
      </w:r>
      <w:r w:rsidRPr="00C70EFF">
        <w:rPr>
          <w:lang w:val="fr-FR"/>
        </w:rPr>
        <w:t xml:space="preserve">écart de la valeur mesurée sur au moins un projecteur des échantillons A ou B dépasse 20 %. </w:t>
      </w:r>
    </w:p>
    <w:p w:rsidR="001D4CDE" w:rsidRPr="00C70EFF" w:rsidRDefault="00F20EBA" w:rsidP="00F20EBA">
      <w:pPr>
        <w:pStyle w:val="SingleTxtG"/>
        <w:spacing w:after="100"/>
        <w:ind w:left="2268"/>
        <w:rPr>
          <w:lang w:val="fr-FR"/>
        </w:rPr>
      </w:pPr>
      <w:r>
        <w:rPr>
          <w:lang w:val="fr-FR"/>
        </w:rPr>
        <w:tab/>
      </w:r>
      <w:r w:rsidR="001D4CDE" w:rsidRPr="00C70EFF">
        <w:rPr>
          <w:lang w:val="fr-FR"/>
        </w:rPr>
        <w:t>Le fabricant doit être prié de mettre sa production en conformité avec les prescriptions et il faudra procéder à un deuxième prélèvement, conformément au paragraphe 3, dans les deux mois qui suivent la notification. Les échantillons A et B doivent être conservés par le service technique jusqu</w:t>
      </w:r>
      <w:r w:rsidR="001D4CDE">
        <w:rPr>
          <w:lang w:val="fr-FR"/>
        </w:rPr>
        <w:t>’</w:t>
      </w:r>
      <w:r w:rsidR="001D4CDE" w:rsidRPr="00C70EFF">
        <w:rPr>
          <w:lang w:val="fr-FR"/>
        </w:rPr>
        <w:t>à la fin du processus de vérification de la conformité.</w:t>
      </w:r>
    </w:p>
    <w:p w:rsidR="001D4CDE" w:rsidRPr="00C70EFF" w:rsidRDefault="001D4CDE" w:rsidP="00F20EBA">
      <w:pPr>
        <w:pStyle w:val="SingleTxtG"/>
        <w:keepNext/>
        <w:spacing w:after="100"/>
        <w:ind w:left="2268" w:hanging="1134"/>
        <w:jc w:val="left"/>
        <w:rPr>
          <w:lang w:val="fr-FR"/>
        </w:rPr>
      </w:pPr>
      <w:r w:rsidRPr="00C70EFF">
        <w:rPr>
          <w:lang w:val="fr-FR"/>
        </w:rPr>
        <w:t>3.</w:t>
      </w:r>
      <w:r w:rsidRPr="00C70EFF">
        <w:rPr>
          <w:lang w:val="fr-FR"/>
        </w:rPr>
        <w:tab/>
        <w:t>Deuxième prélèvement</w:t>
      </w:r>
    </w:p>
    <w:p w:rsidR="001D4CDE" w:rsidRPr="00C70EFF" w:rsidRDefault="001D4CDE" w:rsidP="00F20EBA">
      <w:pPr>
        <w:pStyle w:val="SingleTxtG"/>
        <w:spacing w:after="100"/>
        <w:ind w:left="2268"/>
        <w:rPr>
          <w:lang w:val="fr-FR"/>
        </w:rPr>
      </w:pPr>
      <w:r w:rsidRPr="00C70EFF">
        <w:rPr>
          <w:lang w:val="fr-FR"/>
        </w:rPr>
        <w:tab/>
        <w:t>On choisit au hasard un échantillon de quatre feux parmi le stock produit après mise en conformité.</w:t>
      </w:r>
    </w:p>
    <w:p w:rsidR="001D4CDE" w:rsidRPr="00C70EFF" w:rsidRDefault="001D4CDE" w:rsidP="00F20EBA">
      <w:pPr>
        <w:pStyle w:val="SingleTxtG"/>
        <w:spacing w:after="100"/>
        <w:ind w:left="2268"/>
        <w:rPr>
          <w:lang w:val="fr-FR"/>
        </w:rPr>
      </w:pPr>
      <w:r w:rsidRPr="00C70EFF">
        <w:rPr>
          <w:lang w:val="fr-FR"/>
        </w:rPr>
        <w:tab/>
        <w:t>La lettre C est apposée sur le premier et le troisième, et la lettre D sur le deuxième et le quatrième.</w:t>
      </w:r>
    </w:p>
    <w:p w:rsidR="001D4CDE" w:rsidRPr="00C70EFF" w:rsidRDefault="001D4CDE" w:rsidP="00F20EBA">
      <w:pPr>
        <w:pStyle w:val="SingleTxtG"/>
        <w:spacing w:after="100"/>
        <w:ind w:left="2268" w:hanging="1134"/>
        <w:rPr>
          <w:lang w:val="fr-FR"/>
        </w:rPr>
      </w:pPr>
      <w:r w:rsidRPr="00C70EFF">
        <w:rPr>
          <w:lang w:val="fr-FR"/>
        </w:rPr>
        <w:t>3.1</w:t>
      </w:r>
      <w:r w:rsidRPr="00C70EFF">
        <w:rPr>
          <w:lang w:val="fr-FR"/>
        </w:rPr>
        <w:tab/>
        <w:t>La conformité des projecteurs de série n</w:t>
      </w:r>
      <w:r>
        <w:rPr>
          <w:lang w:val="fr-FR"/>
        </w:rPr>
        <w:t>’</w:t>
      </w:r>
      <w:r w:rsidRPr="00C70EFF">
        <w:rPr>
          <w:lang w:val="fr-FR"/>
        </w:rPr>
        <w:t>est pas contestée si aucune valeur mesurée sur les feux des échantillons C et D ne s</w:t>
      </w:r>
      <w:r>
        <w:rPr>
          <w:lang w:val="fr-FR"/>
        </w:rPr>
        <w:t>’</w:t>
      </w:r>
      <w:r w:rsidRPr="00C70EFF">
        <w:rPr>
          <w:lang w:val="fr-FR"/>
        </w:rPr>
        <w:t xml:space="preserve">écarte de plus de 20 % (pour aucun des quatre feux). </w:t>
      </w:r>
    </w:p>
    <w:p w:rsidR="001D4CDE" w:rsidRPr="00C70EFF" w:rsidRDefault="001D4CDE" w:rsidP="007B1A9F">
      <w:pPr>
        <w:pStyle w:val="SingleTxtG"/>
        <w:ind w:left="2268"/>
        <w:rPr>
          <w:lang w:val="fr-FR"/>
        </w:rPr>
      </w:pPr>
      <w:r w:rsidRPr="00C70EFF">
        <w:rPr>
          <w:lang w:val="fr-FR"/>
        </w:rPr>
        <w:tab/>
        <w:t>Si l</w:t>
      </w:r>
      <w:r>
        <w:rPr>
          <w:lang w:val="fr-FR"/>
        </w:rPr>
        <w:t>’</w:t>
      </w:r>
      <w:r w:rsidRPr="00C70EFF">
        <w:rPr>
          <w:lang w:val="fr-FR"/>
        </w:rPr>
        <w:t>écart n</w:t>
      </w:r>
      <w:r>
        <w:rPr>
          <w:lang w:val="fr-FR"/>
        </w:rPr>
        <w:t>’</w:t>
      </w:r>
      <w:r w:rsidRPr="00C70EFF">
        <w:rPr>
          <w:lang w:val="fr-FR"/>
        </w:rPr>
        <w:t xml:space="preserve">est pas supérieur à </w:t>
      </w:r>
      <w:r w:rsidRPr="00C70EFF">
        <w:rPr>
          <w:bCs/>
          <w:lang w:val="fr-FR"/>
        </w:rPr>
        <w:t>0</w:t>
      </w:r>
      <w:r w:rsidRPr="00C70EFF">
        <w:rPr>
          <w:lang w:val="fr-FR"/>
        </w:rPr>
        <w:t> % pour les deux feux de l</w:t>
      </w:r>
      <w:r>
        <w:rPr>
          <w:lang w:val="fr-FR"/>
        </w:rPr>
        <w:t>’</w:t>
      </w:r>
      <w:r w:rsidRPr="00C70EFF">
        <w:rPr>
          <w:lang w:val="fr-FR"/>
        </w:rPr>
        <w:t>échantillon C on peut arrêter les mesures.</w:t>
      </w:r>
    </w:p>
    <w:p w:rsidR="001D4CDE" w:rsidRPr="00C70EFF" w:rsidRDefault="001D4CDE" w:rsidP="008C3302">
      <w:pPr>
        <w:pStyle w:val="SingleTxtG"/>
        <w:ind w:left="2268" w:hanging="1134"/>
        <w:rPr>
          <w:lang w:val="fr-FR"/>
        </w:rPr>
      </w:pPr>
      <w:r w:rsidRPr="00C70EFF">
        <w:rPr>
          <w:lang w:val="fr-FR"/>
        </w:rPr>
        <w:lastRenderedPageBreak/>
        <w:t>3.2</w:t>
      </w:r>
      <w:r w:rsidRPr="00C70EFF">
        <w:rPr>
          <w:lang w:val="fr-FR"/>
        </w:rPr>
        <w:tab/>
        <w:t>La conformité des projecteurs de série est contestée si l</w:t>
      </w:r>
      <w:r>
        <w:rPr>
          <w:lang w:val="fr-FR"/>
        </w:rPr>
        <w:t>’</w:t>
      </w:r>
      <w:r w:rsidRPr="00C70EFF">
        <w:rPr>
          <w:lang w:val="fr-FR"/>
        </w:rPr>
        <w:t>écart de la valeur mesurée sur au moins</w:t>
      </w:r>
      <w:r w:rsidR="00A1343F">
        <w:rPr>
          <w:lang w:val="fr-FR"/>
        </w:rPr>
        <w:t> :</w:t>
      </w:r>
    </w:p>
    <w:p w:rsidR="001D4CDE" w:rsidRPr="00C70EFF" w:rsidRDefault="001D4CDE" w:rsidP="008C3302">
      <w:pPr>
        <w:pStyle w:val="SingleTxtG"/>
        <w:ind w:left="2268" w:hanging="1134"/>
        <w:rPr>
          <w:lang w:val="fr-FR"/>
        </w:rPr>
      </w:pPr>
      <w:r w:rsidRPr="00C70EFF">
        <w:rPr>
          <w:lang w:val="fr-FR"/>
        </w:rPr>
        <w:t>3.2.1</w:t>
      </w:r>
      <w:r w:rsidRPr="00C70EFF">
        <w:rPr>
          <w:lang w:val="fr-FR"/>
        </w:rPr>
        <w:tab/>
      </w:r>
      <w:r>
        <w:rPr>
          <w:lang w:val="fr-FR"/>
        </w:rPr>
        <w:t>U</w:t>
      </w:r>
      <w:r w:rsidRPr="00C70EFF">
        <w:rPr>
          <w:lang w:val="fr-FR"/>
        </w:rPr>
        <w:t>n des échantillons C et D dépasse 20 % mais l</w:t>
      </w:r>
      <w:r>
        <w:rPr>
          <w:lang w:val="fr-FR"/>
        </w:rPr>
        <w:t>’</w:t>
      </w:r>
      <w:r w:rsidRPr="00C70EFF">
        <w:rPr>
          <w:lang w:val="fr-FR"/>
        </w:rPr>
        <w:t>écart de l</w:t>
      </w:r>
      <w:r>
        <w:rPr>
          <w:lang w:val="fr-FR"/>
        </w:rPr>
        <w:t>’</w:t>
      </w:r>
      <w:r w:rsidRPr="00C70EFF">
        <w:rPr>
          <w:lang w:val="fr-FR"/>
        </w:rPr>
        <w:t xml:space="preserve">ensemble de ces échantillons ne dépasse pas 30 %. </w:t>
      </w:r>
    </w:p>
    <w:p w:rsidR="001D4CDE" w:rsidRPr="00C70EFF" w:rsidRDefault="001D4CDE" w:rsidP="007B1A9F">
      <w:pPr>
        <w:pStyle w:val="SingleTxtG"/>
        <w:ind w:left="2268"/>
        <w:rPr>
          <w:lang w:val="fr-FR"/>
        </w:rPr>
      </w:pPr>
      <w:r w:rsidRPr="00C70EFF">
        <w:rPr>
          <w:lang w:val="fr-FR"/>
        </w:rPr>
        <w:t xml:space="preserve">Le fabricant doit être à nouveau prié de mettre sa production en conformité avec les prescriptions. </w:t>
      </w:r>
    </w:p>
    <w:p w:rsidR="001D4CDE" w:rsidRPr="00C70EFF" w:rsidRDefault="001D4CDE" w:rsidP="007B1A9F">
      <w:pPr>
        <w:pStyle w:val="SingleTxtG"/>
        <w:ind w:left="2268"/>
        <w:rPr>
          <w:lang w:val="fr-FR"/>
        </w:rPr>
      </w:pPr>
      <w:r w:rsidRPr="00C70EFF">
        <w:rPr>
          <w:lang w:val="fr-FR"/>
        </w:rPr>
        <w:t>Il faut procéder à un troisième prélèvement conformément au paragraphe 4 ci-après, dans les deux mois qui suivent la notification. Les échantillons C et D doivent être conservés par le service technique jusqu</w:t>
      </w:r>
      <w:r>
        <w:rPr>
          <w:lang w:val="fr-FR"/>
        </w:rPr>
        <w:t>’</w:t>
      </w:r>
      <w:r w:rsidRPr="00C70EFF">
        <w:rPr>
          <w:lang w:val="fr-FR"/>
        </w:rPr>
        <w:t>à la fin du processus de vérification de la conformité.</w:t>
      </w:r>
    </w:p>
    <w:p w:rsidR="001D4CDE" w:rsidRPr="00C70EFF" w:rsidRDefault="001D4CDE" w:rsidP="008C3302">
      <w:pPr>
        <w:pStyle w:val="SingleTxtG"/>
        <w:ind w:left="2268" w:hanging="1134"/>
        <w:rPr>
          <w:lang w:val="fr-FR"/>
        </w:rPr>
      </w:pPr>
      <w:r w:rsidRPr="00C70EFF">
        <w:rPr>
          <w:lang w:val="fr-FR"/>
        </w:rPr>
        <w:t>3.2.2</w:t>
      </w:r>
      <w:r w:rsidRPr="00C70EFF">
        <w:rPr>
          <w:lang w:val="fr-FR"/>
        </w:rPr>
        <w:tab/>
        <w:t>Un échantillon C ou D dépasse 30 %.</w:t>
      </w:r>
    </w:p>
    <w:p w:rsidR="001D4CDE" w:rsidRPr="00C70EFF" w:rsidRDefault="001D4CDE" w:rsidP="007B1A9F">
      <w:pPr>
        <w:pStyle w:val="SingleTxtG"/>
        <w:ind w:left="2268"/>
        <w:rPr>
          <w:lang w:val="fr-FR"/>
        </w:rPr>
      </w:pPr>
      <w:r w:rsidRPr="00C70EFF">
        <w:rPr>
          <w:lang w:val="fr-FR"/>
        </w:rPr>
        <w:tab/>
        <w:t>Dans ce cas, il faut retirer l</w:t>
      </w:r>
      <w:r>
        <w:rPr>
          <w:lang w:val="fr-FR"/>
        </w:rPr>
        <w:t>’</w:t>
      </w:r>
      <w:r w:rsidRPr="00C70EFF">
        <w:rPr>
          <w:lang w:val="fr-FR"/>
        </w:rPr>
        <w:t>homologation et appliquer les dispositions du paragraphe 5 ci-dessous.</w:t>
      </w:r>
    </w:p>
    <w:p w:rsidR="001D4CDE" w:rsidRPr="00C70EFF" w:rsidRDefault="001D4CDE" w:rsidP="00F20EBA">
      <w:pPr>
        <w:pStyle w:val="SingleTxtG"/>
        <w:keepNext/>
        <w:ind w:left="2268" w:hanging="1134"/>
        <w:jc w:val="left"/>
        <w:rPr>
          <w:lang w:val="fr-FR"/>
        </w:rPr>
      </w:pPr>
      <w:r w:rsidRPr="00C70EFF">
        <w:rPr>
          <w:lang w:val="fr-FR"/>
        </w:rPr>
        <w:t>4.</w:t>
      </w:r>
      <w:r w:rsidRPr="00C70EFF">
        <w:rPr>
          <w:lang w:val="fr-FR"/>
        </w:rPr>
        <w:tab/>
        <w:t>Troisième prélèvement</w:t>
      </w:r>
    </w:p>
    <w:p w:rsidR="001D4CDE" w:rsidRPr="00C70EFF" w:rsidRDefault="001D4CDE" w:rsidP="007B1A9F">
      <w:pPr>
        <w:pStyle w:val="SingleTxtG"/>
        <w:ind w:left="2268"/>
        <w:rPr>
          <w:lang w:val="fr-FR"/>
        </w:rPr>
      </w:pPr>
      <w:r w:rsidRPr="00C70EFF">
        <w:rPr>
          <w:lang w:val="fr-FR"/>
        </w:rPr>
        <w:tab/>
        <w:t xml:space="preserve">On choisit au hasard un échantillon de quatre feux parmi le stock produit après mise en conformité. </w:t>
      </w:r>
    </w:p>
    <w:p w:rsidR="001D4CDE" w:rsidRPr="00C70EFF" w:rsidRDefault="001D4CDE" w:rsidP="007B1A9F">
      <w:pPr>
        <w:pStyle w:val="SingleTxtG"/>
        <w:ind w:left="2268"/>
        <w:rPr>
          <w:lang w:val="fr-FR"/>
        </w:rPr>
      </w:pPr>
      <w:r w:rsidRPr="00C70EFF">
        <w:rPr>
          <w:lang w:val="fr-FR"/>
        </w:rPr>
        <w:tab/>
        <w:t>La lettre E est apposée sur le premier et le troisième, et la lettre F sur le deuxième et le quatrième.</w:t>
      </w:r>
    </w:p>
    <w:p w:rsidR="001D4CDE" w:rsidRPr="00C70EFF" w:rsidRDefault="001D4CDE" w:rsidP="008C3302">
      <w:pPr>
        <w:pStyle w:val="SingleTxtG"/>
        <w:ind w:left="2268" w:hanging="1134"/>
        <w:rPr>
          <w:lang w:val="fr-FR"/>
        </w:rPr>
      </w:pPr>
      <w:r w:rsidRPr="00C70EFF">
        <w:rPr>
          <w:lang w:val="fr-FR"/>
        </w:rPr>
        <w:t>4.1</w:t>
      </w:r>
      <w:r w:rsidRPr="00C70EFF">
        <w:rPr>
          <w:lang w:val="fr-FR"/>
        </w:rPr>
        <w:tab/>
        <w:t>La conformité des projecteurs de série n</w:t>
      </w:r>
      <w:r>
        <w:rPr>
          <w:lang w:val="fr-FR"/>
        </w:rPr>
        <w:t>’</w:t>
      </w:r>
      <w:r w:rsidRPr="00C70EFF">
        <w:rPr>
          <w:lang w:val="fr-FR"/>
        </w:rPr>
        <w:t>est pas contestée si aucune valeur mesurée sur les feux des échantillons E et F ne s</w:t>
      </w:r>
      <w:r>
        <w:rPr>
          <w:lang w:val="fr-FR"/>
        </w:rPr>
        <w:t>’</w:t>
      </w:r>
      <w:r w:rsidRPr="00C70EFF">
        <w:rPr>
          <w:lang w:val="fr-FR"/>
        </w:rPr>
        <w:t>écarte de plus de 20 % (pour aucun des quatre feux).</w:t>
      </w:r>
    </w:p>
    <w:p w:rsidR="001D4CDE" w:rsidRPr="00C70EFF" w:rsidRDefault="001D4CDE" w:rsidP="007B1A9F">
      <w:pPr>
        <w:pStyle w:val="SingleTxtG"/>
        <w:ind w:left="2268"/>
        <w:rPr>
          <w:lang w:val="fr-FR"/>
        </w:rPr>
      </w:pPr>
      <w:r w:rsidRPr="00C70EFF">
        <w:rPr>
          <w:lang w:val="fr-FR"/>
        </w:rPr>
        <w:tab/>
        <w:t>Si l</w:t>
      </w:r>
      <w:r>
        <w:rPr>
          <w:lang w:val="fr-FR"/>
        </w:rPr>
        <w:t>’</w:t>
      </w:r>
      <w:r w:rsidRPr="00C70EFF">
        <w:rPr>
          <w:lang w:val="fr-FR"/>
        </w:rPr>
        <w:t>écart n</w:t>
      </w:r>
      <w:r>
        <w:rPr>
          <w:lang w:val="fr-FR"/>
        </w:rPr>
        <w:t>’</w:t>
      </w:r>
      <w:r w:rsidRPr="00C70EFF">
        <w:rPr>
          <w:lang w:val="fr-FR"/>
        </w:rPr>
        <w:t xml:space="preserve">est pas supérieur à </w:t>
      </w:r>
      <w:r w:rsidRPr="00C70EFF">
        <w:rPr>
          <w:bCs/>
          <w:lang w:val="fr-FR"/>
        </w:rPr>
        <w:t>0</w:t>
      </w:r>
      <w:r w:rsidRPr="00C70EFF">
        <w:rPr>
          <w:lang w:val="fr-FR"/>
        </w:rPr>
        <w:t xml:space="preserve"> % pour les deux feux de l</w:t>
      </w:r>
      <w:r>
        <w:rPr>
          <w:lang w:val="fr-FR"/>
        </w:rPr>
        <w:t>’</w:t>
      </w:r>
      <w:r w:rsidRPr="00C70EFF">
        <w:rPr>
          <w:lang w:val="fr-FR"/>
        </w:rPr>
        <w:t>échantillon E on peut arrêter les mesures.</w:t>
      </w:r>
    </w:p>
    <w:p w:rsidR="001D4CDE" w:rsidRPr="00C70EFF" w:rsidRDefault="001D4CDE" w:rsidP="008C3302">
      <w:pPr>
        <w:pStyle w:val="SingleTxtG"/>
        <w:ind w:left="2268" w:hanging="1134"/>
        <w:rPr>
          <w:lang w:val="fr-FR"/>
        </w:rPr>
      </w:pPr>
      <w:r w:rsidRPr="00C70EFF">
        <w:rPr>
          <w:lang w:val="fr-FR"/>
        </w:rPr>
        <w:t>4.2</w:t>
      </w:r>
      <w:r w:rsidRPr="00C70EFF">
        <w:rPr>
          <w:lang w:val="fr-FR"/>
        </w:rPr>
        <w:tab/>
        <w:t>La conformité des projecteurs de série est contestée si l</w:t>
      </w:r>
      <w:r>
        <w:rPr>
          <w:lang w:val="fr-FR"/>
        </w:rPr>
        <w:t>’</w:t>
      </w:r>
      <w:r w:rsidRPr="00C70EFF">
        <w:rPr>
          <w:lang w:val="fr-FR"/>
        </w:rPr>
        <w:t>écart de la valeur mesurée sur au moins un feu des échantillons E ou F dépasse 20 %.</w:t>
      </w:r>
    </w:p>
    <w:p w:rsidR="001D4CDE" w:rsidRPr="00C70EFF" w:rsidRDefault="001D4CDE" w:rsidP="007B1A9F">
      <w:pPr>
        <w:pStyle w:val="SingleTxtG"/>
        <w:ind w:left="2268"/>
        <w:rPr>
          <w:lang w:val="fr-FR"/>
        </w:rPr>
      </w:pPr>
      <w:r w:rsidRPr="00C70EFF">
        <w:rPr>
          <w:lang w:val="fr-FR"/>
        </w:rPr>
        <w:t>Dans ce cas, il faut retirer l</w:t>
      </w:r>
      <w:r>
        <w:rPr>
          <w:lang w:val="fr-FR"/>
        </w:rPr>
        <w:t>’</w:t>
      </w:r>
      <w:r w:rsidRPr="00C70EFF">
        <w:rPr>
          <w:lang w:val="fr-FR"/>
        </w:rPr>
        <w:t xml:space="preserve">homologation et appliquer les dispositions du paragraphe 5 ci-dessous. </w:t>
      </w:r>
    </w:p>
    <w:p w:rsidR="001D4CDE" w:rsidRPr="00C70EFF" w:rsidRDefault="001D4CDE" w:rsidP="00F20EBA">
      <w:pPr>
        <w:pStyle w:val="SingleTxtG"/>
        <w:keepNext/>
        <w:ind w:left="2268" w:hanging="1134"/>
        <w:jc w:val="left"/>
        <w:rPr>
          <w:lang w:val="fr-FR"/>
        </w:rPr>
      </w:pPr>
      <w:r w:rsidRPr="00C70EFF">
        <w:rPr>
          <w:lang w:val="fr-FR"/>
        </w:rPr>
        <w:t>5.</w:t>
      </w:r>
      <w:r w:rsidRPr="00C70EFF">
        <w:rPr>
          <w:lang w:val="fr-FR"/>
        </w:rPr>
        <w:tab/>
      </w:r>
      <w:r w:rsidRPr="00C70EFF">
        <w:rPr>
          <w:lang w:val="fr-FR"/>
        </w:rPr>
        <w:tab/>
        <w:t>Retrait de l</w:t>
      </w:r>
      <w:r>
        <w:rPr>
          <w:lang w:val="fr-FR"/>
        </w:rPr>
        <w:t>’</w:t>
      </w:r>
      <w:r w:rsidRPr="00C70EFF">
        <w:rPr>
          <w:lang w:val="fr-FR"/>
        </w:rPr>
        <w:t>homologation</w:t>
      </w:r>
    </w:p>
    <w:p w:rsidR="001D4CDE" w:rsidRPr="00C70EFF" w:rsidRDefault="001D4CDE" w:rsidP="007B1A9F">
      <w:pPr>
        <w:pStyle w:val="SingleTxtG"/>
        <w:ind w:left="2268"/>
        <w:rPr>
          <w:lang w:val="fr-FR"/>
        </w:rPr>
      </w:pPr>
      <w:r w:rsidRPr="00C70EFF">
        <w:rPr>
          <w:lang w:val="fr-FR"/>
        </w:rPr>
        <w:tab/>
        <w:t>Il faut retirer l</w:t>
      </w:r>
      <w:r>
        <w:rPr>
          <w:lang w:val="fr-FR"/>
        </w:rPr>
        <w:t>’</w:t>
      </w:r>
      <w:r w:rsidRPr="00C70EFF">
        <w:rPr>
          <w:lang w:val="fr-FR"/>
        </w:rPr>
        <w:t>homologation en vertu du pa</w:t>
      </w:r>
      <w:r w:rsidR="00BA6BCD">
        <w:rPr>
          <w:lang w:val="fr-FR"/>
        </w:rPr>
        <w:t xml:space="preserve">ragraphe 10 du présent </w:t>
      </w:r>
      <w:r w:rsidRPr="00C70EFF">
        <w:rPr>
          <w:lang w:val="fr-FR"/>
        </w:rPr>
        <w:t>Règlement.</w:t>
      </w:r>
    </w:p>
    <w:p w:rsidR="001D4CDE" w:rsidRPr="00C70EFF" w:rsidRDefault="001D4CDE" w:rsidP="00F20EBA">
      <w:pPr>
        <w:pStyle w:val="SingleTxtG"/>
        <w:keepNext/>
        <w:ind w:left="2268" w:hanging="1134"/>
        <w:jc w:val="left"/>
        <w:rPr>
          <w:lang w:val="fr-FR"/>
        </w:rPr>
      </w:pPr>
      <w:r w:rsidRPr="00C70EFF">
        <w:rPr>
          <w:lang w:val="fr-FR"/>
        </w:rPr>
        <w:t>6.</w:t>
      </w:r>
      <w:r w:rsidRPr="00C70EFF">
        <w:rPr>
          <w:lang w:val="fr-FR"/>
        </w:rPr>
        <w:tab/>
        <w:t>Modification de la position verticale de la ligne de coupure</w:t>
      </w:r>
    </w:p>
    <w:p w:rsidR="001D4CDE" w:rsidRPr="00C70EFF" w:rsidRDefault="001D4CDE" w:rsidP="00C63CB2">
      <w:pPr>
        <w:pStyle w:val="SingleTxtG"/>
        <w:keepNext/>
        <w:ind w:left="2268"/>
        <w:rPr>
          <w:lang w:val="fr-FR"/>
        </w:rPr>
      </w:pPr>
      <w:r w:rsidRPr="00C70EFF">
        <w:rPr>
          <w:lang w:val="fr-FR"/>
        </w:rPr>
        <w:t>Pour vérifier comment change la position verticale de la ligne de coupure sous l</w:t>
      </w:r>
      <w:r>
        <w:rPr>
          <w:lang w:val="fr-FR"/>
        </w:rPr>
        <w:t>’</w:t>
      </w:r>
      <w:r w:rsidRPr="00C70EFF">
        <w:rPr>
          <w:lang w:val="fr-FR"/>
        </w:rPr>
        <w:t>effet de la chaleur, la méthode suivante doit être appliquée</w:t>
      </w:r>
      <w:r w:rsidR="00A1343F">
        <w:rPr>
          <w:lang w:val="fr-FR"/>
        </w:rPr>
        <w:t> :</w:t>
      </w:r>
      <w:r w:rsidRPr="00C70EFF">
        <w:rPr>
          <w:lang w:val="fr-FR"/>
        </w:rPr>
        <w:t xml:space="preserve"> </w:t>
      </w:r>
    </w:p>
    <w:p w:rsidR="001D4CDE" w:rsidRPr="00C70EFF" w:rsidRDefault="001D4CDE" w:rsidP="007B1A9F">
      <w:pPr>
        <w:pStyle w:val="SingleTxtG"/>
        <w:ind w:left="2268"/>
        <w:rPr>
          <w:lang w:val="fr-FR"/>
        </w:rPr>
      </w:pPr>
      <w:r w:rsidRPr="00C70EFF">
        <w:rPr>
          <w:lang w:val="fr-FR"/>
        </w:rPr>
        <w:t>Un des projecteurs de l</w:t>
      </w:r>
      <w:r>
        <w:rPr>
          <w:lang w:val="fr-FR"/>
        </w:rPr>
        <w:t>’</w:t>
      </w:r>
      <w:r w:rsidRPr="00C70EFF">
        <w:rPr>
          <w:lang w:val="fr-FR"/>
        </w:rPr>
        <w:t>échantillon A doit être soumis aux essais conformément à la procédure prévue au paragraphe 2.1 de l</w:t>
      </w:r>
      <w:r>
        <w:rPr>
          <w:lang w:val="fr-FR"/>
        </w:rPr>
        <w:t>’</w:t>
      </w:r>
      <w:r w:rsidRPr="00C70EFF">
        <w:rPr>
          <w:lang w:val="fr-FR"/>
        </w:rPr>
        <w:t>annexe 4 après avoir été soumis trois fois de suite au cycle défini au paragraphe 2.2.2 de l</w:t>
      </w:r>
      <w:r>
        <w:rPr>
          <w:lang w:val="fr-FR"/>
        </w:rPr>
        <w:t>’</w:t>
      </w:r>
      <w:r w:rsidRPr="00C70EFF">
        <w:rPr>
          <w:lang w:val="fr-FR"/>
        </w:rPr>
        <w:t xml:space="preserve">annexe 4. </w:t>
      </w:r>
    </w:p>
    <w:p w:rsidR="001D4CDE" w:rsidRPr="00C70EFF" w:rsidRDefault="001D4CDE" w:rsidP="007B1A9F">
      <w:pPr>
        <w:pStyle w:val="SingleTxtG"/>
        <w:ind w:left="2268"/>
        <w:rPr>
          <w:lang w:val="fr-FR"/>
        </w:rPr>
      </w:pPr>
      <w:r w:rsidRPr="00C70EFF">
        <w:rPr>
          <w:lang w:val="fr-FR"/>
        </w:rPr>
        <w:t>Le projecteur est considéré comme acce</w:t>
      </w:r>
      <w:r w:rsidR="004179B4">
        <w:rPr>
          <w:lang w:val="fr-FR"/>
        </w:rPr>
        <w:t>ptable si Δr ne dépasse pas 1,5 </w:t>
      </w:r>
      <w:r w:rsidRPr="00C70EFF">
        <w:rPr>
          <w:lang w:val="fr-FR"/>
        </w:rPr>
        <w:t>mrad vers le haut et 2,5</w:t>
      </w:r>
      <w:r w:rsidR="00857F9F">
        <w:rPr>
          <w:lang w:val="fr-FR" w:eastAsia="en-GB"/>
        </w:rPr>
        <w:t> </w:t>
      </w:r>
      <w:r w:rsidRPr="00C70EFF">
        <w:rPr>
          <w:lang w:val="fr-FR"/>
        </w:rPr>
        <w:t>mrad vers le bas.</w:t>
      </w:r>
    </w:p>
    <w:p w:rsidR="001D4CDE" w:rsidRPr="00C70EFF" w:rsidRDefault="001D4CDE" w:rsidP="007B1A9F">
      <w:pPr>
        <w:pStyle w:val="SingleTxtG"/>
        <w:ind w:left="2268"/>
        <w:rPr>
          <w:lang w:val="fr-FR"/>
        </w:rPr>
      </w:pPr>
      <w:r w:rsidRPr="00C70EFF">
        <w:rPr>
          <w:lang w:val="fr-FR"/>
        </w:rPr>
        <w:t>Si cette valeur dépasse 1,5</w:t>
      </w:r>
      <w:r w:rsidR="00857F9F">
        <w:rPr>
          <w:lang w:val="fr-FR" w:eastAsia="en-GB"/>
        </w:rPr>
        <w:t> </w:t>
      </w:r>
      <w:r w:rsidRPr="00C70EFF">
        <w:rPr>
          <w:lang w:val="fr-FR"/>
        </w:rPr>
        <w:t>mrad sans excéder 2 mrad vers le haut, ou dépasse 2,5</w:t>
      </w:r>
      <w:r w:rsidR="00857F9F">
        <w:rPr>
          <w:lang w:val="fr-FR" w:eastAsia="en-GB"/>
        </w:rPr>
        <w:t> </w:t>
      </w:r>
      <w:r w:rsidRPr="00C70EFF">
        <w:rPr>
          <w:lang w:val="fr-FR"/>
        </w:rPr>
        <w:t>mrad sans excéder 3</w:t>
      </w:r>
      <w:r w:rsidR="00857F9F">
        <w:rPr>
          <w:lang w:val="fr-FR" w:eastAsia="en-GB"/>
        </w:rPr>
        <w:t> </w:t>
      </w:r>
      <w:r w:rsidRPr="00C70EFF">
        <w:rPr>
          <w:lang w:val="fr-FR"/>
        </w:rPr>
        <w:t>mrad vers le bas, le second projecteur de l</w:t>
      </w:r>
      <w:r>
        <w:rPr>
          <w:lang w:val="fr-FR"/>
        </w:rPr>
        <w:t>’</w:t>
      </w:r>
      <w:r w:rsidRPr="00C70EFF">
        <w:rPr>
          <w:lang w:val="fr-FR"/>
        </w:rPr>
        <w:t>échantillon A est soumis à l</w:t>
      </w:r>
      <w:r>
        <w:rPr>
          <w:lang w:val="fr-FR"/>
        </w:rPr>
        <w:t>’</w:t>
      </w:r>
      <w:r w:rsidRPr="00C70EFF">
        <w:rPr>
          <w:lang w:val="fr-FR"/>
        </w:rPr>
        <w:t>essai, après quoi la moyenne des valeurs absolues enregistrées pour les deux échantillons ne doit pas dépasser 1,5</w:t>
      </w:r>
      <w:r w:rsidR="00857F9F">
        <w:rPr>
          <w:lang w:val="fr-FR"/>
        </w:rPr>
        <w:t> </w:t>
      </w:r>
      <w:r w:rsidRPr="00C70EFF">
        <w:rPr>
          <w:lang w:val="fr-FR"/>
        </w:rPr>
        <w:t>mrad vers le haut et 2,5</w:t>
      </w:r>
      <w:r w:rsidR="00857F9F">
        <w:rPr>
          <w:lang w:val="fr-FR" w:eastAsia="en-GB"/>
        </w:rPr>
        <w:t> </w:t>
      </w:r>
      <w:r w:rsidRPr="00C70EFF">
        <w:rPr>
          <w:lang w:val="fr-FR"/>
        </w:rPr>
        <w:t>mrad vers le bas.</w:t>
      </w:r>
    </w:p>
    <w:p w:rsidR="001D4CDE" w:rsidRPr="00C70EFF" w:rsidRDefault="001D4CDE" w:rsidP="007B1A9F">
      <w:pPr>
        <w:pStyle w:val="SingleTxtG"/>
        <w:ind w:left="2268"/>
        <w:rPr>
          <w:lang w:val="fr-FR"/>
        </w:rPr>
      </w:pPr>
      <w:r w:rsidRPr="00C70EFF">
        <w:rPr>
          <w:lang w:val="fr-FR"/>
        </w:rPr>
        <w:lastRenderedPageBreak/>
        <w:t>Toutefois, si cette valeur de 1,5</w:t>
      </w:r>
      <w:r w:rsidR="00857F9F">
        <w:rPr>
          <w:lang w:val="fr-FR" w:eastAsia="en-GB"/>
        </w:rPr>
        <w:t> </w:t>
      </w:r>
      <w:r w:rsidRPr="00C70EFF">
        <w:rPr>
          <w:lang w:val="fr-FR"/>
        </w:rPr>
        <w:t>mrad vers le haut et 2,5</w:t>
      </w:r>
      <w:r w:rsidR="00857F9F">
        <w:rPr>
          <w:lang w:val="fr-FR" w:eastAsia="en-GB"/>
        </w:rPr>
        <w:t> </w:t>
      </w:r>
      <w:r w:rsidRPr="00C70EFF">
        <w:rPr>
          <w:lang w:val="fr-FR"/>
        </w:rPr>
        <w:t>mrad vers le bas n</w:t>
      </w:r>
      <w:r>
        <w:rPr>
          <w:lang w:val="fr-FR"/>
        </w:rPr>
        <w:t>’</w:t>
      </w:r>
      <w:r w:rsidRPr="00C70EFF">
        <w:rPr>
          <w:lang w:val="fr-FR"/>
        </w:rPr>
        <w:t>est pas respectée pour l</w:t>
      </w:r>
      <w:r>
        <w:rPr>
          <w:lang w:val="fr-FR"/>
        </w:rPr>
        <w:t>’</w:t>
      </w:r>
      <w:r w:rsidRPr="00C70EFF">
        <w:rPr>
          <w:lang w:val="fr-FR"/>
        </w:rPr>
        <w:t>échantillon A, les deux projecteurs de l</w:t>
      </w:r>
      <w:r>
        <w:rPr>
          <w:lang w:val="fr-FR"/>
        </w:rPr>
        <w:t>’</w:t>
      </w:r>
      <w:r w:rsidRPr="00C70EFF">
        <w:rPr>
          <w:lang w:val="fr-FR"/>
        </w:rPr>
        <w:t>échantillon B sont soumis à la même procédure, et la valeur de Δr pour chacun d</w:t>
      </w:r>
      <w:r>
        <w:rPr>
          <w:lang w:val="fr-FR"/>
        </w:rPr>
        <w:t>’</w:t>
      </w:r>
      <w:r w:rsidRPr="00C70EFF">
        <w:rPr>
          <w:lang w:val="fr-FR"/>
        </w:rPr>
        <w:t>entre eux ne doit pas dépasser 1,5</w:t>
      </w:r>
      <w:r w:rsidR="00857F9F">
        <w:rPr>
          <w:lang w:val="fr-FR" w:eastAsia="en-GB"/>
        </w:rPr>
        <w:t> </w:t>
      </w:r>
      <w:r w:rsidRPr="00C70EFF">
        <w:rPr>
          <w:lang w:val="fr-FR"/>
        </w:rPr>
        <w:t>mrad vers le haut et 2,5</w:t>
      </w:r>
      <w:r w:rsidR="00857F9F">
        <w:rPr>
          <w:lang w:val="fr-FR" w:eastAsia="en-GB"/>
        </w:rPr>
        <w:t> </w:t>
      </w:r>
      <w:r w:rsidRPr="00C70EFF">
        <w:rPr>
          <w:lang w:val="fr-FR"/>
        </w:rPr>
        <w:t>mrad vers le bas</w:t>
      </w:r>
      <w:r w:rsidR="00857F9F">
        <w:rPr>
          <w:lang w:val="fr-FR"/>
        </w:rPr>
        <w:t>.</w:t>
      </w:r>
      <w:r w:rsidR="00F74154">
        <w:rPr>
          <w:lang w:val="fr-FR"/>
        </w:rPr>
        <w:t> »</w:t>
      </w:r>
      <w:r w:rsidRPr="00C70EFF">
        <w:rPr>
          <w:lang w:val="fr-FR"/>
        </w:rPr>
        <w:t xml:space="preserve">. </w:t>
      </w:r>
    </w:p>
    <w:p w:rsidR="00F9573C" w:rsidRDefault="001D4CDE" w:rsidP="00F74154">
      <w:pPr>
        <w:pStyle w:val="SingleTxtG"/>
        <w:ind w:left="2268" w:hanging="1134"/>
        <w:rPr>
          <w:lang w:val="fr-FR"/>
        </w:rPr>
      </w:pPr>
      <w:r w:rsidRPr="00C70EFF">
        <w:rPr>
          <w:i/>
          <w:lang w:val="fr-FR"/>
        </w:rPr>
        <w:t>Figure 1</w:t>
      </w:r>
      <w:r w:rsidRPr="00C70EFF">
        <w:rPr>
          <w:lang w:val="fr-FR"/>
        </w:rPr>
        <w:t>,</w:t>
      </w:r>
      <w:r w:rsidRPr="00C70EFF">
        <w:rPr>
          <w:i/>
          <w:lang w:val="fr-FR"/>
        </w:rPr>
        <w:t xml:space="preserve"> </w:t>
      </w:r>
      <w:r w:rsidRPr="00C70EFF">
        <w:rPr>
          <w:lang w:val="fr-FR"/>
        </w:rPr>
        <w:t>supprimer.</w:t>
      </w:r>
    </w:p>
    <w:p w:rsidR="00F74154" w:rsidRPr="00F74154" w:rsidRDefault="00F74154" w:rsidP="00F74154">
      <w:pPr>
        <w:pStyle w:val="SingleTxtG"/>
        <w:spacing w:before="240" w:after="0"/>
        <w:jc w:val="center"/>
        <w:rPr>
          <w:u w:val="single"/>
        </w:rPr>
      </w:pPr>
      <w:r>
        <w:rPr>
          <w:u w:val="single"/>
        </w:rPr>
        <w:tab/>
      </w:r>
      <w:r>
        <w:rPr>
          <w:u w:val="single"/>
        </w:rPr>
        <w:tab/>
      </w:r>
      <w:r>
        <w:rPr>
          <w:u w:val="single"/>
        </w:rPr>
        <w:tab/>
      </w:r>
    </w:p>
    <w:sectPr w:rsidR="00F74154" w:rsidRPr="00F74154" w:rsidSect="00697309">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43F" w:rsidRDefault="00A1343F" w:rsidP="00F95C08">
      <w:pPr>
        <w:spacing w:line="240" w:lineRule="auto"/>
      </w:pPr>
    </w:p>
  </w:endnote>
  <w:endnote w:type="continuationSeparator" w:id="0">
    <w:p w:rsidR="00A1343F" w:rsidRPr="00AC3823" w:rsidRDefault="00A1343F" w:rsidP="00AC3823">
      <w:pPr>
        <w:pStyle w:val="Footer"/>
      </w:pPr>
    </w:p>
  </w:endnote>
  <w:endnote w:type="continuationNotice" w:id="1">
    <w:p w:rsidR="00A1343F" w:rsidRDefault="00A134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3F" w:rsidRPr="00697309" w:rsidRDefault="00A1343F" w:rsidP="00697309">
    <w:pPr>
      <w:pStyle w:val="Footer"/>
      <w:tabs>
        <w:tab w:val="right" w:pos="9638"/>
      </w:tabs>
    </w:pPr>
    <w:r w:rsidRPr="00697309">
      <w:rPr>
        <w:b/>
        <w:sz w:val="18"/>
      </w:rPr>
      <w:fldChar w:fldCharType="begin"/>
    </w:r>
    <w:r w:rsidRPr="00697309">
      <w:rPr>
        <w:b/>
        <w:sz w:val="18"/>
      </w:rPr>
      <w:instrText xml:space="preserve"> PAGE  \* MERGEFORMAT </w:instrText>
    </w:r>
    <w:r w:rsidRPr="00697309">
      <w:rPr>
        <w:b/>
        <w:sz w:val="18"/>
      </w:rPr>
      <w:fldChar w:fldCharType="separate"/>
    </w:r>
    <w:r w:rsidR="006E7133">
      <w:rPr>
        <w:b/>
        <w:noProof/>
        <w:sz w:val="18"/>
      </w:rPr>
      <w:t>2</w:t>
    </w:r>
    <w:r w:rsidRPr="00697309">
      <w:rPr>
        <w:b/>
        <w:sz w:val="18"/>
      </w:rPr>
      <w:fldChar w:fldCharType="end"/>
    </w:r>
    <w:r>
      <w:rPr>
        <w:b/>
        <w:sz w:val="18"/>
      </w:rPr>
      <w:tab/>
    </w:r>
    <w:r>
      <w:t>GE.16-22498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3F" w:rsidRPr="00697309" w:rsidRDefault="00A1343F" w:rsidP="00697309">
    <w:pPr>
      <w:pStyle w:val="Footer"/>
      <w:tabs>
        <w:tab w:val="right" w:pos="9638"/>
      </w:tabs>
      <w:rPr>
        <w:b/>
        <w:sz w:val="18"/>
      </w:rPr>
    </w:pPr>
    <w:r>
      <w:t>GE.16-22498</w:t>
    </w:r>
    <w:r>
      <w:tab/>
    </w:r>
    <w:r w:rsidRPr="00697309">
      <w:rPr>
        <w:b/>
        <w:sz w:val="18"/>
      </w:rPr>
      <w:fldChar w:fldCharType="begin"/>
    </w:r>
    <w:r w:rsidRPr="00697309">
      <w:rPr>
        <w:b/>
        <w:sz w:val="18"/>
      </w:rPr>
      <w:instrText xml:space="preserve"> PAGE  \* MERGEFORMAT </w:instrText>
    </w:r>
    <w:r w:rsidRPr="00697309">
      <w:rPr>
        <w:b/>
        <w:sz w:val="18"/>
      </w:rPr>
      <w:fldChar w:fldCharType="separate"/>
    </w:r>
    <w:r w:rsidR="006E7133">
      <w:rPr>
        <w:b/>
        <w:noProof/>
        <w:sz w:val="18"/>
      </w:rPr>
      <w:t>3</w:t>
    </w:r>
    <w:r w:rsidRPr="006973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3F" w:rsidRPr="00697309" w:rsidRDefault="00A1343F" w:rsidP="00697309">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EA878D7" wp14:editId="4030850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16-22498  (F)    230117    240117</w:t>
    </w:r>
    <w:r>
      <w:rPr>
        <w:sz w:val="20"/>
      </w:rPr>
      <w:br/>
    </w:r>
    <w:r w:rsidRPr="00697309">
      <w:rPr>
        <w:rFonts w:ascii="C39T30Lfz" w:hAnsi="C39T30Lfz"/>
        <w:sz w:val="56"/>
      </w:rPr>
      <w:t></w:t>
    </w:r>
    <w:r w:rsidRPr="00697309">
      <w:rPr>
        <w:rFonts w:ascii="C39T30Lfz" w:hAnsi="C39T30Lfz"/>
        <w:sz w:val="56"/>
      </w:rPr>
      <w:t></w:t>
    </w:r>
    <w:r w:rsidRPr="00697309">
      <w:rPr>
        <w:rFonts w:ascii="C39T30Lfz" w:hAnsi="C39T30Lfz"/>
        <w:sz w:val="56"/>
      </w:rPr>
      <w:t></w:t>
    </w:r>
    <w:r w:rsidRPr="00697309">
      <w:rPr>
        <w:rFonts w:ascii="C39T30Lfz" w:hAnsi="C39T30Lfz"/>
        <w:sz w:val="56"/>
      </w:rPr>
      <w:t></w:t>
    </w:r>
    <w:r w:rsidRPr="00697309">
      <w:rPr>
        <w:rFonts w:ascii="C39T30Lfz" w:hAnsi="C39T30Lfz"/>
        <w:sz w:val="56"/>
      </w:rPr>
      <w:t></w:t>
    </w:r>
    <w:r w:rsidRPr="00697309">
      <w:rPr>
        <w:rFonts w:ascii="C39T30Lfz" w:hAnsi="C39T30Lfz"/>
        <w:sz w:val="56"/>
      </w:rPr>
      <w:t></w:t>
    </w:r>
    <w:r w:rsidRPr="00697309">
      <w:rPr>
        <w:rFonts w:ascii="C39T30Lfz" w:hAnsi="C39T30Lfz"/>
        <w:sz w:val="56"/>
      </w:rPr>
      <w:t></w:t>
    </w:r>
    <w:r w:rsidRPr="00697309">
      <w:rPr>
        <w:rFonts w:ascii="C39T30Lfz" w:hAnsi="C39T30Lfz"/>
        <w:sz w:val="56"/>
      </w:rPr>
      <w:t></w:t>
    </w:r>
    <w:r w:rsidRPr="00697309">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2017/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43F" w:rsidRPr="00AC3823" w:rsidRDefault="00A1343F" w:rsidP="00AC3823">
      <w:pPr>
        <w:pStyle w:val="Footer"/>
        <w:tabs>
          <w:tab w:val="right" w:pos="2155"/>
        </w:tabs>
        <w:spacing w:after="80" w:line="240" w:lineRule="atLeast"/>
        <w:ind w:left="680"/>
        <w:rPr>
          <w:u w:val="single"/>
        </w:rPr>
      </w:pPr>
      <w:r>
        <w:rPr>
          <w:u w:val="single"/>
        </w:rPr>
        <w:tab/>
      </w:r>
    </w:p>
  </w:footnote>
  <w:footnote w:type="continuationSeparator" w:id="0">
    <w:p w:rsidR="00A1343F" w:rsidRPr="00AC3823" w:rsidRDefault="00A1343F" w:rsidP="00AC3823">
      <w:pPr>
        <w:pStyle w:val="Footer"/>
        <w:tabs>
          <w:tab w:val="right" w:pos="2155"/>
        </w:tabs>
        <w:spacing w:after="80" w:line="240" w:lineRule="atLeast"/>
        <w:ind w:left="680"/>
        <w:rPr>
          <w:u w:val="single"/>
        </w:rPr>
      </w:pPr>
      <w:r>
        <w:rPr>
          <w:u w:val="single"/>
        </w:rPr>
        <w:tab/>
      </w:r>
    </w:p>
  </w:footnote>
  <w:footnote w:type="continuationNotice" w:id="1">
    <w:p w:rsidR="00A1343F" w:rsidRPr="00AC3823" w:rsidRDefault="00A1343F">
      <w:pPr>
        <w:spacing w:line="240" w:lineRule="auto"/>
        <w:rPr>
          <w:sz w:val="2"/>
          <w:szCs w:val="2"/>
        </w:rPr>
      </w:pPr>
    </w:p>
  </w:footnote>
  <w:footnote w:id="2">
    <w:p w:rsidR="00A1343F" w:rsidRPr="00ED017D" w:rsidRDefault="00A1343F" w:rsidP="001D4CDE">
      <w:pPr>
        <w:pStyle w:val="FootnoteText"/>
        <w:rPr>
          <w:lang w:val="fr-FR"/>
        </w:rPr>
      </w:pPr>
      <w:r w:rsidRPr="00ED017D">
        <w:rPr>
          <w:lang w:val="fr-FR"/>
        </w:rPr>
        <w:tab/>
      </w:r>
      <w:r w:rsidRPr="00055FDE">
        <w:rPr>
          <w:sz w:val="20"/>
          <w:lang w:val="fr-FR"/>
        </w:rPr>
        <w:t>*</w:t>
      </w:r>
      <w:r w:rsidRPr="00ED017D">
        <w:rPr>
          <w:sz w:val="20"/>
          <w:lang w:val="fr-FR"/>
        </w:rPr>
        <w:tab/>
      </w:r>
      <w:r w:rsidRPr="00CD515E">
        <w:rPr>
          <w:lang w:val="fr-FR"/>
        </w:rPr>
        <w:t xml:space="preserve">Conformément au programme de travail du Comité des transports intérieurs pour la période </w:t>
      </w:r>
      <w:r w:rsidRPr="00CD515E">
        <w:rPr>
          <w:szCs w:val="18"/>
          <w:lang w:val="fr-FR"/>
        </w:rPr>
        <w:t>2016</w:t>
      </w:r>
      <w:r w:rsidRPr="00CD515E">
        <w:rPr>
          <w:szCs w:val="18"/>
          <w:lang w:val="fr-FR"/>
        </w:rPr>
        <w:noBreakHyphen/>
        <w:t xml:space="preserve">2017 (ECE/TRANS/254, par. 159, et ECE/TRANS/2016/28/Add.1, module 3.1), </w:t>
      </w:r>
      <w:r w:rsidRPr="00CD515E">
        <w:rPr>
          <w:lang w:val="fr-FR"/>
        </w:rPr>
        <w:t>le Forum mondial a pour mission d’élaborer, d’harmoniser et de mettre à jour les Règlements en vue d’améliorer les caractéristiques fonctionnelles des véhicules</w:t>
      </w:r>
      <w:r w:rsidRPr="00CD515E">
        <w:rPr>
          <w:szCs w:val="18"/>
          <w:lang w:val="fr-FR"/>
        </w:rPr>
        <w:t xml:space="preserve">. </w:t>
      </w:r>
      <w:r w:rsidRPr="00CD515E">
        <w:rPr>
          <w:lang w:val="fr-FR"/>
        </w:rPr>
        <w:t xml:space="preserve">Le présent document est soumis </w:t>
      </w:r>
      <w:r w:rsidRPr="00CD515E">
        <w:rPr>
          <w:lang w:val="fr-FR"/>
        </w:rPr>
        <w:br/>
      </w:r>
      <w:r>
        <w:rPr>
          <w:lang w:val="fr-FR"/>
        </w:rPr>
        <w:t>en vertu</w:t>
      </w:r>
      <w:r w:rsidRPr="00CD515E">
        <w:rPr>
          <w:lang w:val="fr-FR"/>
        </w:rPr>
        <w:t xml:space="preserve"> de ce mandat</w:t>
      </w:r>
      <w:r w:rsidRPr="00CD515E">
        <w:rPr>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3F" w:rsidRPr="00697309" w:rsidRDefault="00A1343F">
    <w:pPr>
      <w:pStyle w:val="Header"/>
    </w:pPr>
    <w:r>
      <w:t>ECE/TRANS/WP.29/2017/35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3F" w:rsidRPr="00697309" w:rsidRDefault="00A1343F" w:rsidP="00697309">
    <w:pPr>
      <w:pStyle w:val="Header"/>
      <w:jc w:val="right"/>
    </w:pPr>
    <w:r>
      <w:t>ECE/TRANS/WP.29/2017/35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CBA0E57"/>
    <w:multiLevelType w:val="hybridMultilevel"/>
    <w:tmpl w:val="643E217C"/>
    <w:lvl w:ilvl="0" w:tplc="BC92C09A">
      <w:start w:val="1"/>
      <w:numFmt w:val="lowerLetter"/>
      <w:lvlText w:val="%1)"/>
      <w:lvlJc w:val="left"/>
      <w:pPr>
        <w:ind w:left="2838" w:hanging="57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63"/>
    <w:rsid w:val="00016583"/>
    <w:rsid w:val="00017036"/>
    <w:rsid w:val="00017F94"/>
    <w:rsid w:val="00023842"/>
    <w:rsid w:val="000334F9"/>
    <w:rsid w:val="0007796D"/>
    <w:rsid w:val="000B7790"/>
    <w:rsid w:val="000E5270"/>
    <w:rsid w:val="000F68CA"/>
    <w:rsid w:val="0010288C"/>
    <w:rsid w:val="00111F2F"/>
    <w:rsid w:val="0014365E"/>
    <w:rsid w:val="00143C66"/>
    <w:rsid w:val="00176178"/>
    <w:rsid w:val="001D4CDE"/>
    <w:rsid w:val="001E5E9A"/>
    <w:rsid w:val="001F525A"/>
    <w:rsid w:val="00223272"/>
    <w:rsid w:val="0024779E"/>
    <w:rsid w:val="00257168"/>
    <w:rsid w:val="002744B8"/>
    <w:rsid w:val="002832AC"/>
    <w:rsid w:val="00296682"/>
    <w:rsid w:val="002B4759"/>
    <w:rsid w:val="002C71A7"/>
    <w:rsid w:val="002D7C93"/>
    <w:rsid w:val="00305801"/>
    <w:rsid w:val="003916DE"/>
    <w:rsid w:val="004179B4"/>
    <w:rsid w:val="00441C3B"/>
    <w:rsid w:val="00446FE5"/>
    <w:rsid w:val="00452396"/>
    <w:rsid w:val="00470352"/>
    <w:rsid w:val="0047664D"/>
    <w:rsid w:val="004837D8"/>
    <w:rsid w:val="004E3263"/>
    <w:rsid w:val="004E468C"/>
    <w:rsid w:val="005505B7"/>
    <w:rsid w:val="00573BE5"/>
    <w:rsid w:val="00586ED3"/>
    <w:rsid w:val="00596AA9"/>
    <w:rsid w:val="0061346A"/>
    <w:rsid w:val="00687CEA"/>
    <w:rsid w:val="00687D56"/>
    <w:rsid w:val="00697309"/>
    <w:rsid w:val="006E7133"/>
    <w:rsid w:val="0071601D"/>
    <w:rsid w:val="007A62E6"/>
    <w:rsid w:val="007B1A9F"/>
    <w:rsid w:val="007F20FA"/>
    <w:rsid w:val="0080684C"/>
    <w:rsid w:val="00857F9F"/>
    <w:rsid w:val="00871C75"/>
    <w:rsid w:val="008776DC"/>
    <w:rsid w:val="008C3302"/>
    <w:rsid w:val="008E4FC0"/>
    <w:rsid w:val="009705C8"/>
    <w:rsid w:val="009C1CF4"/>
    <w:rsid w:val="009F6B74"/>
    <w:rsid w:val="00A1343F"/>
    <w:rsid w:val="00A30353"/>
    <w:rsid w:val="00AC3823"/>
    <w:rsid w:val="00AE323C"/>
    <w:rsid w:val="00AF0CB5"/>
    <w:rsid w:val="00B00181"/>
    <w:rsid w:val="00B00B0D"/>
    <w:rsid w:val="00B765F7"/>
    <w:rsid w:val="00BA0CA9"/>
    <w:rsid w:val="00BA6BCD"/>
    <w:rsid w:val="00C02897"/>
    <w:rsid w:val="00C4481A"/>
    <w:rsid w:val="00C63CB2"/>
    <w:rsid w:val="00C75D1B"/>
    <w:rsid w:val="00D3439C"/>
    <w:rsid w:val="00DB1831"/>
    <w:rsid w:val="00DD3BFD"/>
    <w:rsid w:val="00DF4B56"/>
    <w:rsid w:val="00DF6678"/>
    <w:rsid w:val="00E456D4"/>
    <w:rsid w:val="00E747AE"/>
    <w:rsid w:val="00E85C74"/>
    <w:rsid w:val="00EA6547"/>
    <w:rsid w:val="00EF2E22"/>
    <w:rsid w:val="00F03EB4"/>
    <w:rsid w:val="00F20EBA"/>
    <w:rsid w:val="00F35BAF"/>
    <w:rsid w:val="00F63087"/>
    <w:rsid w:val="00F660DF"/>
    <w:rsid w:val="00F74154"/>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A34FBCF-1192-4E23-9FB7-7C935A2D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ListParagraph">
    <w:name w:val="List Paragraph"/>
    <w:basedOn w:val="Normal"/>
    <w:uiPriority w:val="34"/>
    <w:qFormat/>
    <w:rsid w:val="001D4CDE"/>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3053</Words>
  <Characters>17406</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ECE/TRANS/WP.29/2017/35</vt:lpstr>
      <vt:lpstr>ECE/TRANS/WP.29/2017/35</vt:lpstr>
    </vt:vector>
  </TitlesOfParts>
  <Company>DCM</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ECE/TRANS/WP.29/2017/35</dc:title>
  <dc:subject/>
  <dc:creator>Nath V.</dc:creator>
  <cp:keywords/>
  <dc:description/>
  <cp:lastModifiedBy>Lucille</cp:lastModifiedBy>
  <cp:revision>2</cp:revision>
  <cp:lastPrinted>2017-01-24T07:54:00Z</cp:lastPrinted>
  <dcterms:created xsi:type="dcterms:W3CDTF">2017-01-24T11:55:00Z</dcterms:created>
  <dcterms:modified xsi:type="dcterms:W3CDTF">2017-01-24T11:55:00Z</dcterms:modified>
</cp:coreProperties>
</file>