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4B0B35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4B0B35" w:rsidP="004B0B35">
            <w:pPr>
              <w:jc w:val="right"/>
            </w:pPr>
            <w:r w:rsidRPr="004B0B35">
              <w:rPr>
                <w:sz w:val="40"/>
              </w:rPr>
              <w:t>ECE</w:t>
            </w:r>
            <w:r>
              <w:t>/TRANS/WP.29/2017/30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4B0B35" w:rsidP="00892A2F">
            <w:pPr>
              <w:spacing w:before="240"/>
            </w:pPr>
            <w:r>
              <w:t>Distr. générale</w:t>
            </w:r>
          </w:p>
          <w:p w:rsidR="004B0B35" w:rsidRDefault="004B0B35" w:rsidP="004B0B35">
            <w:pPr>
              <w:spacing w:line="240" w:lineRule="exact"/>
            </w:pPr>
            <w:r>
              <w:t>20 décembre 2016</w:t>
            </w:r>
          </w:p>
          <w:p w:rsidR="004B0B35" w:rsidRDefault="004B0B35" w:rsidP="004B0B35">
            <w:pPr>
              <w:spacing w:line="240" w:lineRule="exact"/>
            </w:pPr>
            <w:r>
              <w:t>Français</w:t>
            </w:r>
          </w:p>
          <w:p w:rsidR="004B0B35" w:rsidRPr="00DB58B5" w:rsidRDefault="004B0B35" w:rsidP="004B0B35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9C5BEC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4B0B35" w:rsidRDefault="004B0B35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9C5BEC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4B0B35" w:rsidRDefault="004B0B35" w:rsidP="00AF0CB5">
      <w:pPr>
        <w:spacing w:before="120" w:line="240" w:lineRule="exact"/>
        <w:rPr>
          <w:b/>
        </w:rPr>
      </w:pPr>
      <w:r>
        <w:rPr>
          <w:b/>
        </w:rPr>
        <w:t>171</w:t>
      </w:r>
      <w:r w:rsidRPr="004B0B35">
        <w:rPr>
          <w:b/>
          <w:vertAlign w:val="superscript"/>
        </w:rPr>
        <w:t>e</w:t>
      </w:r>
      <w:r>
        <w:rPr>
          <w:b/>
        </w:rPr>
        <w:t> session</w:t>
      </w:r>
    </w:p>
    <w:p w:rsidR="004B0B35" w:rsidRPr="004B0B35" w:rsidRDefault="004B0B35" w:rsidP="004B0B35">
      <w:pPr>
        <w:spacing w:line="240" w:lineRule="exact"/>
        <w:rPr>
          <w:bCs/>
        </w:rPr>
      </w:pPr>
      <w:r>
        <w:t xml:space="preserve">Genève, </w:t>
      </w:r>
      <w:r w:rsidRPr="004B0B35">
        <w:t>14-17 mars 2017</w:t>
      </w:r>
    </w:p>
    <w:p w:rsidR="004B0B35" w:rsidRPr="004B0B35" w:rsidRDefault="004B0B35" w:rsidP="004B0B35">
      <w:pPr>
        <w:spacing w:line="240" w:lineRule="exact"/>
      </w:pPr>
      <w:r w:rsidRPr="004B0B35">
        <w:t>Point 4.9.12 de l</w:t>
      </w:r>
      <w:r w:rsidR="009C5BEC">
        <w:t>’</w:t>
      </w:r>
      <w:r w:rsidRPr="004B0B35">
        <w:t>ordre du jour provisoire</w:t>
      </w:r>
    </w:p>
    <w:p w:rsidR="00F9573C" w:rsidRDefault="004B0B35" w:rsidP="004B0B35">
      <w:pPr>
        <w:spacing w:line="240" w:lineRule="exact"/>
        <w:rPr>
          <w:b/>
        </w:rPr>
      </w:pPr>
      <w:r w:rsidRPr="004B0B35">
        <w:rPr>
          <w:b/>
        </w:rPr>
        <w:t>Accord de 1958</w:t>
      </w:r>
      <w:r>
        <w:rPr>
          <w:b/>
        </w:rPr>
        <w:t xml:space="preserve"> − </w:t>
      </w:r>
      <w:r w:rsidRPr="004B0B35">
        <w:rPr>
          <w:b/>
        </w:rPr>
        <w:t>Examen de projets d</w:t>
      </w:r>
      <w:r w:rsidR="009C5BEC">
        <w:rPr>
          <w:b/>
        </w:rPr>
        <w:t>’</w:t>
      </w:r>
      <w:r w:rsidRPr="004B0B35">
        <w:rPr>
          <w:b/>
        </w:rPr>
        <w:t xml:space="preserve">amendements </w:t>
      </w:r>
      <w:r w:rsidR="00061703">
        <w:rPr>
          <w:b/>
        </w:rPr>
        <w:br/>
      </w:r>
      <w:r w:rsidRPr="004B0B35">
        <w:rPr>
          <w:b/>
        </w:rPr>
        <w:t>à des Règlements existants, soumis par le GRE</w:t>
      </w:r>
    </w:p>
    <w:p w:rsidR="00061703" w:rsidRDefault="00061703" w:rsidP="00061703">
      <w:pPr>
        <w:pStyle w:val="HChG"/>
      </w:pPr>
      <w:r>
        <w:tab/>
      </w:r>
      <w:r>
        <w:tab/>
        <w:t>Proposition de complément 6 à la série 01 d</w:t>
      </w:r>
      <w:r w:rsidR="009C5BEC">
        <w:t>’</w:t>
      </w:r>
      <w:r>
        <w:t xml:space="preserve">amendements </w:t>
      </w:r>
      <w:r>
        <w:br/>
        <w:t xml:space="preserve">au </w:t>
      </w:r>
      <w:r w:rsidRPr="00061703">
        <w:t>Règlement</w:t>
      </w:r>
      <w:r>
        <w:t xml:space="preserve"> </w:t>
      </w:r>
      <w:r w:rsidRPr="0013316D">
        <w:t>n</w:t>
      </w:r>
      <w:r w:rsidRPr="0013316D">
        <w:rPr>
          <w:vertAlign w:val="superscript"/>
        </w:rPr>
        <w:t>o</w:t>
      </w:r>
      <w:r>
        <w:t> 69 (</w:t>
      </w:r>
      <w:r w:rsidRPr="00272CA3">
        <w:t>Plaques de signalisation arrière</w:t>
      </w:r>
      <w:r>
        <w:t xml:space="preserve"> </w:t>
      </w:r>
      <w:r>
        <w:br/>
      </w:r>
      <w:r w:rsidRPr="00272CA3">
        <w:t>pour véhicules lents</w:t>
      </w:r>
      <w:r>
        <w:t>)</w:t>
      </w:r>
    </w:p>
    <w:p w:rsidR="00061703" w:rsidRDefault="00061703" w:rsidP="00061703">
      <w:pPr>
        <w:pStyle w:val="H1G"/>
        <w:rPr>
          <w:b w:val="0"/>
          <w:sz w:val="20"/>
        </w:rPr>
      </w:pPr>
      <w:r>
        <w:tab/>
      </w:r>
      <w:r>
        <w:tab/>
      </w:r>
      <w:r w:rsidRPr="000211E5">
        <w:t>Communication d</w:t>
      </w:r>
      <w:r>
        <w:t xml:space="preserve">u </w:t>
      </w:r>
      <w:r w:rsidRPr="004A3F93">
        <w:t>Groupe de travail de l</w:t>
      </w:r>
      <w:r w:rsidR="009C5BEC">
        <w:t>’</w:t>
      </w:r>
      <w:r w:rsidRPr="004A3F93">
        <w:t xml:space="preserve">éclairage </w:t>
      </w:r>
      <w:r>
        <w:br/>
      </w:r>
      <w:r w:rsidRPr="004A3F93">
        <w:t>et de la signalisation lumineuse</w:t>
      </w:r>
      <w:r w:rsidRPr="00061703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061703" w:rsidRDefault="00061703" w:rsidP="00061703">
      <w:pPr>
        <w:pStyle w:val="SingleTxtG"/>
        <w:ind w:firstLine="567"/>
      </w:pPr>
      <w:r>
        <w:t>Le texte ci-après a été adopté par le Groupe de travail de l</w:t>
      </w:r>
      <w:r w:rsidR="009C5BEC">
        <w:t>’</w:t>
      </w:r>
      <w:r>
        <w:t>éclairage et de la signalisation lumineuse (GRE) à sa s</w:t>
      </w:r>
      <w:r w:rsidRPr="004A3F93">
        <w:t>oixante-seizième session</w:t>
      </w:r>
      <w:r>
        <w:t xml:space="preserve"> (</w:t>
      </w:r>
      <w:r w:rsidRPr="004A3F93">
        <w:t>ECE/TRANS/WP.29/</w:t>
      </w:r>
      <w:r w:rsidR="00BD5B5E">
        <w:br/>
      </w:r>
      <w:r w:rsidRPr="004A3F93">
        <w:t>GRE/76</w:t>
      </w:r>
      <w:r>
        <w:t xml:space="preserve">, par. 10). Il est fondé sur les documents </w:t>
      </w:r>
      <w:r w:rsidRPr="004A3F93">
        <w:t>ECE/TRANS/WP.29/2013/85</w:t>
      </w:r>
      <w:r>
        <w:t xml:space="preserve"> et </w:t>
      </w:r>
      <w:r w:rsidRPr="004A3F93">
        <w:t>ECE/TRANS/WP.29/GRE/2013/55/Rev.1</w:t>
      </w:r>
      <w:r>
        <w:t>. Il est soumis au Forum mondial de l</w:t>
      </w:r>
      <w:r w:rsidR="009C5BEC">
        <w:t>’</w:t>
      </w:r>
      <w:r>
        <w:t>harmonisation des Règlements concernant les véhicules (WP.29) et au Comité d</w:t>
      </w:r>
      <w:r w:rsidR="009C5BEC">
        <w:t>’</w:t>
      </w:r>
      <w:r>
        <w:t xml:space="preserve">administration (AC.1) </w:t>
      </w:r>
      <w:r w:rsidRPr="00345097">
        <w:t>pour examen à leurs sessions de mars 201</w:t>
      </w:r>
      <w:r>
        <w:t>7.</w:t>
      </w:r>
    </w:p>
    <w:p w:rsidR="00061703" w:rsidRPr="00061703" w:rsidRDefault="00061703" w:rsidP="00061703">
      <w:pPr>
        <w:pStyle w:val="HChG"/>
      </w:pPr>
      <w:r>
        <w:br w:type="page"/>
      </w:r>
      <w:r>
        <w:lastRenderedPageBreak/>
        <w:tab/>
      </w:r>
      <w:r>
        <w:tab/>
      </w:r>
      <w:r w:rsidRPr="005A1099">
        <w:rPr>
          <w:spacing w:val="-4"/>
        </w:rPr>
        <w:t>Complément 6 à la série 01 d</w:t>
      </w:r>
      <w:r w:rsidR="009C5BEC">
        <w:rPr>
          <w:spacing w:val="-4"/>
        </w:rPr>
        <w:t>’</w:t>
      </w:r>
      <w:r w:rsidRPr="005A1099">
        <w:rPr>
          <w:spacing w:val="-4"/>
        </w:rPr>
        <w:t>amendements au Règlement n</w:t>
      </w:r>
      <w:r w:rsidRPr="005A1099">
        <w:rPr>
          <w:spacing w:val="-4"/>
          <w:vertAlign w:val="superscript"/>
        </w:rPr>
        <w:t>o</w:t>
      </w:r>
      <w:r w:rsidRPr="005A1099">
        <w:rPr>
          <w:spacing w:val="-4"/>
        </w:rPr>
        <w:t> 69</w:t>
      </w:r>
      <w:r w:rsidRPr="00061703">
        <w:t xml:space="preserve"> (Plaques de signalisation arrière pour véhicules lents)</w:t>
      </w:r>
    </w:p>
    <w:p w:rsidR="00061703" w:rsidRPr="00061703" w:rsidRDefault="00061703" w:rsidP="005A1099">
      <w:pPr>
        <w:pStyle w:val="SingleTxtG"/>
      </w:pPr>
      <w:r w:rsidRPr="00061703">
        <w:rPr>
          <w:i/>
        </w:rPr>
        <w:t>Paragraphe 6</w:t>
      </w:r>
      <w:r w:rsidRPr="00061703">
        <w:t>, modifier comme suit</w:t>
      </w:r>
      <w:r w:rsidR="005A1099">
        <w:t> </w:t>
      </w:r>
      <w:r w:rsidRPr="00061703">
        <w:t>:</w:t>
      </w:r>
    </w:p>
    <w:p w:rsidR="00061703" w:rsidRPr="00061703" w:rsidRDefault="00061703" w:rsidP="005A1099">
      <w:pPr>
        <w:pStyle w:val="HChG"/>
        <w:ind w:left="2268"/>
      </w:pPr>
      <w:r w:rsidRPr="00033D02">
        <w:rPr>
          <w:sz w:val="20"/>
        </w:rPr>
        <w:t>[</w:t>
      </w:r>
      <w:r w:rsidRPr="005A1099">
        <w:rPr>
          <w:b w:val="0"/>
          <w:sz w:val="20"/>
        </w:rPr>
        <w:t>« </w:t>
      </w:r>
      <w:r w:rsidRPr="00061703">
        <w:t>6.</w:t>
      </w:r>
      <w:r w:rsidRPr="00061703">
        <w:tab/>
        <w:t>Spécifications générales</w:t>
      </w:r>
    </w:p>
    <w:p w:rsidR="00061703" w:rsidRPr="00061703" w:rsidRDefault="00061703" w:rsidP="005A1099">
      <w:pPr>
        <w:pStyle w:val="SingleTxtG"/>
        <w:ind w:left="2268"/>
      </w:pPr>
      <w:r w:rsidRPr="00061703">
        <w:rPr>
          <w:lang w:val="fr-FR"/>
        </w:rPr>
        <w:t>Les exigences visées aux sections</w:t>
      </w:r>
      <w:r w:rsidR="005A1099">
        <w:rPr>
          <w:lang w:val="fr-FR"/>
        </w:rPr>
        <w:t> </w:t>
      </w:r>
      <w:r w:rsidRPr="00061703">
        <w:rPr>
          <w:lang w:val="fr-FR"/>
        </w:rPr>
        <w:t>5 (</w:t>
      </w:r>
      <w:r w:rsidR="005A1099" w:rsidRPr="00310829">
        <w:t>“</w:t>
      </w:r>
      <w:r w:rsidRPr="00061703">
        <w:rPr>
          <w:lang w:val="fr-FR"/>
        </w:rPr>
        <w:t>Prescriptions générales</w:t>
      </w:r>
      <w:r w:rsidR="005A1099" w:rsidRPr="00310829">
        <w:t>”</w:t>
      </w:r>
      <w:r w:rsidRPr="00061703">
        <w:rPr>
          <w:lang w:val="fr-FR"/>
        </w:rPr>
        <w:t>) et 6</w:t>
      </w:r>
      <w:r w:rsidR="005A1099">
        <w:rPr>
          <w:lang w:val="fr-FR"/>
        </w:rPr>
        <w:t> </w:t>
      </w:r>
      <w:r w:rsidRPr="00061703">
        <w:rPr>
          <w:lang w:val="fr-FR"/>
        </w:rPr>
        <w:t>(</w:t>
      </w:r>
      <w:r w:rsidR="005A1099" w:rsidRPr="00310829">
        <w:t>“</w:t>
      </w:r>
      <w:r w:rsidRPr="00061703">
        <w:rPr>
          <w:lang w:val="fr-FR"/>
        </w:rPr>
        <w:t>Prescriptions particulières</w:t>
      </w:r>
      <w:r w:rsidR="005A1099" w:rsidRPr="00310829">
        <w:t>”</w:t>
      </w:r>
      <w:r w:rsidRPr="00061703">
        <w:rPr>
          <w:lang w:val="fr-FR"/>
        </w:rPr>
        <w:t xml:space="preserve">) ainsi que dans les annexes citées dans lesdites sections du Règlement </w:t>
      </w:r>
      <w:r w:rsidR="005A1099" w:rsidRPr="005A1099">
        <w:rPr>
          <w:rFonts w:eastAsia="MS Mincho"/>
          <w:szCs w:val="22"/>
          <w:lang w:val="fr-FR"/>
        </w:rPr>
        <w:t>n</w:t>
      </w:r>
      <w:r w:rsidR="005A1099" w:rsidRPr="005A1099">
        <w:rPr>
          <w:rFonts w:eastAsia="MS Mincho"/>
          <w:szCs w:val="22"/>
          <w:vertAlign w:val="superscript"/>
          <w:lang w:val="fr-FR"/>
        </w:rPr>
        <w:t>o</w:t>
      </w:r>
      <w:r w:rsidR="005A1099">
        <w:rPr>
          <w:lang w:val="fr-FR"/>
        </w:rPr>
        <w:t> </w:t>
      </w:r>
      <w:r w:rsidRPr="00061703">
        <w:rPr>
          <w:lang w:val="fr-FR"/>
        </w:rPr>
        <w:t>86, ainsi que dans ses séries d</w:t>
      </w:r>
      <w:r w:rsidR="009C5BEC">
        <w:rPr>
          <w:lang w:val="fr-FR"/>
        </w:rPr>
        <w:t>’</w:t>
      </w:r>
      <w:r w:rsidRPr="00061703">
        <w:rPr>
          <w:lang w:val="fr-FR"/>
        </w:rPr>
        <w:t>amendements en vigueur au moment de la demande d</w:t>
      </w:r>
      <w:r w:rsidR="009C5BEC">
        <w:rPr>
          <w:lang w:val="fr-FR"/>
        </w:rPr>
        <w:t>’</w:t>
      </w:r>
      <w:r w:rsidRPr="00061703">
        <w:rPr>
          <w:lang w:val="fr-FR"/>
        </w:rPr>
        <w:t>homologation des plaques de signalisation arrière, s</w:t>
      </w:r>
      <w:r w:rsidR="009C5BEC">
        <w:rPr>
          <w:lang w:val="fr-FR"/>
        </w:rPr>
        <w:t>’</w:t>
      </w:r>
      <w:r w:rsidRPr="00061703">
        <w:rPr>
          <w:lang w:val="fr-FR"/>
        </w:rPr>
        <w:t>appliquent au présent Règlement.</w:t>
      </w:r>
    </w:p>
    <w:p w:rsidR="00061703" w:rsidRPr="00061703" w:rsidRDefault="00061703" w:rsidP="005A1099">
      <w:pPr>
        <w:pStyle w:val="SingleTxtG"/>
        <w:ind w:left="2268"/>
      </w:pPr>
      <w:r w:rsidRPr="00061703">
        <w:rPr>
          <w:lang w:val="fr-FR"/>
        </w:rPr>
        <w:t>Les prescriptions pertinentes pour chaque plaque de signalisation arrière et pour la (les) catégorie(s) de véhicule(s) concernée(s) sont applicables, pour autant que leur vérification soit possible lors de l</w:t>
      </w:r>
      <w:r w:rsidR="009C5BEC">
        <w:rPr>
          <w:lang w:val="fr-FR"/>
        </w:rPr>
        <w:t>’</w:t>
      </w:r>
      <w:r w:rsidRPr="00061703">
        <w:rPr>
          <w:lang w:val="fr-FR"/>
        </w:rPr>
        <w:t>homologation de type de la plaque.</w:t>
      </w:r>
    </w:p>
    <w:p w:rsidR="00061703" w:rsidRPr="00061703" w:rsidRDefault="00061703" w:rsidP="005A1099">
      <w:pPr>
        <w:pStyle w:val="SingleTxtG"/>
        <w:ind w:left="2268" w:hanging="1134"/>
        <w:rPr>
          <w:bCs/>
          <w:i/>
          <w:iCs/>
        </w:rPr>
      </w:pPr>
      <w:r w:rsidRPr="00061703">
        <w:rPr>
          <w:lang w:val="fr-FR"/>
        </w:rPr>
        <w:t>6.1</w:t>
      </w:r>
      <w:r w:rsidRPr="00061703">
        <w:rPr>
          <w:lang w:val="fr-FR"/>
        </w:rPr>
        <w:tab/>
        <w:t>…</w:t>
      </w:r>
      <w:r w:rsidRPr="00061703">
        <w:t> »</w:t>
      </w:r>
      <w:r w:rsidR="00033D02">
        <w:t>.</w:t>
      </w:r>
      <w:r w:rsidRPr="00061703">
        <w:rPr>
          <w:lang w:val="fr-FR"/>
        </w:rPr>
        <w:t>]</w:t>
      </w:r>
      <w:r w:rsidRPr="005A1099">
        <w:rPr>
          <w:lang w:val="fr-FR"/>
        </w:rPr>
        <w:footnoteReference w:customMarkFollows="1" w:id="3"/>
        <w:t>**</w:t>
      </w:r>
    </w:p>
    <w:p w:rsidR="00061703" w:rsidRPr="00061703" w:rsidRDefault="00061703" w:rsidP="00061703">
      <w:pPr>
        <w:pStyle w:val="SingleTxtG"/>
      </w:pPr>
      <w:r w:rsidRPr="00061703">
        <w:rPr>
          <w:i/>
        </w:rPr>
        <w:t>Paragraphe 9.1</w:t>
      </w:r>
      <w:r w:rsidRPr="00061703">
        <w:t>, modifier comme suit</w:t>
      </w:r>
      <w:r w:rsidR="005A1099">
        <w:t> </w:t>
      </w:r>
      <w:r w:rsidRPr="00061703">
        <w:t>:</w:t>
      </w:r>
    </w:p>
    <w:p w:rsidR="00061703" w:rsidRPr="00061703" w:rsidRDefault="00061703" w:rsidP="005A1099">
      <w:pPr>
        <w:pStyle w:val="SingleTxtG"/>
        <w:ind w:left="2268" w:hanging="1134"/>
      </w:pPr>
      <w:r w:rsidRPr="00061703">
        <w:t>« 9.1</w:t>
      </w:r>
      <w:r w:rsidRPr="00061703">
        <w:tab/>
        <w:t>Les plaques de signalisation arrière doivent être fabriquées de façon à être conformes au type homologué en vertu du présent Règlement.</w:t>
      </w:r>
    </w:p>
    <w:p w:rsidR="00061703" w:rsidRPr="00061703" w:rsidRDefault="00061703" w:rsidP="005A1099">
      <w:pPr>
        <w:pStyle w:val="SingleTxtG"/>
        <w:ind w:left="2268"/>
      </w:pPr>
      <w:r w:rsidRPr="00061703">
        <w:t>Le respect des prescriptions indiquées aux paragraphes 6 et 7 ci</w:t>
      </w:r>
      <w:r w:rsidR="005A1099">
        <w:t>-</w:t>
      </w:r>
      <w:r w:rsidRPr="00061703">
        <w:t>dessus doit être vérifié comme suit</w:t>
      </w:r>
      <w:r w:rsidR="005A1099">
        <w:t> </w:t>
      </w:r>
      <w:r w:rsidRPr="00061703">
        <w:t>: ».</w:t>
      </w:r>
    </w:p>
    <w:p w:rsidR="00061703" w:rsidRPr="00061703" w:rsidRDefault="00061703" w:rsidP="00061703">
      <w:pPr>
        <w:pStyle w:val="SingleTxtG"/>
      </w:pPr>
      <w:r w:rsidRPr="00061703">
        <w:rPr>
          <w:i/>
        </w:rPr>
        <w:t>Le paragraphe 9.2</w:t>
      </w:r>
      <w:r w:rsidRPr="00061703">
        <w:t xml:space="preserve"> devient le paragraphe 9.1.1.</w:t>
      </w:r>
    </w:p>
    <w:p w:rsidR="00061703" w:rsidRPr="00061703" w:rsidRDefault="00061703" w:rsidP="00061703">
      <w:pPr>
        <w:pStyle w:val="SingleTxtG"/>
      </w:pPr>
      <w:r w:rsidRPr="00061703">
        <w:rPr>
          <w:i/>
        </w:rPr>
        <w:t>Le paragraphe 9.3</w:t>
      </w:r>
      <w:r w:rsidRPr="00061703">
        <w:t xml:space="preserve"> devient le paragraphe 9.1.2.</w:t>
      </w:r>
    </w:p>
    <w:p w:rsidR="00061703" w:rsidRPr="00061703" w:rsidRDefault="00061703" w:rsidP="00061703">
      <w:pPr>
        <w:pStyle w:val="SingleTxtG"/>
      </w:pPr>
      <w:r w:rsidRPr="00061703">
        <w:rPr>
          <w:i/>
        </w:rPr>
        <w:t>Le paragraphe 9.4</w:t>
      </w:r>
      <w:r w:rsidRPr="00061703">
        <w:t xml:space="preserve"> devient le paragraphe 9.2.</w:t>
      </w:r>
    </w:p>
    <w:p w:rsidR="00061703" w:rsidRPr="00061703" w:rsidRDefault="000757BB" w:rsidP="00061703">
      <w:pPr>
        <w:pStyle w:val="SingleTxtG"/>
        <w:rPr>
          <w:i/>
        </w:rPr>
      </w:pPr>
      <w:r>
        <w:rPr>
          <w:i/>
        </w:rPr>
        <w:t>Annexe 14</w:t>
      </w:r>
      <w:r w:rsidRPr="000757BB">
        <w:t>,</w:t>
      </w:r>
    </w:p>
    <w:p w:rsidR="00061703" w:rsidRPr="00061703" w:rsidRDefault="00061703" w:rsidP="00061703">
      <w:pPr>
        <w:pStyle w:val="SingleTxtG"/>
      </w:pPr>
      <w:r w:rsidRPr="00061703">
        <w:rPr>
          <w:i/>
        </w:rPr>
        <w:t>Paragraphes 2 à 6</w:t>
      </w:r>
      <w:r w:rsidRPr="00061703">
        <w:t>, modifier comme suit</w:t>
      </w:r>
      <w:r w:rsidR="000757BB">
        <w:t> </w:t>
      </w:r>
      <w:r w:rsidRPr="00061703">
        <w:t>:</w:t>
      </w:r>
    </w:p>
    <w:p w:rsidR="00061703" w:rsidRPr="00061703" w:rsidRDefault="00061703" w:rsidP="000757BB">
      <w:pPr>
        <w:pStyle w:val="SingleTxtG"/>
        <w:ind w:left="2268" w:hanging="1134"/>
      </w:pPr>
      <w:r w:rsidRPr="00061703">
        <w:t>« 2.</w:t>
      </w:r>
      <w:r w:rsidRPr="00061703">
        <w:tab/>
      </w:r>
      <w:r w:rsidRPr="00061703">
        <w:tab/>
        <w:t>Premier prélèvement</w:t>
      </w:r>
    </w:p>
    <w:p w:rsidR="00061703" w:rsidRPr="00061703" w:rsidRDefault="00061703" w:rsidP="000757BB">
      <w:pPr>
        <w:pStyle w:val="SingleTxtG"/>
        <w:ind w:left="2268"/>
      </w:pPr>
      <w:r w:rsidRPr="00061703">
        <w:tab/>
        <w:t>Lors du premier prélèvement, quatre plaques de signalisation arrière sont choisies au hasard. La lettre</w:t>
      </w:r>
      <w:r w:rsidR="000757BB">
        <w:t> </w:t>
      </w:r>
      <w:r w:rsidRPr="00061703">
        <w:t>A est apposée sur la première et la troisième, et la lettre</w:t>
      </w:r>
      <w:r w:rsidR="000757BB">
        <w:t> </w:t>
      </w:r>
      <w:r w:rsidRPr="00061703">
        <w:t>B sur la deuxième et la qu</w:t>
      </w:r>
      <w:r w:rsidR="000757BB">
        <w:t>atrième.</w:t>
      </w:r>
    </w:p>
    <w:p w:rsidR="00061703" w:rsidRPr="00061703" w:rsidRDefault="00061703" w:rsidP="000757BB">
      <w:pPr>
        <w:pStyle w:val="SingleTxtG"/>
        <w:ind w:left="2268" w:hanging="1134"/>
      </w:pPr>
      <w:r w:rsidRPr="00061703">
        <w:t>2.1</w:t>
      </w:r>
      <w:r w:rsidRPr="00061703">
        <w:tab/>
        <w:t>La conformité des plaques de signalisation arrière de série</w:t>
      </w:r>
      <w:r w:rsidRPr="00061703">
        <w:rPr>
          <w:b/>
        </w:rPr>
        <w:t xml:space="preserve"> </w:t>
      </w:r>
      <w:r w:rsidRPr="00061703">
        <w:t>ne doit pas être contestée si aucune valeur mesurée sur les feux des échantillons</w:t>
      </w:r>
      <w:r w:rsidR="009B1BB3">
        <w:t> </w:t>
      </w:r>
      <w:r w:rsidRPr="00061703">
        <w:t>A et</w:t>
      </w:r>
      <w:r w:rsidR="009B1BB3">
        <w:t xml:space="preserve"> </w:t>
      </w:r>
      <w:r w:rsidRPr="00061703">
        <w:t>B ne</w:t>
      </w:r>
      <w:r w:rsidR="005A4A9F">
        <w:t xml:space="preserve"> </w:t>
      </w:r>
      <w:r w:rsidRPr="00061703">
        <w:t>s</w:t>
      </w:r>
      <w:r w:rsidR="009C5BEC">
        <w:t>’</w:t>
      </w:r>
      <w:r w:rsidRPr="00061703">
        <w:t>écarte de plus de 20</w:t>
      </w:r>
      <w:r w:rsidR="009B1BB3">
        <w:t> </w:t>
      </w:r>
      <w:r w:rsidRPr="00061703">
        <w:t>% (pour aucune des quatre plaques).</w:t>
      </w:r>
    </w:p>
    <w:p w:rsidR="00061703" w:rsidRPr="00061703" w:rsidRDefault="00061703" w:rsidP="00482696">
      <w:pPr>
        <w:pStyle w:val="SingleTxtG"/>
        <w:ind w:left="2268"/>
      </w:pPr>
      <w:r w:rsidRPr="00061703">
        <w:lastRenderedPageBreak/>
        <w:t>Si l</w:t>
      </w:r>
      <w:r w:rsidR="009C5BEC">
        <w:t>’</w:t>
      </w:r>
      <w:r w:rsidRPr="00061703">
        <w:t>écart n</w:t>
      </w:r>
      <w:r w:rsidR="009C5BEC">
        <w:t>’</w:t>
      </w:r>
      <w:r w:rsidRPr="00061703">
        <w:t>est pas supérieur à 0 % pour les deux plaques de l</w:t>
      </w:r>
      <w:r w:rsidR="009C5BEC">
        <w:t>’</w:t>
      </w:r>
      <w:r w:rsidRPr="00061703">
        <w:t>échantillon A on peut arrêter les mesures.</w:t>
      </w:r>
    </w:p>
    <w:p w:rsidR="00061703" w:rsidRPr="00061703" w:rsidRDefault="00061703" w:rsidP="00482696">
      <w:pPr>
        <w:pStyle w:val="SingleTxtG"/>
        <w:ind w:left="2268" w:hanging="1134"/>
      </w:pPr>
      <w:r w:rsidRPr="00061703">
        <w:t>2.2</w:t>
      </w:r>
      <w:r w:rsidRPr="00061703">
        <w:tab/>
      </w:r>
      <w:r w:rsidRPr="00061703">
        <w:tab/>
        <w:t>La conformité des plaques de signalisation arrière de série doit être contestée si l</w:t>
      </w:r>
      <w:r w:rsidR="009C5BEC">
        <w:t>’</w:t>
      </w:r>
      <w:r w:rsidRPr="00061703">
        <w:t>écart de la valeur mesurée sur au moins un spécimen des échantillons A ou B dépasse 20 %.</w:t>
      </w:r>
    </w:p>
    <w:p w:rsidR="00061703" w:rsidRPr="00061703" w:rsidRDefault="00061703" w:rsidP="005A4A9F">
      <w:pPr>
        <w:pStyle w:val="SingleTxtG"/>
        <w:ind w:left="2268"/>
      </w:pPr>
      <w:r w:rsidRPr="00061703">
        <w:tab/>
        <w:t>Le fabricant doit être prié de mettre sa production en conformité avec les prescriptions et il faudra procéder à un nouveau prélèvement conformément au paragraphe 3 ci-dessous dans les deux mois qui suivent la notification. Les</w:t>
      </w:r>
      <w:r w:rsidR="005A4A9F">
        <w:t xml:space="preserve"> </w:t>
      </w:r>
      <w:r w:rsidRPr="00061703">
        <w:t>échantillons</w:t>
      </w:r>
      <w:r w:rsidR="005A4A9F">
        <w:t> </w:t>
      </w:r>
      <w:r w:rsidRPr="00061703">
        <w:t>A et B doivent être conservés par le service technique jusqu</w:t>
      </w:r>
      <w:r w:rsidR="009C5BEC">
        <w:t>’</w:t>
      </w:r>
      <w:r w:rsidRPr="00061703">
        <w:t>à la fin du processus de vérification de la conformité.</w:t>
      </w:r>
    </w:p>
    <w:p w:rsidR="00061703" w:rsidRPr="00061703" w:rsidRDefault="00061703" w:rsidP="005A4A9F">
      <w:pPr>
        <w:pStyle w:val="SingleTxtG"/>
        <w:ind w:left="2268" w:hanging="1134"/>
      </w:pPr>
      <w:r w:rsidRPr="00061703">
        <w:t>3.</w:t>
      </w:r>
      <w:r w:rsidRPr="00061703">
        <w:tab/>
      </w:r>
      <w:r w:rsidRPr="00061703">
        <w:tab/>
        <w:t>Deuxième prélèvement</w:t>
      </w:r>
    </w:p>
    <w:p w:rsidR="00061703" w:rsidRPr="00061703" w:rsidRDefault="00061703" w:rsidP="005A4A9F">
      <w:pPr>
        <w:pStyle w:val="SingleTxtG"/>
        <w:ind w:left="2268"/>
      </w:pPr>
      <w:r w:rsidRPr="00061703">
        <w:tab/>
        <w:t>On choisit au hasard un échantillon de quatre plaques parmi le stock produit après mise en conformité.</w:t>
      </w:r>
    </w:p>
    <w:p w:rsidR="00061703" w:rsidRPr="00061703" w:rsidRDefault="00061703" w:rsidP="005A4A9F">
      <w:pPr>
        <w:pStyle w:val="SingleTxtG"/>
        <w:ind w:left="2268"/>
      </w:pPr>
      <w:r w:rsidRPr="00061703">
        <w:rPr>
          <w:b/>
        </w:rPr>
        <w:tab/>
      </w:r>
      <w:r w:rsidRPr="00061703">
        <w:t>La lettre C est apposée sur la première et la troisième, la lettre</w:t>
      </w:r>
      <w:r w:rsidR="00441FF2">
        <w:t> </w:t>
      </w:r>
      <w:r w:rsidRPr="00061703">
        <w:t>D s</w:t>
      </w:r>
      <w:r w:rsidR="005A4A9F">
        <w:t>ur la deuxième et la quatrième.</w:t>
      </w:r>
    </w:p>
    <w:p w:rsidR="00061703" w:rsidRPr="00061703" w:rsidRDefault="00061703" w:rsidP="005A4A9F">
      <w:pPr>
        <w:pStyle w:val="SingleTxtG"/>
        <w:ind w:left="2268" w:hanging="1134"/>
      </w:pPr>
      <w:r w:rsidRPr="00061703">
        <w:t>3.1</w:t>
      </w:r>
      <w:r w:rsidRPr="00061703">
        <w:tab/>
      </w:r>
      <w:r w:rsidRPr="00061703">
        <w:tab/>
        <w:t>La conformité des plaques de signalisation arrière de série ne doit pas être contestée si aucune valeur mesurée sur les plaques des échantillons</w:t>
      </w:r>
      <w:r w:rsidR="00441FF2">
        <w:t> </w:t>
      </w:r>
      <w:r w:rsidRPr="00061703">
        <w:t>C et</w:t>
      </w:r>
      <w:r w:rsidR="00441FF2">
        <w:t xml:space="preserve"> </w:t>
      </w:r>
      <w:r w:rsidRPr="00061703">
        <w:t>D ne</w:t>
      </w:r>
      <w:r w:rsidR="00441FF2">
        <w:t xml:space="preserve"> </w:t>
      </w:r>
      <w:r w:rsidRPr="00061703">
        <w:t>s</w:t>
      </w:r>
      <w:r w:rsidR="009C5BEC">
        <w:t>’</w:t>
      </w:r>
      <w:r w:rsidRPr="00061703">
        <w:t>écarte de plus de 20 % (p</w:t>
      </w:r>
      <w:r w:rsidR="005A4A9F">
        <w:t>our aucune des quatre plaques).</w:t>
      </w:r>
    </w:p>
    <w:p w:rsidR="00061703" w:rsidRPr="00061703" w:rsidRDefault="00061703" w:rsidP="00441FF2">
      <w:pPr>
        <w:pStyle w:val="SingleTxtG"/>
        <w:ind w:left="2268"/>
        <w:rPr>
          <w:b/>
        </w:rPr>
      </w:pPr>
      <w:r w:rsidRPr="00061703">
        <w:rPr>
          <w:b/>
        </w:rPr>
        <w:tab/>
      </w:r>
      <w:r w:rsidRPr="00061703">
        <w:t>Si l</w:t>
      </w:r>
      <w:r w:rsidR="009C5BEC">
        <w:t>’</w:t>
      </w:r>
      <w:r w:rsidRPr="00061703">
        <w:t>écart n</w:t>
      </w:r>
      <w:r w:rsidR="009C5BEC">
        <w:t>’</w:t>
      </w:r>
      <w:r w:rsidRPr="00061703">
        <w:t>est pas supérieur à 0 % pour les deux plaques de l</w:t>
      </w:r>
      <w:r w:rsidR="009C5BEC">
        <w:t>’</w:t>
      </w:r>
      <w:r w:rsidRPr="00061703">
        <w:t>échantillon C on peut arrêter les mesures</w:t>
      </w:r>
      <w:r w:rsidRPr="00061703">
        <w:rPr>
          <w:b/>
        </w:rPr>
        <w:t>.</w:t>
      </w:r>
    </w:p>
    <w:p w:rsidR="00061703" w:rsidRPr="00061703" w:rsidRDefault="00061703" w:rsidP="00441FF2">
      <w:pPr>
        <w:pStyle w:val="SingleTxtG"/>
        <w:ind w:left="2268" w:hanging="1134"/>
      </w:pPr>
      <w:r w:rsidRPr="00061703">
        <w:t>3.2</w:t>
      </w:r>
      <w:r w:rsidRPr="00061703">
        <w:tab/>
      </w:r>
      <w:r w:rsidRPr="00061703">
        <w:tab/>
        <w:t>La conformité des plaques de signalisation arrière de série doit être contestée si l</w:t>
      </w:r>
      <w:r w:rsidR="009C5BEC">
        <w:t>’</w:t>
      </w:r>
      <w:r w:rsidRPr="00061703">
        <w:t>écart mesuré pour au moins</w:t>
      </w:r>
      <w:r w:rsidR="00441FF2">
        <w:t> </w:t>
      </w:r>
      <w:r w:rsidRPr="00061703">
        <w:t>:</w:t>
      </w:r>
    </w:p>
    <w:p w:rsidR="00061703" w:rsidRPr="00061703" w:rsidRDefault="00061703" w:rsidP="00441FF2">
      <w:pPr>
        <w:pStyle w:val="SingleTxtG"/>
        <w:ind w:left="2268" w:hanging="1134"/>
      </w:pPr>
      <w:r w:rsidRPr="00061703">
        <w:t>3.2.1</w:t>
      </w:r>
      <w:r w:rsidRPr="00061703">
        <w:tab/>
      </w:r>
      <w:r w:rsidRPr="00061703">
        <w:tab/>
        <w:t>Un spécimen des échantillons C ou D est supérieur à 20 % mais l</w:t>
      </w:r>
      <w:r w:rsidR="009C5BEC">
        <w:t>’</w:t>
      </w:r>
      <w:r w:rsidRPr="00061703">
        <w:t>écart de l</w:t>
      </w:r>
      <w:r w:rsidR="009C5BEC">
        <w:t>’</w:t>
      </w:r>
      <w:r w:rsidRPr="00061703">
        <w:t>ensemble de ces échantillons ne dépasse pas 30 %.</w:t>
      </w:r>
    </w:p>
    <w:p w:rsidR="00061703" w:rsidRPr="00061703" w:rsidRDefault="00061703" w:rsidP="00441FF2">
      <w:pPr>
        <w:pStyle w:val="SingleTxtG"/>
        <w:ind w:left="2268"/>
        <w:rPr>
          <w:b/>
        </w:rPr>
      </w:pPr>
      <w:r w:rsidRPr="00061703">
        <w:rPr>
          <w:b/>
        </w:rPr>
        <w:tab/>
      </w:r>
      <w:r w:rsidRPr="00061703">
        <w:t>Le fabricant doit être à nouveau prié de mettre sa production en conformité avec les prescriptions.</w:t>
      </w:r>
    </w:p>
    <w:p w:rsidR="00061703" w:rsidRPr="00061703" w:rsidRDefault="00061703" w:rsidP="00441FF2">
      <w:pPr>
        <w:pStyle w:val="SingleTxtG"/>
        <w:ind w:left="2268"/>
      </w:pPr>
      <w:r w:rsidRPr="00061703">
        <w:rPr>
          <w:b/>
        </w:rPr>
        <w:tab/>
      </w:r>
      <w:r w:rsidRPr="00061703">
        <w:t>Il faut procéder à un troisième prélèvement conformément au paragraphe 4 ci-dessous, dans les deux mois qui suivent la notification. Les échantillons C et</w:t>
      </w:r>
      <w:r w:rsidR="00441FF2">
        <w:t xml:space="preserve"> </w:t>
      </w:r>
      <w:r w:rsidRPr="00061703">
        <w:t>D doivent être conservés par le service technique jusqu</w:t>
      </w:r>
      <w:r w:rsidR="009C5BEC">
        <w:t>’</w:t>
      </w:r>
      <w:r w:rsidRPr="00061703">
        <w:t>à la fin du processus de vérification de la conformité.</w:t>
      </w:r>
    </w:p>
    <w:p w:rsidR="00061703" w:rsidRPr="00061703" w:rsidRDefault="00061703" w:rsidP="00441FF2">
      <w:pPr>
        <w:pStyle w:val="SingleTxtG"/>
        <w:ind w:left="2268" w:hanging="1134"/>
      </w:pPr>
      <w:r w:rsidRPr="00061703">
        <w:t>3.2.2</w:t>
      </w:r>
      <w:r w:rsidRPr="00061703">
        <w:tab/>
      </w:r>
      <w:r w:rsidRPr="00061703">
        <w:tab/>
        <w:t>Un spécimen des échantillons C et D dépasse 30 %.</w:t>
      </w:r>
    </w:p>
    <w:p w:rsidR="00061703" w:rsidRPr="00061703" w:rsidRDefault="00061703" w:rsidP="00441FF2">
      <w:pPr>
        <w:pStyle w:val="SingleTxtG"/>
        <w:ind w:left="2268"/>
      </w:pPr>
      <w:r w:rsidRPr="00061703">
        <w:tab/>
        <w:t>Dans ce cas, il faut retirer l</w:t>
      </w:r>
      <w:r w:rsidR="009C5BEC">
        <w:t>’</w:t>
      </w:r>
      <w:r w:rsidRPr="00061703">
        <w:t>homologation et appliquer les dispositions du paragraphe 5 ci</w:t>
      </w:r>
      <w:r w:rsidRPr="00061703">
        <w:noBreakHyphen/>
        <w:t>dessous.</w:t>
      </w:r>
    </w:p>
    <w:p w:rsidR="00061703" w:rsidRPr="00061703" w:rsidRDefault="00061703" w:rsidP="00441FF2">
      <w:pPr>
        <w:pStyle w:val="SingleTxtG"/>
        <w:ind w:left="2268" w:hanging="1134"/>
      </w:pPr>
      <w:r w:rsidRPr="00061703">
        <w:t>4.</w:t>
      </w:r>
      <w:r w:rsidRPr="00061703">
        <w:tab/>
      </w:r>
      <w:r w:rsidRPr="00061703">
        <w:tab/>
        <w:t>Troisième prélèvement</w:t>
      </w:r>
    </w:p>
    <w:p w:rsidR="00061703" w:rsidRPr="00061703" w:rsidRDefault="00061703" w:rsidP="00441FF2">
      <w:pPr>
        <w:pStyle w:val="SingleTxtG"/>
        <w:ind w:left="2268"/>
      </w:pPr>
      <w:r w:rsidRPr="00061703">
        <w:rPr>
          <w:b/>
        </w:rPr>
        <w:tab/>
      </w:r>
      <w:r w:rsidRPr="00061703">
        <w:t>On choisit au hasard un échantillon de quatre plaques parmi le stock produit après mise en conformité.</w:t>
      </w:r>
    </w:p>
    <w:p w:rsidR="00061703" w:rsidRPr="00061703" w:rsidRDefault="00061703" w:rsidP="00441FF2">
      <w:pPr>
        <w:pStyle w:val="SingleTxtG"/>
        <w:ind w:left="2268"/>
      </w:pPr>
      <w:r w:rsidRPr="00061703">
        <w:rPr>
          <w:b/>
        </w:rPr>
        <w:tab/>
      </w:r>
      <w:r w:rsidRPr="00061703">
        <w:t>La lettre E est apposée sur la première et la troisième et la lettre</w:t>
      </w:r>
      <w:r w:rsidR="00441FF2">
        <w:t> </w:t>
      </w:r>
      <w:r w:rsidRPr="00061703">
        <w:t>F sur la deuxième et la quatrième.</w:t>
      </w:r>
    </w:p>
    <w:p w:rsidR="00061703" w:rsidRPr="00061703" w:rsidRDefault="00061703" w:rsidP="00441FF2">
      <w:pPr>
        <w:pStyle w:val="SingleTxtG"/>
        <w:ind w:left="2268" w:hanging="1134"/>
      </w:pPr>
      <w:r w:rsidRPr="00061703">
        <w:t>4.1</w:t>
      </w:r>
      <w:r w:rsidRPr="00061703">
        <w:tab/>
      </w:r>
      <w:r w:rsidRPr="00061703">
        <w:tab/>
        <w:t>La conformité des plaques de signalisation arrière de série</w:t>
      </w:r>
      <w:r w:rsidRPr="00061703">
        <w:rPr>
          <w:b/>
        </w:rPr>
        <w:t xml:space="preserve"> </w:t>
      </w:r>
      <w:r w:rsidRPr="00061703">
        <w:t>ne doit pas être contestée si aucune valeur mesurée sur les plaques des échantillons</w:t>
      </w:r>
      <w:r w:rsidR="00441FF2">
        <w:t> </w:t>
      </w:r>
      <w:r w:rsidRPr="00061703">
        <w:t>E et</w:t>
      </w:r>
      <w:r w:rsidR="00441FF2">
        <w:t xml:space="preserve"> </w:t>
      </w:r>
      <w:r w:rsidRPr="00061703">
        <w:t>F ne</w:t>
      </w:r>
      <w:r w:rsidR="00E01938">
        <w:t xml:space="preserve"> </w:t>
      </w:r>
      <w:r w:rsidRPr="00061703">
        <w:t>s</w:t>
      </w:r>
      <w:r w:rsidR="009C5BEC">
        <w:t>’</w:t>
      </w:r>
      <w:r w:rsidRPr="00061703">
        <w:t>écarte de plus de 20 % (pour aucune des quatre plaques</w:t>
      </w:r>
      <w:r w:rsidR="00441FF2">
        <w:t>).</w:t>
      </w:r>
    </w:p>
    <w:p w:rsidR="00061703" w:rsidRPr="00061703" w:rsidRDefault="00061703" w:rsidP="00441FF2">
      <w:pPr>
        <w:pStyle w:val="SingleTxtG"/>
        <w:ind w:left="2268"/>
      </w:pPr>
      <w:r w:rsidRPr="00061703">
        <w:t>Si l</w:t>
      </w:r>
      <w:r w:rsidR="009C5BEC">
        <w:t>’</w:t>
      </w:r>
      <w:r w:rsidRPr="00061703">
        <w:t>écart n</w:t>
      </w:r>
      <w:r w:rsidR="009C5BEC">
        <w:t>’</w:t>
      </w:r>
      <w:r w:rsidRPr="00061703">
        <w:t>est pas supérieur à 0 % pour les deux plaques de l</w:t>
      </w:r>
      <w:r w:rsidR="009C5BEC">
        <w:t>’</w:t>
      </w:r>
      <w:r w:rsidRPr="00061703">
        <w:t>échantillon E on peut arrêter les mesures.</w:t>
      </w:r>
    </w:p>
    <w:p w:rsidR="00061703" w:rsidRPr="00061703" w:rsidRDefault="00061703" w:rsidP="00E01938">
      <w:pPr>
        <w:pStyle w:val="SingleTxtG"/>
        <w:ind w:left="2268" w:hanging="1134"/>
        <w:rPr>
          <w:b/>
        </w:rPr>
      </w:pPr>
      <w:r w:rsidRPr="00061703">
        <w:t>4.2</w:t>
      </w:r>
      <w:r w:rsidRPr="00061703">
        <w:tab/>
      </w:r>
      <w:r w:rsidRPr="00061703">
        <w:tab/>
        <w:t>La conformité des plaques de signalisation arrière de série doit être contestée si l</w:t>
      </w:r>
      <w:r w:rsidR="009C5BEC">
        <w:t>’</w:t>
      </w:r>
      <w:r w:rsidRPr="00061703">
        <w:t>écart de la valeur mesurée sur au moins un</w:t>
      </w:r>
      <w:r w:rsidRPr="00061703">
        <w:rPr>
          <w:b/>
        </w:rPr>
        <w:t xml:space="preserve"> </w:t>
      </w:r>
      <w:r w:rsidRPr="00061703">
        <w:t>spécimen des échantillons E ou F dépasse 20 %.</w:t>
      </w:r>
    </w:p>
    <w:p w:rsidR="00061703" w:rsidRPr="00061703" w:rsidRDefault="00061703" w:rsidP="00E01938">
      <w:pPr>
        <w:pStyle w:val="SingleTxtG"/>
        <w:ind w:left="2268"/>
      </w:pPr>
      <w:r w:rsidRPr="00061703">
        <w:rPr>
          <w:b/>
        </w:rPr>
        <w:tab/>
      </w:r>
      <w:r w:rsidRPr="00061703">
        <w:t>Dans ce cas, il faut retirer l</w:t>
      </w:r>
      <w:r w:rsidR="009C5BEC">
        <w:t>’</w:t>
      </w:r>
      <w:r w:rsidRPr="00061703">
        <w:t>homologation et appliquer les dispositions du paragraphe 5 ci</w:t>
      </w:r>
      <w:r w:rsidRPr="00061703">
        <w:noBreakHyphen/>
        <w:t>dessous.</w:t>
      </w:r>
    </w:p>
    <w:p w:rsidR="00061703" w:rsidRPr="00061703" w:rsidRDefault="00061703" w:rsidP="00E01938">
      <w:pPr>
        <w:pStyle w:val="SingleTxtG"/>
        <w:ind w:left="2268" w:hanging="1134"/>
      </w:pPr>
      <w:r w:rsidRPr="00061703">
        <w:t>5.</w:t>
      </w:r>
      <w:r w:rsidRPr="00061703">
        <w:tab/>
      </w:r>
      <w:r w:rsidRPr="00061703">
        <w:tab/>
        <w:t>Retrait de l</w:t>
      </w:r>
      <w:r w:rsidR="009C5BEC">
        <w:t>’</w:t>
      </w:r>
      <w:r w:rsidRPr="00061703">
        <w:t>homologation</w:t>
      </w:r>
    </w:p>
    <w:p w:rsidR="00061703" w:rsidRPr="00061703" w:rsidRDefault="00061703" w:rsidP="00E01938">
      <w:pPr>
        <w:pStyle w:val="SingleTxtG"/>
        <w:ind w:left="2268"/>
      </w:pPr>
      <w:r w:rsidRPr="00061703">
        <w:rPr>
          <w:b/>
        </w:rPr>
        <w:tab/>
      </w:r>
      <w:r w:rsidRPr="00061703">
        <w:t>L</w:t>
      </w:r>
      <w:r w:rsidR="009C5BEC">
        <w:t>’</w:t>
      </w:r>
      <w:r w:rsidRPr="00061703">
        <w:t>homologation doit être retirée conformément au paragraphe 10 du présent Règlement.</w:t>
      </w:r>
    </w:p>
    <w:p w:rsidR="00061703" w:rsidRPr="00061703" w:rsidRDefault="00061703" w:rsidP="00E01938">
      <w:pPr>
        <w:pStyle w:val="SingleTxtG"/>
        <w:ind w:left="2268" w:hanging="1134"/>
      </w:pPr>
      <w:r w:rsidRPr="00061703">
        <w:t>6.</w:t>
      </w:r>
      <w:r w:rsidRPr="00061703">
        <w:tab/>
        <w:t>Essai de résistance</w:t>
      </w:r>
    </w:p>
    <w:p w:rsidR="00061703" w:rsidRPr="00061703" w:rsidRDefault="00061703" w:rsidP="00E01938">
      <w:pPr>
        <w:pStyle w:val="SingleTxtG"/>
        <w:ind w:left="2268"/>
      </w:pPr>
      <w:r w:rsidRPr="00061703">
        <w:t>Des spécimens d</w:t>
      </w:r>
      <w:r w:rsidR="009C5BEC">
        <w:t>’</w:t>
      </w:r>
      <w:r w:rsidRPr="00061703">
        <w:t>une des plaques de signalisation arrière de l</w:t>
      </w:r>
      <w:r w:rsidR="009C5BEC">
        <w:t>’</w:t>
      </w:r>
      <w:r w:rsidRPr="00061703">
        <w:t>échantillon A, après la procédure de prélèvement décrite au paragraphe 2 de la présente annexe, doivent être soumis aux procédures décrites aux annexes</w:t>
      </w:r>
      <w:r w:rsidR="00F64966">
        <w:t> </w:t>
      </w:r>
      <w:r w:rsidRPr="00061703">
        <w:t>8 et 9 du présent Règlement.</w:t>
      </w:r>
    </w:p>
    <w:p w:rsidR="00061703" w:rsidRPr="00061703" w:rsidRDefault="00061703" w:rsidP="00E01938">
      <w:pPr>
        <w:pStyle w:val="SingleTxtG"/>
        <w:ind w:left="2268"/>
      </w:pPr>
      <w:r w:rsidRPr="00061703">
        <w:t>La plaque de signalisation arrière doit être considérée comme satisfaisante si les résultats des essais sont favorables.</w:t>
      </w:r>
    </w:p>
    <w:p w:rsidR="00061703" w:rsidRPr="00061703" w:rsidRDefault="00061703" w:rsidP="00E01938">
      <w:pPr>
        <w:pStyle w:val="SingleTxtG"/>
        <w:ind w:left="2268"/>
      </w:pPr>
      <w:r w:rsidRPr="00061703">
        <w:t>Toutefois, si les essais sont défavorables pour les spécimens de l</w:t>
      </w:r>
      <w:r w:rsidR="009C5BEC">
        <w:t>’</w:t>
      </w:r>
      <w:r w:rsidRPr="00061703">
        <w:t>échantillon A, les deux plaques de signalisation arrière de l</w:t>
      </w:r>
      <w:r w:rsidR="009C5BEC">
        <w:t>’</w:t>
      </w:r>
      <w:r w:rsidRPr="00061703">
        <w:t>échantillon B doivent être soumises aux mêmes procédures et chacune doit passer l</w:t>
      </w:r>
      <w:r w:rsidR="009C5BEC">
        <w:t>’</w:t>
      </w:r>
      <w:r w:rsidRPr="00061703">
        <w:t>essai avec succès. »</w:t>
      </w:r>
      <w:r w:rsidR="00B35261">
        <w:t>.</w:t>
      </w:r>
    </w:p>
    <w:p w:rsidR="00061703" w:rsidRDefault="00061703" w:rsidP="00061703">
      <w:pPr>
        <w:pStyle w:val="SingleTxtG"/>
      </w:pPr>
      <w:r w:rsidRPr="00061703">
        <w:rPr>
          <w:i/>
        </w:rPr>
        <w:t>Figure 1</w:t>
      </w:r>
      <w:r w:rsidRPr="00061703">
        <w:t>, supprimer.</w:t>
      </w:r>
    </w:p>
    <w:p w:rsidR="00E01938" w:rsidRPr="00E01938" w:rsidRDefault="00E01938" w:rsidP="00E0193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01938" w:rsidRPr="00E01938" w:rsidSect="004B0B3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DDD" w:rsidRDefault="008E3DDD" w:rsidP="00F95C08">
      <w:pPr>
        <w:spacing w:line="240" w:lineRule="auto"/>
      </w:pPr>
    </w:p>
  </w:endnote>
  <w:endnote w:type="continuationSeparator" w:id="0">
    <w:p w:rsidR="008E3DDD" w:rsidRPr="00AC3823" w:rsidRDefault="008E3DDD" w:rsidP="00AC3823">
      <w:pPr>
        <w:pStyle w:val="Footer"/>
      </w:pPr>
    </w:p>
  </w:endnote>
  <w:endnote w:type="continuationNotice" w:id="1">
    <w:p w:rsidR="008E3DDD" w:rsidRDefault="008E3DD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B35" w:rsidRPr="004B0B35" w:rsidRDefault="004B0B35" w:rsidP="004B0B35">
    <w:pPr>
      <w:pStyle w:val="Footer"/>
      <w:tabs>
        <w:tab w:val="right" w:pos="9638"/>
      </w:tabs>
    </w:pPr>
    <w:r w:rsidRPr="004B0B35">
      <w:rPr>
        <w:b/>
        <w:sz w:val="18"/>
      </w:rPr>
      <w:fldChar w:fldCharType="begin"/>
    </w:r>
    <w:r w:rsidRPr="004B0B35">
      <w:rPr>
        <w:b/>
        <w:sz w:val="18"/>
      </w:rPr>
      <w:instrText xml:space="preserve"> PAGE  \* MERGEFORMAT </w:instrText>
    </w:r>
    <w:r w:rsidRPr="004B0B35">
      <w:rPr>
        <w:b/>
        <w:sz w:val="18"/>
      </w:rPr>
      <w:fldChar w:fldCharType="separate"/>
    </w:r>
    <w:r w:rsidR="00310829">
      <w:rPr>
        <w:b/>
        <w:noProof/>
        <w:sz w:val="18"/>
      </w:rPr>
      <w:t>2</w:t>
    </w:r>
    <w:r w:rsidRPr="004B0B35">
      <w:rPr>
        <w:b/>
        <w:sz w:val="18"/>
      </w:rPr>
      <w:fldChar w:fldCharType="end"/>
    </w:r>
    <w:r>
      <w:rPr>
        <w:b/>
        <w:sz w:val="18"/>
      </w:rPr>
      <w:tab/>
    </w:r>
    <w:r>
      <w:t>GE.16-22493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B35" w:rsidRPr="004B0B35" w:rsidRDefault="004B0B35" w:rsidP="004B0B35">
    <w:pPr>
      <w:pStyle w:val="Footer"/>
      <w:tabs>
        <w:tab w:val="right" w:pos="9638"/>
      </w:tabs>
      <w:rPr>
        <w:b/>
        <w:sz w:val="18"/>
      </w:rPr>
    </w:pPr>
    <w:r>
      <w:t>GE.16-22493</w:t>
    </w:r>
    <w:r>
      <w:tab/>
    </w:r>
    <w:r w:rsidRPr="004B0B35">
      <w:rPr>
        <w:b/>
        <w:sz w:val="18"/>
      </w:rPr>
      <w:fldChar w:fldCharType="begin"/>
    </w:r>
    <w:r w:rsidRPr="004B0B35">
      <w:rPr>
        <w:b/>
        <w:sz w:val="18"/>
      </w:rPr>
      <w:instrText xml:space="preserve"> PAGE  \* MERGEFORMAT </w:instrText>
    </w:r>
    <w:r w:rsidRPr="004B0B35">
      <w:rPr>
        <w:b/>
        <w:sz w:val="18"/>
      </w:rPr>
      <w:fldChar w:fldCharType="separate"/>
    </w:r>
    <w:r w:rsidR="00310829">
      <w:rPr>
        <w:b/>
        <w:noProof/>
        <w:sz w:val="18"/>
      </w:rPr>
      <w:t>3</w:t>
    </w:r>
    <w:r w:rsidRPr="004B0B3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4B0B35" w:rsidRDefault="004B0B35" w:rsidP="004B0B35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409BF030" wp14:editId="395A3FA0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16-22493  (F)</w:t>
    </w:r>
    <w:r w:rsidR="009C5BEC">
      <w:rPr>
        <w:sz w:val="20"/>
      </w:rPr>
      <w:t xml:space="preserve">    060117    180117</w:t>
    </w:r>
    <w:r>
      <w:rPr>
        <w:sz w:val="20"/>
      </w:rPr>
      <w:br/>
    </w:r>
    <w:r w:rsidRPr="004B0B35">
      <w:rPr>
        <w:rFonts w:ascii="C39T30Lfz" w:hAnsi="C39T30Lfz"/>
        <w:sz w:val="56"/>
      </w:rPr>
      <w:t></w:t>
    </w:r>
    <w:r w:rsidRPr="004B0B35">
      <w:rPr>
        <w:rFonts w:ascii="C39T30Lfz" w:hAnsi="C39T30Lfz"/>
        <w:sz w:val="56"/>
      </w:rPr>
      <w:t></w:t>
    </w:r>
    <w:r w:rsidRPr="004B0B35">
      <w:rPr>
        <w:rFonts w:ascii="C39T30Lfz" w:hAnsi="C39T30Lfz"/>
        <w:sz w:val="56"/>
      </w:rPr>
      <w:t></w:t>
    </w:r>
    <w:r w:rsidRPr="004B0B35">
      <w:rPr>
        <w:rFonts w:ascii="C39T30Lfz" w:hAnsi="C39T30Lfz"/>
        <w:sz w:val="56"/>
      </w:rPr>
      <w:t></w:t>
    </w:r>
    <w:r w:rsidRPr="004B0B35">
      <w:rPr>
        <w:rFonts w:ascii="C39T30Lfz" w:hAnsi="C39T30Lfz"/>
        <w:sz w:val="56"/>
      </w:rPr>
      <w:t></w:t>
    </w:r>
    <w:r w:rsidRPr="004B0B35">
      <w:rPr>
        <w:rFonts w:ascii="C39T30Lfz" w:hAnsi="C39T30Lfz"/>
        <w:sz w:val="56"/>
      </w:rPr>
      <w:t></w:t>
    </w:r>
    <w:r w:rsidRPr="004B0B35">
      <w:rPr>
        <w:rFonts w:ascii="C39T30Lfz" w:hAnsi="C39T30Lfz"/>
        <w:sz w:val="56"/>
      </w:rPr>
      <w:t></w:t>
    </w:r>
    <w:r w:rsidRPr="004B0B35">
      <w:rPr>
        <w:rFonts w:ascii="C39T30Lfz" w:hAnsi="C39T30Lfz"/>
        <w:sz w:val="56"/>
      </w:rPr>
      <w:t></w:t>
    </w:r>
    <w:r w:rsidRPr="004B0B35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2017/3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7/3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DDD" w:rsidRPr="00AC3823" w:rsidRDefault="008E3DD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E3DDD" w:rsidRPr="00AC3823" w:rsidRDefault="008E3DD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E3DDD" w:rsidRPr="00AC3823" w:rsidRDefault="008E3DDD">
      <w:pPr>
        <w:spacing w:line="240" w:lineRule="auto"/>
        <w:rPr>
          <w:sz w:val="2"/>
          <w:szCs w:val="2"/>
        </w:rPr>
      </w:pPr>
    </w:p>
  </w:footnote>
  <w:footnote w:id="2">
    <w:p w:rsidR="00061703" w:rsidRPr="00C508AB" w:rsidRDefault="00061703" w:rsidP="009B1BB3">
      <w:pPr>
        <w:pStyle w:val="FootnoteText"/>
      </w:pPr>
      <w:r>
        <w:tab/>
      </w:r>
      <w:r w:rsidRPr="00061703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345097">
        <w:t>Conformément au programme de travail du Comité des transports intérieurs pour la période 2016</w:t>
      </w:r>
      <w:r>
        <w:noBreakHyphen/>
      </w:r>
      <w:r w:rsidRPr="00345097">
        <w:t>2017 (ECE/TRANS/254, par.</w:t>
      </w:r>
      <w:r>
        <w:t> </w:t>
      </w:r>
      <w:r w:rsidRPr="00345097">
        <w:t>159, et ECE/TRANS/2016/28/Add.1, module 3.1), le Forum mondial a pour mission d</w:t>
      </w:r>
      <w:r w:rsidR="009C5BEC">
        <w:t>’</w:t>
      </w:r>
      <w:r w:rsidRPr="00345097">
        <w:t>élaborer, d</w:t>
      </w:r>
      <w:r w:rsidR="009C5BEC">
        <w:t>’</w:t>
      </w:r>
      <w:r w:rsidRPr="00345097">
        <w:t>harmoniser et de mettre à jour les Règlements en vue d</w:t>
      </w:r>
      <w:r w:rsidR="009C5BEC">
        <w:t>’</w:t>
      </w:r>
      <w:r w:rsidRPr="00345097">
        <w:t xml:space="preserve">améliorer les caractéristiques fonctionnelles des véhicules. Le présent document est soumis </w:t>
      </w:r>
      <w:r>
        <w:br/>
      </w:r>
      <w:r w:rsidRPr="00345097">
        <w:t>en vertu de ce mandat.</w:t>
      </w:r>
    </w:p>
  </w:footnote>
  <w:footnote w:id="3">
    <w:p w:rsidR="00061703" w:rsidRPr="009B1BB3" w:rsidRDefault="00061703" w:rsidP="009B1BB3">
      <w:pPr>
        <w:pStyle w:val="FootnoteText"/>
      </w:pPr>
      <w:r>
        <w:rPr>
          <w:lang w:val="fr-FR"/>
        </w:rPr>
        <w:tab/>
      </w:r>
      <w:r w:rsidRPr="009B1BB3">
        <w:rPr>
          <w:sz w:val="20"/>
          <w:lang w:val="fr-FR"/>
        </w:rPr>
        <w:t>**</w:t>
      </w:r>
      <w:r>
        <w:rPr>
          <w:lang w:val="fr-FR"/>
        </w:rPr>
        <w:tab/>
      </w:r>
      <w:r w:rsidRPr="009B1BB3">
        <w:rPr>
          <w:bCs/>
          <w:lang w:val="fr-FR"/>
        </w:rPr>
        <w:t xml:space="preserve">Cet amendement au paragraphe 6 a été élaboré en 2013 (ECE/TRANS/WP.29/GRE/2013/55/Rev.1), </w:t>
      </w:r>
      <w:r w:rsidRPr="00577B48">
        <w:rPr>
          <w:bCs/>
          <w:spacing w:val="-2"/>
          <w:lang w:val="fr-FR"/>
        </w:rPr>
        <w:t>lorsque le GRE a commencé ses travaux d</w:t>
      </w:r>
      <w:r w:rsidR="009C5BEC" w:rsidRPr="00577B48">
        <w:rPr>
          <w:bCs/>
          <w:spacing w:val="-2"/>
          <w:lang w:val="fr-FR"/>
        </w:rPr>
        <w:t>’</w:t>
      </w:r>
      <w:r w:rsidRPr="00577B48">
        <w:rPr>
          <w:bCs/>
          <w:spacing w:val="-2"/>
          <w:lang w:val="fr-FR"/>
        </w:rPr>
        <w:t xml:space="preserve">actualisation du Règlement </w:t>
      </w:r>
      <w:r w:rsidR="009B1BB3" w:rsidRPr="00577B48">
        <w:rPr>
          <w:rFonts w:eastAsia="MS Mincho"/>
          <w:bCs/>
          <w:spacing w:val="-2"/>
          <w:szCs w:val="22"/>
          <w:lang w:val="fr-FR"/>
        </w:rPr>
        <w:t>n</w:t>
      </w:r>
      <w:r w:rsidR="009B1BB3" w:rsidRPr="00577B48">
        <w:rPr>
          <w:rFonts w:eastAsia="MS Mincho"/>
          <w:bCs/>
          <w:spacing w:val="-2"/>
          <w:szCs w:val="22"/>
          <w:vertAlign w:val="superscript"/>
          <w:lang w:val="fr-FR"/>
        </w:rPr>
        <w:t>o</w:t>
      </w:r>
      <w:r w:rsidR="009B1BB3" w:rsidRPr="00577B48">
        <w:rPr>
          <w:bCs/>
          <w:spacing w:val="-2"/>
          <w:lang w:val="fr-FR"/>
        </w:rPr>
        <w:t> </w:t>
      </w:r>
      <w:r w:rsidRPr="00577B48">
        <w:rPr>
          <w:bCs/>
          <w:spacing w:val="-2"/>
          <w:lang w:val="fr-FR"/>
        </w:rPr>
        <w:t>86, et l</w:t>
      </w:r>
      <w:r w:rsidR="009C5BEC" w:rsidRPr="00577B48">
        <w:rPr>
          <w:bCs/>
          <w:spacing w:val="-2"/>
          <w:lang w:val="fr-FR"/>
        </w:rPr>
        <w:t>’</w:t>
      </w:r>
      <w:r w:rsidRPr="00577B48">
        <w:rPr>
          <w:bCs/>
          <w:spacing w:val="-2"/>
          <w:lang w:val="fr-FR"/>
        </w:rPr>
        <w:t xml:space="preserve">on ignorait alors si ce </w:t>
      </w:r>
      <w:r w:rsidRPr="009B1BB3">
        <w:rPr>
          <w:bCs/>
          <w:lang w:val="fr-FR"/>
        </w:rPr>
        <w:t xml:space="preserve">Règlement devait faire référence aux plaques de signalisation arrière visées par le Règlement </w:t>
      </w:r>
      <w:r w:rsidR="009B1BB3" w:rsidRPr="009B1BB3">
        <w:rPr>
          <w:rFonts w:eastAsia="MS Mincho"/>
          <w:bCs/>
          <w:szCs w:val="22"/>
          <w:lang w:val="fr-FR"/>
        </w:rPr>
        <w:t>n</w:t>
      </w:r>
      <w:r w:rsidR="009B1BB3" w:rsidRPr="009B1BB3">
        <w:rPr>
          <w:rFonts w:eastAsia="MS Mincho"/>
          <w:bCs/>
          <w:szCs w:val="22"/>
          <w:vertAlign w:val="superscript"/>
          <w:lang w:val="fr-FR"/>
        </w:rPr>
        <w:t>o</w:t>
      </w:r>
      <w:r w:rsidR="009B1BB3">
        <w:rPr>
          <w:bCs/>
          <w:lang w:val="fr-FR"/>
        </w:rPr>
        <w:t> </w:t>
      </w:r>
      <w:r w:rsidRPr="009B1BB3">
        <w:rPr>
          <w:bCs/>
          <w:lang w:val="fr-FR"/>
        </w:rPr>
        <w:t>69.</w:t>
      </w:r>
      <w:r w:rsidRPr="009B1BB3">
        <w:rPr>
          <w:lang w:val="fr-FR"/>
        </w:rPr>
        <w:t xml:space="preserve"> </w:t>
      </w:r>
      <w:r w:rsidRPr="00033D02">
        <w:rPr>
          <w:bCs/>
          <w:spacing w:val="-2"/>
          <w:lang w:val="fr-FR"/>
        </w:rPr>
        <w:t>C</w:t>
      </w:r>
      <w:r w:rsidR="009C5BEC" w:rsidRPr="00033D02">
        <w:rPr>
          <w:bCs/>
          <w:spacing w:val="-2"/>
          <w:lang w:val="fr-FR"/>
        </w:rPr>
        <w:t>’</w:t>
      </w:r>
      <w:r w:rsidRPr="00033D02">
        <w:rPr>
          <w:bCs/>
          <w:spacing w:val="-2"/>
          <w:lang w:val="fr-FR"/>
        </w:rPr>
        <w:t>est pourquoi le présent amendement a été placé entre crochets.</w:t>
      </w:r>
      <w:r w:rsidRPr="00033D02">
        <w:rPr>
          <w:spacing w:val="-2"/>
          <w:lang w:val="fr-FR"/>
        </w:rPr>
        <w:t xml:space="preserve"> </w:t>
      </w:r>
      <w:r w:rsidRPr="00033D02">
        <w:rPr>
          <w:bCs/>
          <w:spacing w:val="-2"/>
          <w:lang w:val="fr-FR"/>
        </w:rPr>
        <w:t xml:space="preserve">Les travaux relatifs au Règlement </w:t>
      </w:r>
      <w:r w:rsidR="009B1BB3" w:rsidRPr="00033D02">
        <w:rPr>
          <w:rFonts w:eastAsia="MS Mincho"/>
          <w:bCs/>
          <w:spacing w:val="-2"/>
          <w:szCs w:val="22"/>
          <w:lang w:val="fr-FR"/>
        </w:rPr>
        <w:t>n</w:t>
      </w:r>
      <w:r w:rsidR="009B1BB3" w:rsidRPr="00033D02">
        <w:rPr>
          <w:rFonts w:eastAsia="MS Mincho"/>
          <w:bCs/>
          <w:spacing w:val="-2"/>
          <w:szCs w:val="22"/>
          <w:vertAlign w:val="superscript"/>
          <w:lang w:val="fr-FR"/>
        </w:rPr>
        <w:t>o</w:t>
      </w:r>
      <w:r w:rsidR="009B1BB3" w:rsidRPr="00033D02">
        <w:rPr>
          <w:bCs/>
          <w:spacing w:val="-2"/>
          <w:lang w:val="fr-FR"/>
        </w:rPr>
        <w:t> </w:t>
      </w:r>
      <w:r w:rsidRPr="00033D02">
        <w:rPr>
          <w:bCs/>
          <w:spacing w:val="-2"/>
          <w:lang w:val="fr-FR"/>
        </w:rPr>
        <w:t>86</w:t>
      </w:r>
      <w:r w:rsidRPr="009B1BB3">
        <w:rPr>
          <w:bCs/>
          <w:lang w:val="fr-FR"/>
        </w:rPr>
        <w:t xml:space="preserve"> </w:t>
      </w:r>
      <w:r w:rsidRPr="00577B48">
        <w:rPr>
          <w:bCs/>
          <w:spacing w:val="-4"/>
          <w:lang w:val="fr-FR"/>
        </w:rPr>
        <w:t>ont débouché sur l</w:t>
      </w:r>
      <w:r w:rsidR="009C5BEC" w:rsidRPr="00577B48">
        <w:rPr>
          <w:bCs/>
          <w:spacing w:val="-4"/>
          <w:lang w:val="fr-FR"/>
        </w:rPr>
        <w:t>’</w:t>
      </w:r>
      <w:r w:rsidRPr="00577B48">
        <w:rPr>
          <w:bCs/>
          <w:spacing w:val="-4"/>
          <w:lang w:val="fr-FR"/>
        </w:rPr>
        <w:t>adoption, par le WP.29, des documents ECE/TRANS/WP.29/2015/26 et ECE/TRANS/</w:t>
      </w:r>
      <w:r w:rsidR="00577B48">
        <w:rPr>
          <w:bCs/>
          <w:lang w:val="fr-FR"/>
        </w:rPr>
        <w:br/>
      </w:r>
      <w:r w:rsidRPr="00577B48">
        <w:rPr>
          <w:bCs/>
          <w:spacing w:val="-2"/>
          <w:lang w:val="fr-FR"/>
        </w:rPr>
        <w:t>WP.29/2016/83, respectivement en mars 2015 et en novembre 2016.</w:t>
      </w:r>
      <w:r w:rsidRPr="00577B48">
        <w:rPr>
          <w:spacing w:val="-2"/>
          <w:lang w:val="fr-FR"/>
        </w:rPr>
        <w:t xml:space="preserve"> </w:t>
      </w:r>
      <w:r w:rsidRPr="00577B48">
        <w:rPr>
          <w:bCs/>
          <w:spacing w:val="-2"/>
          <w:lang w:val="fr-FR"/>
        </w:rPr>
        <w:t xml:space="preserve">Le texte révisé du Règlement </w:t>
      </w:r>
      <w:r w:rsidR="009B1BB3" w:rsidRPr="00577B48">
        <w:rPr>
          <w:rFonts w:eastAsia="MS Mincho"/>
          <w:bCs/>
          <w:spacing w:val="-2"/>
          <w:szCs w:val="22"/>
          <w:lang w:val="fr-FR"/>
        </w:rPr>
        <w:t>n</w:t>
      </w:r>
      <w:r w:rsidR="009B1BB3" w:rsidRPr="00577B48">
        <w:rPr>
          <w:rFonts w:eastAsia="MS Mincho"/>
          <w:bCs/>
          <w:spacing w:val="-2"/>
          <w:szCs w:val="22"/>
          <w:vertAlign w:val="superscript"/>
          <w:lang w:val="fr-FR"/>
        </w:rPr>
        <w:t>o</w:t>
      </w:r>
      <w:r w:rsidR="009B1BB3" w:rsidRPr="00577B48">
        <w:rPr>
          <w:bCs/>
          <w:spacing w:val="-2"/>
          <w:lang w:val="fr-FR"/>
        </w:rPr>
        <w:t> </w:t>
      </w:r>
      <w:r w:rsidRPr="00577B48">
        <w:rPr>
          <w:bCs/>
          <w:spacing w:val="-2"/>
          <w:lang w:val="fr-FR"/>
        </w:rPr>
        <w:t>86</w:t>
      </w:r>
      <w:r w:rsidRPr="009B1BB3">
        <w:rPr>
          <w:bCs/>
          <w:lang w:val="fr-FR"/>
        </w:rPr>
        <w:t xml:space="preserve"> mentionne effectivement les plaques de signalisation arrière visées par le Règlement </w:t>
      </w:r>
      <w:r w:rsidR="009B1BB3" w:rsidRPr="009B1BB3">
        <w:rPr>
          <w:rFonts w:eastAsia="MS Mincho"/>
          <w:bCs/>
          <w:szCs w:val="22"/>
          <w:lang w:val="fr-FR"/>
        </w:rPr>
        <w:t>n</w:t>
      </w:r>
      <w:r w:rsidR="009B1BB3" w:rsidRPr="009B1BB3">
        <w:rPr>
          <w:rFonts w:eastAsia="MS Mincho"/>
          <w:bCs/>
          <w:szCs w:val="22"/>
          <w:vertAlign w:val="superscript"/>
          <w:lang w:val="fr-FR"/>
        </w:rPr>
        <w:t>o</w:t>
      </w:r>
      <w:r w:rsidR="009B1BB3">
        <w:rPr>
          <w:bCs/>
          <w:lang w:val="fr-FR"/>
        </w:rPr>
        <w:t> </w:t>
      </w:r>
      <w:r w:rsidRPr="009B1BB3">
        <w:rPr>
          <w:bCs/>
          <w:lang w:val="fr-FR"/>
        </w:rPr>
        <w:t>69.</w:t>
      </w:r>
      <w:r w:rsidRPr="009B1BB3">
        <w:rPr>
          <w:lang w:val="fr-FR"/>
        </w:rPr>
        <w:t xml:space="preserve"> </w:t>
      </w:r>
      <w:r w:rsidRPr="009B1BB3">
        <w:rPr>
          <w:bCs/>
          <w:lang w:val="fr-FR"/>
        </w:rPr>
        <w:t>Il est donc proposé de supprimer les crochets et de conserver le texte pour adoption (note du secrétariat).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B35" w:rsidRPr="004B0B35" w:rsidRDefault="004B0B35">
    <w:pPr>
      <w:pStyle w:val="Header"/>
    </w:pPr>
    <w:r>
      <w:t>ECE/TRANS/WP.29/2017/30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B35" w:rsidRPr="004B0B35" w:rsidRDefault="004B0B35" w:rsidP="004B0B35">
    <w:pPr>
      <w:pStyle w:val="Header"/>
      <w:jc w:val="right"/>
    </w:pPr>
    <w:r>
      <w:t>ECE/TRANS/WP.29/2017/30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DD"/>
    <w:rsid w:val="00017F94"/>
    <w:rsid w:val="00023842"/>
    <w:rsid w:val="000334F9"/>
    <w:rsid w:val="00033D02"/>
    <w:rsid w:val="00061703"/>
    <w:rsid w:val="000757B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10829"/>
    <w:rsid w:val="003916DE"/>
    <w:rsid w:val="00441C3B"/>
    <w:rsid w:val="00441FF2"/>
    <w:rsid w:val="00446FE5"/>
    <w:rsid w:val="00452396"/>
    <w:rsid w:val="00482696"/>
    <w:rsid w:val="004837D8"/>
    <w:rsid w:val="004B0B35"/>
    <w:rsid w:val="004E468C"/>
    <w:rsid w:val="005505B7"/>
    <w:rsid w:val="00573BE5"/>
    <w:rsid w:val="00577B48"/>
    <w:rsid w:val="00586ED3"/>
    <w:rsid w:val="00596AA9"/>
    <w:rsid w:val="005A1099"/>
    <w:rsid w:val="005A4A9F"/>
    <w:rsid w:val="0071601D"/>
    <w:rsid w:val="007A62E6"/>
    <w:rsid w:val="007F20FA"/>
    <w:rsid w:val="0080684C"/>
    <w:rsid w:val="00871C75"/>
    <w:rsid w:val="008776DC"/>
    <w:rsid w:val="008E3DDD"/>
    <w:rsid w:val="009705C8"/>
    <w:rsid w:val="009B1BB3"/>
    <w:rsid w:val="009C1CF4"/>
    <w:rsid w:val="009C5BEC"/>
    <w:rsid w:val="009F6B74"/>
    <w:rsid w:val="00A30353"/>
    <w:rsid w:val="00AC3823"/>
    <w:rsid w:val="00AE323C"/>
    <w:rsid w:val="00AF0CB5"/>
    <w:rsid w:val="00B00181"/>
    <w:rsid w:val="00B00B0D"/>
    <w:rsid w:val="00B35261"/>
    <w:rsid w:val="00B765F7"/>
    <w:rsid w:val="00BA0CA9"/>
    <w:rsid w:val="00BD5B5E"/>
    <w:rsid w:val="00C02897"/>
    <w:rsid w:val="00C27F6B"/>
    <w:rsid w:val="00D3439C"/>
    <w:rsid w:val="00DB1831"/>
    <w:rsid w:val="00DD3BFD"/>
    <w:rsid w:val="00DF6678"/>
    <w:rsid w:val="00E01938"/>
    <w:rsid w:val="00E85C74"/>
    <w:rsid w:val="00EA6547"/>
    <w:rsid w:val="00EF2E22"/>
    <w:rsid w:val="00F35BAF"/>
    <w:rsid w:val="00F64966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FB1038E-6A0E-46B8-9D42-7D286276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061703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ECE/TRANS/WP.29/2017/30</vt:lpstr>
      <vt:lpstr>ECE/TRANS/WP.29/2017/30</vt:lpstr>
    </vt:vector>
  </TitlesOfParts>
  <Company>DCM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ECE/TRANS/WP.29/2017/30</dc:title>
  <dc:subject/>
  <dc:creator>Robert Corinne</dc:creator>
  <cp:keywords/>
  <dc:description/>
  <cp:lastModifiedBy>Lucille</cp:lastModifiedBy>
  <cp:revision>2</cp:revision>
  <cp:lastPrinted>2017-01-17T15:07:00Z</cp:lastPrinted>
  <dcterms:created xsi:type="dcterms:W3CDTF">2017-01-18T13:28:00Z</dcterms:created>
  <dcterms:modified xsi:type="dcterms:W3CDTF">2017-01-18T13:28:00Z</dcterms:modified>
</cp:coreProperties>
</file>