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E2F93">
            <w:bookmarkStart w:id="0" w:name="_GoBack"/>
            <w:bookmarkEnd w:id="0"/>
          </w:p>
        </w:tc>
        <w:tc>
          <w:tcPr>
            <w:tcW w:w="2268" w:type="dxa"/>
            <w:tcBorders>
              <w:bottom w:val="single" w:sz="4" w:space="0" w:color="auto"/>
            </w:tcBorders>
            <w:vAlign w:val="bottom"/>
          </w:tcPr>
          <w:p w:rsidR="00F35BAF" w:rsidRPr="00DB58B5" w:rsidRDefault="00F35BAF" w:rsidP="00DE763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E2F93" w:rsidP="00CE2F93">
            <w:pPr>
              <w:jc w:val="right"/>
            </w:pPr>
            <w:r w:rsidRPr="00CE2F93">
              <w:rPr>
                <w:sz w:val="40"/>
              </w:rPr>
              <w:t>ECE</w:t>
            </w:r>
            <w:r>
              <w:t>/TR</w:t>
            </w:r>
            <w:r w:rsidR="005F2AB9">
              <w:t>A</w:t>
            </w:r>
            <w:r>
              <w:t>NS/WP.29/2017/12</w:t>
            </w:r>
          </w:p>
        </w:tc>
      </w:tr>
      <w:tr w:rsidR="00F35BAF" w:rsidRPr="00DB58B5" w:rsidTr="00DE7635">
        <w:trPr>
          <w:trHeight w:hRule="exact" w:val="2835"/>
        </w:trPr>
        <w:tc>
          <w:tcPr>
            <w:tcW w:w="1276" w:type="dxa"/>
            <w:tcBorders>
              <w:top w:val="single" w:sz="4" w:space="0" w:color="auto"/>
              <w:bottom w:val="single" w:sz="12" w:space="0" w:color="auto"/>
            </w:tcBorders>
          </w:tcPr>
          <w:p w:rsidR="00F35BAF" w:rsidRPr="00DB58B5" w:rsidRDefault="00F35BAF" w:rsidP="00DE7635">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DE763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E2F93" w:rsidP="00DE7635">
            <w:pPr>
              <w:spacing w:before="240"/>
            </w:pPr>
            <w:r>
              <w:t>Distr. générale</w:t>
            </w:r>
          </w:p>
          <w:p w:rsidR="00CE2F93" w:rsidRDefault="00CE2F93" w:rsidP="00CE2F93">
            <w:pPr>
              <w:spacing w:line="240" w:lineRule="exact"/>
            </w:pPr>
            <w:r>
              <w:t xml:space="preserve">21 décembre 2016 </w:t>
            </w:r>
          </w:p>
          <w:p w:rsidR="00CE2F93" w:rsidRDefault="00CE2F93" w:rsidP="00CE2F93">
            <w:pPr>
              <w:spacing w:line="240" w:lineRule="exact"/>
            </w:pPr>
            <w:r>
              <w:t>Français</w:t>
            </w:r>
          </w:p>
          <w:p w:rsidR="00CE2F93" w:rsidRPr="00DB58B5" w:rsidRDefault="00CE2F93" w:rsidP="00CE2F9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E2F93" w:rsidRPr="00CE2F93" w:rsidRDefault="00CE2F93" w:rsidP="00CE2F93">
      <w:pPr>
        <w:spacing w:before="120"/>
        <w:rPr>
          <w:b/>
          <w:sz w:val="24"/>
          <w:szCs w:val="24"/>
        </w:rPr>
      </w:pPr>
      <w:r w:rsidRPr="00CE2F93">
        <w:rPr>
          <w:b/>
          <w:sz w:val="24"/>
          <w:szCs w:val="24"/>
        </w:rPr>
        <w:t>Forum mondial de l’harmonisation</w:t>
      </w:r>
      <w:r>
        <w:rPr>
          <w:b/>
          <w:sz w:val="24"/>
          <w:szCs w:val="24"/>
        </w:rPr>
        <w:t xml:space="preserve"> des Règlements</w:t>
      </w:r>
      <w:r>
        <w:rPr>
          <w:b/>
          <w:sz w:val="24"/>
          <w:szCs w:val="24"/>
        </w:rPr>
        <w:br/>
      </w:r>
      <w:r w:rsidRPr="00CE2F93">
        <w:rPr>
          <w:b/>
          <w:sz w:val="24"/>
          <w:szCs w:val="24"/>
        </w:rPr>
        <w:t>concernant les véhicules</w:t>
      </w:r>
    </w:p>
    <w:p w:rsidR="00CE2F93" w:rsidRPr="006D33D9" w:rsidRDefault="00CE2F93" w:rsidP="00CE2F93">
      <w:pPr>
        <w:tabs>
          <w:tab w:val="center" w:pos="4819"/>
        </w:tabs>
        <w:spacing w:before="120"/>
        <w:rPr>
          <w:b/>
        </w:rPr>
      </w:pPr>
      <w:r>
        <w:rPr>
          <w:b/>
        </w:rPr>
        <w:t>171</w:t>
      </w:r>
      <w:r>
        <w:rPr>
          <w:b/>
          <w:vertAlign w:val="superscript"/>
        </w:rPr>
        <w:t>e</w:t>
      </w:r>
      <w:r>
        <w:rPr>
          <w:b/>
        </w:rPr>
        <w:t> session</w:t>
      </w:r>
    </w:p>
    <w:p w:rsidR="00CE2F93" w:rsidRPr="006D33D9" w:rsidRDefault="00DE7635" w:rsidP="00CE2F93">
      <w:r>
        <w:t>Genève, 14-17 </w:t>
      </w:r>
      <w:r w:rsidR="00CE2F93">
        <w:t>mars 2017</w:t>
      </w:r>
    </w:p>
    <w:p w:rsidR="00CE2F93" w:rsidRPr="00AF2205" w:rsidRDefault="00CE2F93" w:rsidP="00CE2F93">
      <w:r>
        <w:t>Point 4.8.2 de l’ordre du jour provisoire</w:t>
      </w:r>
    </w:p>
    <w:p w:rsidR="00CE2F93" w:rsidRPr="00AF2205" w:rsidRDefault="00CE2F93" w:rsidP="00CE2F93">
      <w:pPr>
        <w:rPr>
          <w:b/>
        </w:rPr>
      </w:pPr>
      <w:r>
        <w:rPr>
          <w:b/>
        </w:rPr>
        <w:t>Accord de 1958 : Examen de projets d’amendements</w:t>
      </w:r>
      <w:r>
        <w:rPr>
          <w:b/>
        </w:rPr>
        <w:br/>
        <w:t>à des Règlements existants, soumis par le GRSG</w:t>
      </w:r>
    </w:p>
    <w:p w:rsidR="00CE2F93" w:rsidRPr="00A90EA8" w:rsidRDefault="00CE2F93" w:rsidP="00CE2F93">
      <w:pPr>
        <w:pStyle w:val="HChG"/>
        <w:tabs>
          <w:tab w:val="clear" w:pos="851"/>
        </w:tabs>
        <w:ind w:firstLine="0"/>
        <w:jc w:val="both"/>
      </w:pPr>
      <w:r>
        <w:t>Proposition de complément 5 à la série 01 d’</w:t>
      </w:r>
      <w:r w:rsidR="001A33BF">
        <w:t>amendements</w:t>
      </w:r>
      <w:r w:rsidR="001A33BF">
        <w:br/>
      </w:r>
      <w:r>
        <w:t xml:space="preserve">au Règlement </w:t>
      </w:r>
      <w:r w:rsidR="00732625" w:rsidRPr="00732625">
        <w:rPr>
          <w:rFonts w:eastAsia="MS Mincho"/>
        </w:rPr>
        <w:t>n</w:t>
      </w:r>
      <w:r w:rsidR="00732625" w:rsidRPr="00732625">
        <w:rPr>
          <w:rFonts w:eastAsia="MS Mincho"/>
          <w:vertAlign w:val="superscript"/>
        </w:rPr>
        <w:t>o</w:t>
      </w:r>
      <w:r w:rsidR="00732625">
        <w:rPr>
          <w:rFonts w:eastAsia="MS Mincho"/>
        </w:rPr>
        <w:t> </w:t>
      </w:r>
      <w:r>
        <w:t>43 (Vitrages de sécurité)</w:t>
      </w:r>
    </w:p>
    <w:p w:rsidR="00CE2F93" w:rsidRPr="00A90EA8" w:rsidRDefault="00CE2F93" w:rsidP="00CE2F93">
      <w:pPr>
        <w:pStyle w:val="H1G"/>
      </w:pPr>
      <w:r>
        <w:tab/>
      </w:r>
      <w:r>
        <w:tab/>
        <w:t>Communication du Groupe de travail des dispositions générales</w:t>
      </w:r>
      <w:r>
        <w:br/>
        <w:t>de sécurité</w:t>
      </w:r>
      <w:r w:rsidRPr="004F47E5">
        <w:rPr>
          <w:b w:val="0"/>
          <w:sz w:val="20"/>
          <w:lang w:val="en-GB"/>
        </w:rPr>
        <w:footnoteReference w:customMarkFollows="1" w:id="2"/>
        <w:t>*</w:t>
      </w:r>
    </w:p>
    <w:p w:rsidR="00CE2F93" w:rsidRPr="00CE2F93" w:rsidRDefault="00CE2F93" w:rsidP="00CE2F93">
      <w:pPr>
        <w:pStyle w:val="SingleTxtG"/>
        <w:ind w:firstLine="567"/>
      </w:pPr>
      <w:r w:rsidRPr="00CE2F93">
        <w:t>Le texte reproduit ci-après, adopté par le Groupe de travail des dispositions générales de sécurité (GRSG) à sa 111</w:t>
      </w:r>
      <w:r w:rsidRPr="001A33BF">
        <w:rPr>
          <w:vertAlign w:val="superscript"/>
        </w:rPr>
        <w:t>e</w:t>
      </w:r>
      <w:r w:rsidR="001A33BF">
        <w:t> </w:t>
      </w:r>
      <w:r w:rsidRPr="00CE2F93">
        <w:t>session</w:t>
      </w:r>
      <w:r>
        <w:t xml:space="preserve"> (ECE/TRANS/WP.29/GRSG/90, par. </w:t>
      </w:r>
      <w:r w:rsidRPr="00CE2F93">
        <w:t>17), est fondé principalement sur le document ECE/TRANS/WP.29/GRSG/2016/21 tel que celui-ci est reproduit dans l’annexe II du rapport. Il est soumis au Forum mondial de l’harmonisation des Règlements concernant les véhicules (WP.29) et au Comité d’administration (AC.1) pour examen à leurs sessions de mars 2017.</w:t>
      </w:r>
    </w:p>
    <w:p w:rsidR="00CE2F93" w:rsidRPr="00CE2F93" w:rsidRDefault="00CE2F93" w:rsidP="00CE2F93">
      <w:pPr>
        <w:pStyle w:val="SingleTxtG"/>
        <w:rPr>
          <w:i/>
        </w:rPr>
      </w:pPr>
      <w:r>
        <w:br w:type="page"/>
      </w:r>
      <w:r w:rsidRPr="00CE2F93">
        <w:rPr>
          <w:i/>
        </w:rPr>
        <w:lastRenderedPageBreak/>
        <w:t>Annexe 14,</w:t>
      </w:r>
    </w:p>
    <w:p w:rsidR="00CE2F93" w:rsidRPr="00CC2D3E" w:rsidRDefault="00732625" w:rsidP="00CE2F93">
      <w:pPr>
        <w:pStyle w:val="SingleTxtG"/>
      </w:pPr>
      <w:r>
        <w:rPr>
          <w:i/>
        </w:rPr>
        <w:t>Paragraphe </w:t>
      </w:r>
      <w:r w:rsidR="00CE2F93">
        <w:rPr>
          <w:i/>
        </w:rPr>
        <w:t xml:space="preserve">1, </w:t>
      </w:r>
      <w:r w:rsidR="00CE2F93">
        <w:t>remplacer « caractéristiques principales ou secondaires » par « caractéristiques principales ».</w:t>
      </w:r>
    </w:p>
    <w:p w:rsidR="00CE2F93" w:rsidRPr="00CC2D3E" w:rsidRDefault="00CE2F93" w:rsidP="004F47E5">
      <w:pPr>
        <w:pStyle w:val="SingleTxtG"/>
        <w:keepNext/>
      </w:pPr>
      <w:r>
        <w:rPr>
          <w:i/>
        </w:rPr>
        <w:t>Paragraphe 1.1.6</w:t>
      </w:r>
      <w:r>
        <w:t>,</w:t>
      </w:r>
      <w:r>
        <w:rPr>
          <w:i/>
        </w:rPr>
        <w:t xml:space="preserve"> </w:t>
      </w:r>
      <w:r>
        <w:t>lire</w:t>
      </w:r>
      <w:r w:rsidR="001A33BF">
        <w:t> </w:t>
      </w:r>
      <w:r>
        <w:t>:</w:t>
      </w:r>
    </w:p>
    <w:p w:rsidR="00CE2F93" w:rsidRPr="00CC2D3E" w:rsidRDefault="00CE2F93" w:rsidP="004F47E5">
      <w:pPr>
        <w:pStyle w:val="SingleTxtG"/>
        <w:keepNext/>
        <w:ind w:left="2268" w:hanging="1134"/>
      </w:pPr>
      <w:r>
        <w:t>« 1.1.6</w:t>
      </w:r>
      <w:r>
        <w:tab/>
      </w:r>
      <w:r w:rsidR="001A33BF">
        <w:tab/>
      </w:r>
      <w:r>
        <w:t xml:space="preserve">L’épaisseur nominale. (...) (par exemple les plastiques acryliques coulés), elle est de </w:t>
      </w:r>
      <w:r w:rsidR="004F47E5">
        <w:sym w:font="Symbol" w:char="F0B1"/>
      </w:r>
      <w:r>
        <w:t xml:space="preserve"> (0,4 mm + 0,1 e),</w:t>
      </w:r>
    </w:p>
    <w:p w:rsidR="00CE2F93" w:rsidRPr="00CC2D3E" w:rsidRDefault="00CE2F93" w:rsidP="001A33BF">
      <w:pPr>
        <w:pStyle w:val="SingleTxtG"/>
        <w:ind w:firstLine="1134"/>
      </w:pPr>
      <w:r>
        <w:tab/>
        <w:t>e étant l’épaisseur nominale du vitrage en mm.</w:t>
      </w:r>
    </w:p>
    <w:p w:rsidR="00CE2F93" w:rsidRPr="00CC2D3E" w:rsidRDefault="00CE2F93" w:rsidP="001A33BF">
      <w:pPr>
        <w:pStyle w:val="SingleTxtG"/>
        <w:ind w:firstLine="1134"/>
      </w:pPr>
      <w:r>
        <w:tab/>
        <w:t>La norme de référence est la norme ISO 7823-1:2003. ».</w:t>
      </w:r>
    </w:p>
    <w:p w:rsidR="00CE2F93" w:rsidRPr="00CC2D3E" w:rsidRDefault="00CE2F93" w:rsidP="004F47E5">
      <w:pPr>
        <w:pStyle w:val="SingleTxtG"/>
        <w:keepNext/>
      </w:pPr>
      <w:r>
        <w:rPr>
          <w:i/>
        </w:rPr>
        <w:t>Ajouter un nouveau paragraphe 1.2.2</w:t>
      </w:r>
      <w:r>
        <w:t>, libellé comme suit</w:t>
      </w:r>
      <w:r w:rsidR="001A33BF">
        <w:t> </w:t>
      </w:r>
      <w:r>
        <w:t>:</w:t>
      </w:r>
    </w:p>
    <w:p w:rsidR="00CE2F93" w:rsidRPr="00CC2D3E" w:rsidRDefault="00CE2F93" w:rsidP="004F47E5">
      <w:pPr>
        <w:pStyle w:val="SingleTxtG"/>
        <w:keepNext/>
        <w:ind w:left="2268" w:hanging="1134"/>
      </w:pPr>
      <w:r>
        <w:t>« 1.2.2</w:t>
      </w:r>
      <w:r>
        <w:tab/>
        <w:t>La présence ou l’absence de masques opaques. ».</w:t>
      </w:r>
    </w:p>
    <w:p w:rsidR="00CE2F93" w:rsidRPr="00CC2D3E" w:rsidRDefault="00CE2F93" w:rsidP="004F47E5">
      <w:pPr>
        <w:pStyle w:val="SingleTxtG"/>
        <w:keepNext/>
      </w:pPr>
      <w:r>
        <w:rPr>
          <w:i/>
        </w:rPr>
        <w:t>Paragraphe 4.2</w:t>
      </w:r>
      <w:r>
        <w:t xml:space="preserve">, lire (est ajouté un tableau comprenant </w:t>
      </w:r>
      <w:r w:rsidR="005F2AB9">
        <w:t>un appel de note de bas de page</w:t>
      </w:r>
      <w:r>
        <w:rPr>
          <w:vertAlign w:val="superscript"/>
        </w:rPr>
        <w:t>1</w:t>
      </w:r>
      <w:r>
        <w:t xml:space="preserve"> ainsi que la note correspondante) :</w:t>
      </w:r>
    </w:p>
    <w:p w:rsidR="00CE2F93" w:rsidRPr="00CC2D3E" w:rsidRDefault="00CE2F93" w:rsidP="004F47E5">
      <w:pPr>
        <w:pStyle w:val="SingleTxtG"/>
        <w:keepNext/>
        <w:ind w:left="2268" w:hanging="1134"/>
      </w:pPr>
      <w:r>
        <w:t>« 4.2</w:t>
      </w:r>
      <w:r>
        <w:tab/>
        <w:t>Nombre d’éprouvettes</w:t>
      </w:r>
    </w:p>
    <w:p w:rsidR="00CE2F93" w:rsidRPr="00CC2D3E" w:rsidRDefault="005F2AB9" w:rsidP="004F47E5">
      <w:pPr>
        <w:pStyle w:val="SingleTxtG"/>
        <w:keepNext/>
        <w:ind w:left="2268"/>
      </w:pPr>
      <w:r>
        <w:t>Six éprouvettes plates (1 170 x 570 + 0/-2 </w:t>
      </w:r>
      <w:r w:rsidR="00CE2F93">
        <w:t>mm) ou six pièces complètes sont soumises aux essais.</w:t>
      </w:r>
    </w:p>
    <w:p w:rsidR="00CE2F93" w:rsidRPr="004F47E5" w:rsidRDefault="00CE2F93" w:rsidP="00903C27">
      <w:pPr>
        <w:pStyle w:val="SingleTxtG"/>
        <w:spacing w:before="120"/>
        <w:ind w:left="2268"/>
        <w:rPr>
          <w:b/>
        </w:rPr>
      </w:pPr>
      <w:r>
        <w:tab/>
        <w:t>Le tableau ci-dessous montre le type d’éprouvettes à soumettre à des essais, en fonction des dimensions de la vitre à évaluer.</w:t>
      </w: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1843"/>
        <w:gridCol w:w="2747"/>
      </w:tblGrid>
      <w:tr w:rsidR="00CE2F93" w:rsidRPr="00CC2D3E" w:rsidTr="0014321A">
        <w:trPr>
          <w:tblHeader/>
        </w:trPr>
        <w:tc>
          <w:tcPr>
            <w:tcW w:w="1137" w:type="dxa"/>
            <w:tcBorders>
              <w:bottom w:val="single" w:sz="2" w:space="0" w:color="auto"/>
            </w:tcBorders>
            <w:shd w:val="clear" w:color="auto" w:fill="auto"/>
            <w:tcMar>
              <w:left w:w="57" w:type="dxa"/>
            </w:tcMar>
            <w:vAlign w:val="bottom"/>
            <w:hideMark/>
          </w:tcPr>
          <w:p w:rsidR="00CE2F93" w:rsidRPr="00CC2D3E" w:rsidRDefault="00CE2F93" w:rsidP="0014321A">
            <w:pPr>
              <w:spacing w:before="80" w:after="80" w:line="160" w:lineRule="exact"/>
              <w:rPr>
                <w:rFonts w:eastAsia="MS Mincho"/>
                <w:i/>
                <w:sz w:val="16"/>
                <w:szCs w:val="16"/>
              </w:rPr>
            </w:pPr>
            <w:r>
              <w:rPr>
                <w:i/>
                <w:sz w:val="16"/>
                <w:szCs w:val="16"/>
              </w:rPr>
              <w:t>Type de fenêtre</w:t>
            </w:r>
          </w:p>
        </w:tc>
        <w:tc>
          <w:tcPr>
            <w:tcW w:w="1843" w:type="dxa"/>
            <w:tcBorders>
              <w:bottom w:val="single" w:sz="2" w:space="0" w:color="auto"/>
            </w:tcBorders>
            <w:shd w:val="clear" w:color="auto" w:fill="auto"/>
            <w:tcMar>
              <w:left w:w="57" w:type="dxa"/>
            </w:tcMar>
            <w:vAlign w:val="bottom"/>
            <w:hideMark/>
          </w:tcPr>
          <w:p w:rsidR="00CE2F93" w:rsidRPr="00CC2D3E" w:rsidRDefault="004F47E5" w:rsidP="0014321A">
            <w:pPr>
              <w:spacing w:before="80" w:after="80" w:line="160" w:lineRule="exact"/>
              <w:rPr>
                <w:rFonts w:eastAsia="MS Mincho"/>
                <w:i/>
                <w:sz w:val="16"/>
                <w:szCs w:val="16"/>
              </w:rPr>
            </w:pPr>
            <w:r>
              <w:rPr>
                <w:i/>
                <w:sz w:val="16"/>
                <w:szCs w:val="16"/>
              </w:rPr>
              <w:t>Caractéristique</w:t>
            </w:r>
            <w:r>
              <w:rPr>
                <w:i/>
                <w:sz w:val="16"/>
                <w:szCs w:val="16"/>
              </w:rPr>
              <w:br/>
            </w:r>
            <w:r w:rsidR="00CE2F93">
              <w:rPr>
                <w:i/>
                <w:sz w:val="16"/>
                <w:szCs w:val="16"/>
              </w:rPr>
              <w:t>de la fenêtre</w:t>
            </w:r>
          </w:p>
        </w:tc>
        <w:tc>
          <w:tcPr>
            <w:tcW w:w="1843" w:type="dxa"/>
            <w:tcBorders>
              <w:bottom w:val="single" w:sz="2" w:space="0" w:color="auto"/>
            </w:tcBorders>
            <w:shd w:val="clear" w:color="auto" w:fill="auto"/>
            <w:tcMar>
              <w:left w:w="57" w:type="dxa"/>
            </w:tcMar>
            <w:vAlign w:val="bottom"/>
            <w:hideMark/>
          </w:tcPr>
          <w:p w:rsidR="00CE2F93" w:rsidRPr="00CC2D3E" w:rsidRDefault="004F47E5" w:rsidP="0014321A">
            <w:pPr>
              <w:spacing w:before="80" w:after="80" w:line="160" w:lineRule="exact"/>
              <w:rPr>
                <w:rFonts w:eastAsia="MS Mincho"/>
                <w:i/>
                <w:sz w:val="16"/>
                <w:szCs w:val="16"/>
              </w:rPr>
            </w:pPr>
            <w:r>
              <w:rPr>
                <w:i/>
                <w:sz w:val="16"/>
                <w:szCs w:val="16"/>
              </w:rPr>
              <w:t>Dimensions</w:t>
            </w:r>
            <w:r>
              <w:rPr>
                <w:i/>
                <w:sz w:val="16"/>
                <w:szCs w:val="16"/>
              </w:rPr>
              <w:br/>
            </w:r>
            <w:r w:rsidR="00CE2F93">
              <w:rPr>
                <w:i/>
                <w:sz w:val="16"/>
                <w:szCs w:val="16"/>
              </w:rPr>
              <w:t>de l’éprouvette plate</w:t>
            </w:r>
          </w:p>
        </w:tc>
        <w:tc>
          <w:tcPr>
            <w:tcW w:w="2747" w:type="dxa"/>
            <w:tcBorders>
              <w:bottom w:val="single" w:sz="2" w:space="0" w:color="auto"/>
            </w:tcBorders>
            <w:shd w:val="clear" w:color="auto" w:fill="auto"/>
            <w:tcMar>
              <w:left w:w="57" w:type="dxa"/>
            </w:tcMar>
            <w:vAlign w:val="bottom"/>
            <w:hideMark/>
          </w:tcPr>
          <w:p w:rsidR="00CE2F93" w:rsidRPr="00CC2D3E" w:rsidRDefault="00CE2F93" w:rsidP="0014321A">
            <w:pPr>
              <w:spacing w:before="80" w:after="80" w:line="160" w:lineRule="exact"/>
              <w:rPr>
                <w:rFonts w:eastAsia="MS Mincho"/>
                <w:i/>
                <w:sz w:val="16"/>
                <w:szCs w:val="16"/>
              </w:rPr>
            </w:pPr>
            <w:r>
              <w:rPr>
                <w:i/>
                <w:sz w:val="16"/>
                <w:szCs w:val="16"/>
              </w:rPr>
              <w:t>Autre solution</w:t>
            </w:r>
          </w:p>
        </w:tc>
      </w:tr>
      <w:tr w:rsidR="00CE2F93" w:rsidRPr="00CC2D3E" w:rsidTr="0014321A">
        <w:tc>
          <w:tcPr>
            <w:tcW w:w="1137" w:type="dxa"/>
            <w:tcBorders>
              <w:top w:val="single" w:sz="2" w:space="0" w:color="auto"/>
              <w:bottom w:val="single" w:sz="2" w:space="0" w:color="auto"/>
            </w:tcBorders>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Petite fenêtre</w:t>
            </w:r>
          </w:p>
        </w:tc>
        <w:tc>
          <w:tcPr>
            <w:tcW w:w="1843" w:type="dxa"/>
            <w:tcBorders>
              <w:top w:val="single" w:sz="2" w:space="0" w:color="auto"/>
              <w:bottom w:val="single" w:sz="2" w:space="0" w:color="auto"/>
            </w:tcBorders>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Diamètre D du cercle pouvant y être inscrit :</w:t>
            </w:r>
          </w:p>
          <w:p w:rsidR="00CE2F93" w:rsidRPr="00CC2D3E" w:rsidRDefault="0014321A" w:rsidP="0014321A">
            <w:pPr>
              <w:spacing w:before="40" w:after="40" w:line="220" w:lineRule="exact"/>
              <w:rPr>
                <w:rFonts w:eastAsia="MS Mincho"/>
                <w:sz w:val="16"/>
                <w:szCs w:val="16"/>
              </w:rPr>
            </w:pPr>
            <w:r>
              <w:rPr>
                <w:sz w:val="16"/>
                <w:szCs w:val="16"/>
              </w:rPr>
              <w:t>D &lt; </w:t>
            </w:r>
            <w:r w:rsidR="00CE2F93">
              <w:rPr>
                <w:sz w:val="16"/>
                <w:szCs w:val="16"/>
              </w:rPr>
              <w:t>150 mm et</w:t>
            </w:r>
            <w:r w:rsidR="00CE2F93">
              <w:rPr>
                <w:sz w:val="16"/>
                <w:szCs w:val="16"/>
              </w:rPr>
              <w:br/>
            </w:r>
            <w:r w:rsidR="004F47E5">
              <w:rPr>
                <w:sz w:val="16"/>
                <w:szCs w:val="16"/>
              </w:rPr>
              <w:t>surface &lt; 200 </w:t>
            </w:r>
            <w:r w:rsidR="00CE2F93">
              <w:rPr>
                <w:sz w:val="16"/>
                <w:szCs w:val="16"/>
              </w:rPr>
              <w:t>cm</w:t>
            </w:r>
            <w:r w:rsidR="00CE2F93">
              <w:rPr>
                <w:sz w:val="16"/>
                <w:szCs w:val="16"/>
                <w:vertAlign w:val="superscript"/>
              </w:rPr>
              <w:t>2</w:t>
            </w:r>
          </w:p>
        </w:tc>
        <w:tc>
          <w:tcPr>
            <w:tcW w:w="4590" w:type="dxa"/>
            <w:gridSpan w:val="2"/>
            <w:tcBorders>
              <w:top w:val="single" w:sz="2" w:space="0" w:color="auto"/>
              <w:bottom w:val="single" w:sz="2" w:space="0" w:color="auto"/>
            </w:tcBorders>
            <w:shd w:val="clear" w:color="auto" w:fill="auto"/>
            <w:tcMar>
              <w:left w:w="113" w:type="dxa"/>
            </w:tcMar>
          </w:tcPr>
          <w:p w:rsidR="00CE2F93" w:rsidRPr="00CC2D3E" w:rsidRDefault="00CE2F93" w:rsidP="0014321A">
            <w:pPr>
              <w:spacing w:before="80" w:after="40" w:line="220" w:lineRule="exact"/>
              <w:ind w:right="652"/>
              <w:jc w:val="center"/>
              <w:rPr>
                <w:rFonts w:eastAsia="MS Mincho"/>
                <w:sz w:val="16"/>
                <w:szCs w:val="16"/>
              </w:rPr>
            </w:pPr>
            <w:r>
              <w:rPr>
                <w:sz w:val="16"/>
                <w:szCs w:val="16"/>
              </w:rPr>
              <w:t>Pas d’essai</w:t>
            </w:r>
          </w:p>
        </w:tc>
      </w:tr>
      <w:tr w:rsidR="00CE2F93" w:rsidRPr="00CC2D3E" w:rsidTr="00DE7635">
        <w:tc>
          <w:tcPr>
            <w:tcW w:w="1137" w:type="dxa"/>
            <w:vMerge w:val="restart"/>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Fenêtre autre que petite</w:t>
            </w:r>
          </w:p>
        </w:tc>
        <w:tc>
          <w:tcPr>
            <w:tcW w:w="1843" w:type="dxa"/>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Diamètre D du cercle pouvant y être inscrit :</w:t>
            </w:r>
          </w:p>
          <w:p w:rsidR="00CE2F93" w:rsidRPr="00CC2D3E" w:rsidRDefault="0014321A" w:rsidP="0014321A">
            <w:pPr>
              <w:spacing w:before="40" w:after="40" w:line="220" w:lineRule="exact"/>
              <w:rPr>
                <w:rFonts w:eastAsia="MS Mincho"/>
                <w:sz w:val="16"/>
                <w:szCs w:val="16"/>
              </w:rPr>
            </w:pPr>
            <w:r>
              <w:rPr>
                <w:sz w:val="16"/>
                <w:szCs w:val="16"/>
              </w:rPr>
              <w:t>D &lt; 400 </w:t>
            </w:r>
            <w:r w:rsidR="00CE2F93">
              <w:rPr>
                <w:sz w:val="16"/>
                <w:szCs w:val="16"/>
              </w:rPr>
              <w:t>mm et</w:t>
            </w:r>
            <w:r w:rsidR="00CE2F93">
              <w:rPr>
                <w:sz w:val="16"/>
                <w:szCs w:val="16"/>
              </w:rPr>
              <w:br/>
            </w:r>
            <w:r>
              <w:rPr>
                <w:sz w:val="16"/>
                <w:szCs w:val="16"/>
              </w:rPr>
              <w:t>surface ≥ 200 </w:t>
            </w:r>
            <w:r w:rsidR="00CE2F93">
              <w:rPr>
                <w:sz w:val="16"/>
                <w:szCs w:val="16"/>
              </w:rPr>
              <w:t>cm</w:t>
            </w:r>
            <w:r w:rsidR="00CE2F93">
              <w:rPr>
                <w:sz w:val="16"/>
                <w:szCs w:val="16"/>
                <w:vertAlign w:val="superscript"/>
              </w:rPr>
              <w:t>2</w:t>
            </w:r>
          </w:p>
        </w:tc>
        <w:tc>
          <w:tcPr>
            <w:tcW w:w="1843" w:type="dxa"/>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1</w:t>
            </w:r>
            <w:r w:rsidR="0014321A">
              <w:rPr>
                <w:sz w:val="16"/>
                <w:szCs w:val="16"/>
              </w:rPr>
              <w:t> 170 mm x 570 </w:t>
            </w:r>
            <w:r>
              <w:rPr>
                <w:sz w:val="16"/>
                <w:szCs w:val="16"/>
              </w:rPr>
              <w:t>mm</w:t>
            </w:r>
          </w:p>
          <w:p w:rsidR="00CE2F93" w:rsidRPr="00CC2D3E" w:rsidRDefault="00CE2F93" w:rsidP="0014321A">
            <w:pPr>
              <w:spacing w:before="40" w:after="40" w:line="220" w:lineRule="exact"/>
              <w:rPr>
                <w:rFonts w:eastAsia="MS Mincho"/>
                <w:sz w:val="16"/>
                <w:szCs w:val="16"/>
              </w:rPr>
            </w:pPr>
            <w:r>
              <w:rPr>
                <w:sz w:val="16"/>
                <w:szCs w:val="16"/>
              </w:rPr>
              <w:t>(essai du type de matériau et cadre de support standard)</w:t>
            </w:r>
          </w:p>
        </w:tc>
        <w:tc>
          <w:tcPr>
            <w:tcW w:w="2747" w:type="dxa"/>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Autre pièce du même matériau, procédure de production, épaisseur, couleur de dimensions supérieures à celles de la pièce d’origine, dans laquelle un cercle de 400 mm de diamètre peut être inscrit, et avec une zone de su</w:t>
            </w:r>
            <w:r w:rsidR="0014321A">
              <w:rPr>
                <w:sz w:val="16"/>
                <w:szCs w:val="16"/>
              </w:rPr>
              <w:t>rface développée inférieure à 1 170 x 570 </w:t>
            </w:r>
            <w:r>
              <w:rPr>
                <w:sz w:val="16"/>
                <w:szCs w:val="16"/>
              </w:rPr>
              <w:t>mm (homologation de type de la pièce d’origine</w:t>
            </w:r>
            <w:r>
              <w:rPr>
                <w:sz w:val="16"/>
                <w:szCs w:val="16"/>
                <w:vertAlign w:val="superscript"/>
              </w:rPr>
              <w:t>1</w:t>
            </w:r>
            <w:r>
              <w:rPr>
                <w:sz w:val="16"/>
                <w:szCs w:val="16"/>
              </w:rPr>
              <w:t>)</w:t>
            </w:r>
          </w:p>
        </w:tc>
      </w:tr>
      <w:tr w:rsidR="00CE2F93" w:rsidRPr="00CC2D3E" w:rsidTr="0014321A">
        <w:tc>
          <w:tcPr>
            <w:tcW w:w="1137" w:type="dxa"/>
            <w:vMerge/>
            <w:tcBorders>
              <w:bottom w:val="single" w:sz="2" w:space="0" w:color="auto"/>
            </w:tcBorders>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p>
        </w:tc>
        <w:tc>
          <w:tcPr>
            <w:tcW w:w="1843" w:type="dxa"/>
            <w:tcBorders>
              <w:bottom w:val="single" w:sz="2" w:space="0" w:color="auto"/>
            </w:tcBorders>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Diamètre D du cercle</w:t>
            </w:r>
            <w:r w:rsidR="005F2AB9">
              <w:rPr>
                <w:sz w:val="16"/>
                <w:szCs w:val="16"/>
              </w:rPr>
              <w:t xml:space="preserve"> pouvant y être inscrit</w:t>
            </w:r>
            <w:r>
              <w:rPr>
                <w:sz w:val="16"/>
                <w:szCs w:val="16"/>
              </w:rPr>
              <w:t> :</w:t>
            </w:r>
          </w:p>
          <w:p w:rsidR="00CE2F93" w:rsidRPr="00CC2D3E" w:rsidRDefault="0014321A" w:rsidP="0014321A">
            <w:pPr>
              <w:spacing w:before="40" w:after="40" w:line="220" w:lineRule="exact"/>
              <w:rPr>
                <w:rFonts w:eastAsia="MS Mincho"/>
                <w:sz w:val="16"/>
                <w:szCs w:val="16"/>
              </w:rPr>
            </w:pPr>
            <w:r>
              <w:rPr>
                <w:sz w:val="16"/>
                <w:szCs w:val="16"/>
              </w:rPr>
              <w:t>400 </w:t>
            </w:r>
            <w:r w:rsidR="00C452D8">
              <w:rPr>
                <w:sz w:val="16"/>
                <w:szCs w:val="16"/>
              </w:rPr>
              <w:t>mm &lt; </w:t>
            </w:r>
            <w:r w:rsidR="00CE2F93">
              <w:rPr>
                <w:sz w:val="16"/>
                <w:szCs w:val="16"/>
              </w:rPr>
              <w:t>D</w:t>
            </w:r>
          </w:p>
        </w:tc>
        <w:tc>
          <w:tcPr>
            <w:tcW w:w="1843" w:type="dxa"/>
            <w:tcBorders>
              <w:bottom w:val="single" w:sz="2" w:space="0" w:color="auto"/>
            </w:tcBorders>
            <w:shd w:val="clear" w:color="auto" w:fill="auto"/>
            <w:tcMar>
              <w:left w:w="113" w:type="dxa"/>
            </w:tcMar>
            <w:hideMark/>
          </w:tcPr>
          <w:p w:rsidR="00CE2F93" w:rsidRPr="00CC2D3E" w:rsidRDefault="0014321A" w:rsidP="0014321A">
            <w:pPr>
              <w:spacing w:before="40" w:after="40" w:line="220" w:lineRule="exact"/>
              <w:rPr>
                <w:rFonts w:eastAsia="MS Mincho"/>
                <w:sz w:val="16"/>
                <w:szCs w:val="16"/>
              </w:rPr>
            </w:pPr>
            <w:r>
              <w:rPr>
                <w:sz w:val="16"/>
                <w:szCs w:val="16"/>
              </w:rPr>
              <w:t>1 170 mm x 570 </w:t>
            </w:r>
            <w:r w:rsidR="00CE2F93">
              <w:rPr>
                <w:sz w:val="16"/>
                <w:szCs w:val="16"/>
              </w:rPr>
              <w:t>mm</w:t>
            </w:r>
          </w:p>
          <w:p w:rsidR="00CE2F93" w:rsidRPr="00CC2D3E" w:rsidRDefault="00CE2F93" w:rsidP="0014321A">
            <w:pPr>
              <w:spacing w:before="40" w:after="40" w:line="220" w:lineRule="exact"/>
              <w:rPr>
                <w:rFonts w:eastAsia="MS Mincho"/>
                <w:sz w:val="16"/>
                <w:szCs w:val="16"/>
              </w:rPr>
            </w:pPr>
            <w:r>
              <w:rPr>
                <w:sz w:val="16"/>
                <w:szCs w:val="16"/>
              </w:rPr>
              <w:t>(essai du type de matériau et cadre de support standard)</w:t>
            </w:r>
          </w:p>
        </w:tc>
        <w:tc>
          <w:tcPr>
            <w:tcW w:w="2747" w:type="dxa"/>
            <w:tcBorders>
              <w:bottom w:val="single" w:sz="2" w:space="0" w:color="auto"/>
            </w:tcBorders>
            <w:shd w:val="clear" w:color="auto" w:fill="auto"/>
            <w:tcMar>
              <w:left w:w="113" w:type="dxa"/>
            </w:tcMar>
            <w:hideMark/>
          </w:tcPr>
          <w:p w:rsidR="00CE2F93" w:rsidRPr="00CC2D3E" w:rsidRDefault="00CE2F93" w:rsidP="0014321A">
            <w:pPr>
              <w:spacing w:before="40" w:after="40" w:line="220" w:lineRule="exact"/>
              <w:rPr>
                <w:rFonts w:eastAsia="MS Mincho"/>
                <w:sz w:val="16"/>
                <w:szCs w:val="16"/>
              </w:rPr>
            </w:pPr>
            <w:r>
              <w:rPr>
                <w:sz w:val="16"/>
                <w:szCs w:val="16"/>
              </w:rPr>
              <w:t>Pièce réelle (soumise pour homologation)</w:t>
            </w:r>
          </w:p>
          <w:p w:rsidR="00CE2F93" w:rsidRPr="00CC2D3E" w:rsidRDefault="00CE2F93" w:rsidP="0014321A">
            <w:pPr>
              <w:spacing w:before="40" w:after="40" w:line="220" w:lineRule="exact"/>
              <w:rPr>
                <w:rFonts w:eastAsia="MS Mincho"/>
                <w:sz w:val="16"/>
                <w:szCs w:val="16"/>
              </w:rPr>
            </w:pPr>
            <w:r>
              <w:rPr>
                <w:sz w:val="16"/>
                <w:szCs w:val="16"/>
              </w:rPr>
              <w:t>(homologation de type de la pièce et cadre de support spécifique)</w:t>
            </w:r>
          </w:p>
        </w:tc>
      </w:tr>
    </w:tbl>
    <w:p w:rsidR="00CE2F93" w:rsidRPr="005F2AB9" w:rsidRDefault="00CE2F93" w:rsidP="00903C27">
      <w:pPr>
        <w:pStyle w:val="SingleTxtG"/>
        <w:tabs>
          <w:tab w:val="left" w:pos="1985"/>
          <w:tab w:val="left" w:pos="2268"/>
          <w:tab w:val="left" w:pos="2552"/>
        </w:tabs>
        <w:spacing w:before="120"/>
      </w:pPr>
      <w:r w:rsidRPr="005F2AB9">
        <w:rPr>
          <w:i/>
        </w:rPr>
        <w:t>Note</w:t>
      </w:r>
      <w:r w:rsidR="001A33BF" w:rsidRPr="005F2AB9">
        <w:rPr>
          <w:i/>
        </w:rPr>
        <w:t> </w:t>
      </w:r>
      <w:r w:rsidRPr="005F2AB9">
        <w:t>:</w:t>
      </w:r>
      <w:r w:rsidR="005F2AB9">
        <w:tab/>
      </w:r>
      <w:r w:rsidRPr="005F2AB9">
        <w:rPr>
          <w:vertAlign w:val="superscript"/>
        </w:rPr>
        <w:t>1</w:t>
      </w:r>
      <w:r w:rsidRPr="005F2AB9">
        <w:tab/>
        <w:t>Les dimensions de la pièce d’origine sont trop petites pour que l’essai puisse être effectué. ».</w:t>
      </w:r>
    </w:p>
    <w:p w:rsidR="00CE2F93" w:rsidRPr="00CC2D3E" w:rsidRDefault="00CE2F93" w:rsidP="00CE2F93">
      <w:pPr>
        <w:pStyle w:val="SingleTxtG"/>
      </w:pPr>
      <w:r>
        <w:rPr>
          <w:i/>
        </w:rPr>
        <w:t>Paragraphes 4.3.2 et 4.3.3</w:t>
      </w:r>
      <w:r>
        <w:t>,</w:t>
      </w:r>
      <w:r>
        <w:rPr>
          <w:i/>
        </w:rPr>
        <w:t xml:space="preserve"> </w:t>
      </w:r>
      <w:r>
        <w:t>lire</w:t>
      </w:r>
      <w:r w:rsidR="00C452D8">
        <w:t> </w:t>
      </w:r>
      <w:r>
        <w:t>:</w:t>
      </w:r>
    </w:p>
    <w:p w:rsidR="00CE2F93" w:rsidRPr="00CC2D3E" w:rsidRDefault="00CE2F93" w:rsidP="001A33BF">
      <w:pPr>
        <w:pStyle w:val="SingleTxtG"/>
        <w:ind w:left="2268" w:hanging="1134"/>
      </w:pPr>
      <w:r>
        <w:t>« 4.3.2</w:t>
      </w:r>
      <w:r>
        <w:tab/>
        <w:t>Pour des vitrages tels que des parois ou des fenêtres de séparation faisant face vers l’avant qui sont situés devant un occupant et ayant une probabilité de choc de classe VIII/A, la hauteur de chute est de 3 m. La valeur HIC doit aussi être mesurée.</w:t>
      </w:r>
    </w:p>
    <w:p w:rsidR="00CE2F93" w:rsidRPr="00161B22" w:rsidRDefault="00CE2F93" w:rsidP="001A33BF">
      <w:pPr>
        <w:pStyle w:val="SingleTxtG"/>
        <w:ind w:left="2268" w:hanging="1134"/>
      </w:pPr>
      <w:r>
        <w:lastRenderedPageBreak/>
        <w:t>4.3.3</w:t>
      </w:r>
      <w:r>
        <w:tab/>
        <w:t>Pour les vitrages tels que les vitres latérales, les lunettes arrière et les toits ouvrants, peu exposés à un choc de la tête (classe VIII/B), la hauteur de chute est de 1,5</w:t>
      </w:r>
      <w:r w:rsidR="00C452D8">
        <w:t> </w:t>
      </w:r>
      <w:r>
        <w:t>m. La valeur HIC doit aussi être mesurée. ».</w:t>
      </w:r>
    </w:p>
    <w:p w:rsidR="00CE2F93" w:rsidRPr="00161B22" w:rsidRDefault="00CE2F93" w:rsidP="00CE2F93">
      <w:pPr>
        <w:pStyle w:val="SingleTxtG"/>
      </w:pPr>
      <w:r>
        <w:rPr>
          <w:i/>
        </w:rPr>
        <w:t>Paragraphe 4.4.3</w:t>
      </w:r>
      <w:r>
        <w:t>,</w:t>
      </w:r>
      <w:r>
        <w:rPr>
          <w:i/>
        </w:rPr>
        <w:t xml:space="preserve"> </w:t>
      </w:r>
      <w:r>
        <w:t>lire</w:t>
      </w:r>
      <w:r w:rsidR="00C452D8">
        <w:t> </w:t>
      </w:r>
      <w:r>
        <w:t>:</w:t>
      </w:r>
    </w:p>
    <w:p w:rsidR="00CE2F93" w:rsidRPr="00161B22" w:rsidRDefault="00CE2F93" w:rsidP="001A33BF">
      <w:pPr>
        <w:pStyle w:val="SingleTxtG"/>
        <w:ind w:left="2268" w:hanging="1134"/>
      </w:pPr>
      <w:r>
        <w:t>« 4.4.3</w:t>
      </w:r>
      <w:r>
        <w:tab/>
        <w:t>Un ensemble d’éprouvettes soumis à l’homologation est considéré comme ayant satisfait à l’essai de comportement au choc de la tête si tous les essais donnent un résultat positif. ».</w:t>
      </w:r>
    </w:p>
    <w:p w:rsidR="00CE2F93" w:rsidRPr="00161B22" w:rsidRDefault="00CE2F93" w:rsidP="00CE2F93">
      <w:pPr>
        <w:pStyle w:val="SingleTxtG"/>
      </w:pPr>
      <w:r>
        <w:rPr>
          <w:i/>
        </w:rPr>
        <w:t>Paragraphes 4.4.3.1 et 4.4.3.2</w:t>
      </w:r>
      <w:r>
        <w:t>, supprimer.</w:t>
      </w:r>
    </w:p>
    <w:p w:rsidR="00CE2F93" w:rsidRPr="00161B22" w:rsidRDefault="00CE2F93" w:rsidP="00CE2F93">
      <w:pPr>
        <w:pStyle w:val="SingleTxtG"/>
      </w:pPr>
      <w:r>
        <w:rPr>
          <w:i/>
        </w:rPr>
        <w:t>Paragraphe 5.1</w:t>
      </w:r>
      <w:r>
        <w:t>, lire</w:t>
      </w:r>
      <w:r w:rsidR="00732625">
        <w:t> </w:t>
      </w:r>
      <w:r>
        <w:t>:</w:t>
      </w:r>
    </w:p>
    <w:p w:rsidR="00CE2F93" w:rsidRPr="00161B22" w:rsidRDefault="00CE2F93" w:rsidP="001A33BF">
      <w:pPr>
        <w:pStyle w:val="SingleTxtG"/>
        <w:ind w:left="2268" w:hanging="1134"/>
      </w:pPr>
      <w:r>
        <w:t>« 5.1</w:t>
      </w:r>
      <w:r>
        <w:tab/>
        <w:t>Indices de difficulté des caractéristiques secondaires</w:t>
      </w:r>
      <w:r w:rsidR="00903C27">
        <w:t> </w:t>
      </w:r>
      <w:r>
        <w:t>:</w:t>
      </w:r>
    </w:p>
    <w:p w:rsidR="00CE2F93" w:rsidRPr="00161B22" w:rsidRDefault="00CE2F93" w:rsidP="00C452D8">
      <w:pPr>
        <w:pStyle w:val="SingleTxtG"/>
        <w:ind w:firstLine="1134"/>
      </w:pPr>
      <w:r>
        <w:t>1)</w:t>
      </w:r>
      <w:r>
        <w:tab/>
        <w:t>Sans conducteurs, masque(s) opaque(s) ni éléments de chauffage ;</w:t>
      </w:r>
    </w:p>
    <w:p w:rsidR="00CE2F93" w:rsidRPr="00161B22" w:rsidRDefault="00CE2F93" w:rsidP="00C452D8">
      <w:pPr>
        <w:pStyle w:val="SingleTxtG"/>
        <w:ind w:firstLine="1134"/>
      </w:pPr>
      <w:r>
        <w:t>2)</w:t>
      </w:r>
      <w:r>
        <w:tab/>
        <w:t>Avec conducteur, masque(s) opaque(s) ou élément de chauffage. ».</w:t>
      </w:r>
    </w:p>
    <w:p w:rsidR="00CE2F93" w:rsidRPr="00161B22" w:rsidRDefault="00CE2F93" w:rsidP="00CE2F93">
      <w:pPr>
        <w:pStyle w:val="SingleTxtG"/>
      </w:pPr>
      <w:r>
        <w:rPr>
          <w:i/>
        </w:rPr>
        <w:t>Paragraphe 5.2</w:t>
      </w:r>
      <w:r>
        <w:t>, lire</w:t>
      </w:r>
      <w:r w:rsidR="00732625">
        <w:t> </w:t>
      </w:r>
      <w:r>
        <w:t>:</w:t>
      </w:r>
    </w:p>
    <w:p w:rsidR="00CE2F93" w:rsidRPr="00161B22" w:rsidRDefault="00CE2F93" w:rsidP="001A33BF">
      <w:pPr>
        <w:pStyle w:val="SingleTxtG"/>
        <w:ind w:left="2268" w:hanging="1134"/>
      </w:pPr>
      <w:r>
        <w:t>« 5.2</w:t>
      </w:r>
      <w:r>
        <w:tab/>
        <w:t>Nombre d’éprouvettes</w:t>
      </w:r>
    </w:p>
    <w:p w:rsidR="00CE2F93" w:rsidRPr="00161B22" w:rsidRDefault="00CE2F93" w:rsidP="00C452D8">
      <w:pPr>
        <w:pStyle w:val="SingleTxtG"/>
        <w:ind w:left="2268"/>
      </w:pPr>
      <w:r>
        <w:tab/>
        <w:t>Dix éprouvettes plates de 300 mm +10/-0 mm de côté ou 10 pièces finies à peu près plates sont soumises aux essais. Dans ce dernier cas, le contact entre la pièce et le support doit se faire tout autour du périmètre sur une largeur d’environ 15 mm. Les cadres supérieurs et inférieurs du support doivent être serrés l’un contre l’autre de manière que l’éprouvette ne se déplace pas de plus de 2 mm pendant l’essai. ».</w:t>
      </w:r>
    </w:p>
    <w:p w:rsidR="00CE2F93" w:rsidRPr="00161B22" w:rsidRDefault="00CE2F93" w:rsidP="00CE2F93">
      <w:pPr>
        <w:pStyle w:val="SingleTxtG"/>
      </w:pPr>
      <w:r>
        <w:rPr>
          <w:i/>
        </w:rPr>
        <w:t>Paragraphe 5.3.2</w:t>
      </w:r>
      <w:r>
        <w:t>, remplacer «</w:t>
      </w:r>
      <w:r w:rsidR="005F2AB9">
        <w:t> </w:t>
      </w:r>
      <w:r>
        <w:t>épaisseur</w:t>
      </w:r>
      <w:r w:rsidR="005F2AB9">
        <w:t> </w:t>
      </w:r>
      <w:r>
        <w:t>» par «</w:t>
      </w:r>
      <w:r w:rsidR="005F2AB9">
        <w:t> </w:t>
      </w:r>
      <w:r>
        <w:t>épaisseur nominale</w:t>
      </w:r>
      <w:r w:rsidR="005F2AB9">
        <w:t> </w:t>
      </w:r>
      <w:r>
        <w:t>» et «</w:t>
      </w:r>
      <w:r w:rsidR="005F2AB9">
        <w:t> </w:t>
      </w:r>
      <w:r>
        <w:t>épaisseurs</w:t>
      </w:r>
      <w:r w:rsidR="005F2AB9">
        <w:t> </w:t>
      </w:r>
      <w:r>
        <w:t>» par «</w:t>
      </w:r>
      <w:r w:rsidR="005F2AB9">
        <w:t> </w:t>
      </w:r>
      <w:r>
        <w:t>épaisseurs nominales</w:t>
      </w:r>
      <w:r w:rsidR="005F2AB9">
        <w:t> </w:t>
      </w:r>
      <w:r>
        <w:t>».</w:t>
      </w:r>
    </w:p>
    <w:p w:rsidR="00CE2F93" w:rsidRPr="00161B22" w:rsidRDefault="00CE2F93" w:rsidP="00CE2F93">
      <w:pPr>
        <w:pStyle w:val="SingleTxtG"/>
      </w:pPr>
      <w:r>
        <w:rPr>
          <w:i/>
        </w:rPr>
        <w:t>Paragraphes 5.4.1 et 5.4.2</w:t>
      </w:r>
      <w:r>
        <w:t>,</w:t>
      </w:r>
      <w:r>
        <w:rPr>
          <w:i/>
        </w:rPr>
        <w:t xml:space="preserve"> </w:t>
      </w:r>
      <w:r>
        <w:t>lire :</w:t>
      </w:r>
    </w:p>
    <w:p w:rsidR="00CE2F93" w:rsidRPr="00161B22" w:rsidRDefault="00CE2F93" w:rsidP="001A33BF">
      <w:pPr>
        <w:pStyle w:val="SingleTxtG"/>
        <w:ind w:left="2268" w:hanging="1134"/>
      </w:pPr>
      <w:r>
        <w:t>« 5.4.1</w:t>
      </w:r>
      <w:r>
        <w:tab/>
        <w:t>L’essai est considéré comme</w:t>
      </w:r>
    </w:p>
    <w:p w:rsidR="00CE2F93" w:rsidRPr="00161B22" w:rsidRDefault="00CE2F93" w:rsidP="00C452D8">
      <w:pPr>
        <w:pStyle w:val="SingleTxtG"/>
        <w:ind w:firstLine="1134"/>
      </w:pPr>
      <w:r>
        <w:tab/>
        <w:t>(...)</w:t>
      </w:r>
    </w:p>
    <w:p w:rsidR="00CE2F93" w:rsidRPr="00161B22" w:rsidRDefault="00CE2F93" w:rsidP="00C452D8">
      <w:pPr>
        <w:pStyle w:val="SingleTxtG"/>
        <w:ind w:left="2268"/>
      </w:pPr>
      <w:r>
        <w:tab/>
        <w:t>Les craquelures et les fissures de l’éprouvette dues au choc sont cependant autorisées.</w:t>
      </w:r>
    </w:p>
    <w:p w:rsidR="00CE2F93" w:rsidRPr="00161B22" w:rsidRDefault="00CE2F93" w:rsidP="001A33BF">
      <w:pPr>
        <w:pStyle w:val="SingleTxtG"/>
        <w:ind w:left="2268" w:hanging="1134"/>
      </w:pPr>
      <w:r>
        <w:t>5.4.2</w:t>
      </w:r>
      <w:r>
        <w:tab/>
        <w:t>Un ensemble d’éprouvettes soumises à l’homologation est considéré comme ayant satisfait à l’essai de résistance mécanique à la bille de 227 g si huit essais ou davantage donnent un résultat positif à la hauteur de chute prescrite. ».</w:t>
      </w:r>
    </w:p>
    <w:p w:rsidR="00CE2F93" w:rsidRPr="00161B22" w:rsidRDefault="00CE2F93" w:rsidP="00CE2F93">
      <w:pPr>
        <w:pStyle w:val="SingleTxtG"/>
      </w:pPr>
      <w:r>
        <w:rPr>
          <w:i/>
        </w:rPr>
        <w:t>Paragraphes 5.4.2.1 et 5.4.2.2</w:t>
      </w:r>
      <w:r>
        <w:t>, supprimer.</w:t>
      </w:r>
    </w:p>
    <w:p w:rsidR="00CE2F93" w:rsidRPr="00161B22" w:rsidRDefault="00CE2F93" w:rsidP="00CE2F93">
      <w:pPr>
        <w:pStyle w:val="SingleTxtG"/>
      </w:pPr>
      <w:r>
        <w:rPr>
          <w:i/>
        </w:rPr>
        <w:t>Ajouter un nouveau paragraphe 5.4.3</w:t>
      </w:r>
      <w:r>
        <w:t>, ainsi conçu :</w:t>
      </w:r>
    </w:p>
    <w:p w:rsidR="00CE2F93" w:rsidRPr="00161B22" w:rsidRDefault="00CE2F93" w:rsidP="001A33BF">
      <w:pPr>
        <w:pStyle w:val="SingleTxtG"/>
        <w:ind w:left="2268" w:hanging="1134"/>
      </w:pPr>
      <w:r>
        <w:t>« 5.4.3</w:t>
      </w:r>
      <w:r>
        <w:tab/>
        <w:t>L’essai à la bille à température ambiante ne doit être effectué qu’après l’essai de résistance à l’humidité décrit au paragraphe 6.4.4 de la présente annexe. ».</w:t>
      </w:r>
    </w:p>
    <w:p w:rsidR="00CE2F93" w:rsidRPr="00161B22" w:rsidRDefault="00CE2F93" w:rsidP="00CE2F93">
      <w:pPr>
        <w:pStyle w:val="SingleTxtG"/>
      </w:pPr>
      <w:r>
        <w:rPr>
          <w:i/>
        </w:rPr>
        <w:t>Paragraphes 6.1.3.1 et 6.1.3.2</w:t>
      </w:r>
      <w:r>
        <w:t>, remplacer «</w:t>
      </w:r>
      <w:r w:rsidR="00C452D8">
        <w:t> </w:t>
      </w:r>
      <w:r>
        <w:t>le facteur total de dispersion</w:t>
      </w:r>
      <w:r w:rsidR="00C452D8">
        <w:t> </w:t>
      </w:r>
      <w:r>
        <w:t>» par «</w:t>
      </w:r>
      <w:r w:rsidR="00C452D8">
        <w:t> </w:t>
      </w:r>
      <w:r>
        <w:t>l’accroissement de l’atténuation de la visibilité</w:t>
      </w:r>
      <w:r w:rsidR="00C452D8">
        <w:t> </w:t>
      </w:r>
      <w:r>
        <w:t>» (à deux reprises).</w:t>
      </w:r>
    </w:p>
    <w:p w:rsidR="00CE2F93" w:rsidRPr="00161B22" w:rsidRDefault="00CE2F93" w:rsidP="00CE2F93">
      <w:pPr>
        <w:pStyle w:val="SingleTxtG"/>
      </w:pPr>
      <w:r>
        <w:rPr>
          <w:i/>
        </w:rPr>
        <w:t>Ajouter un nouveau paragraphe 6.1.3.3</w:t>
      </w:r>
      <w:r>
        <w:t>, ainsi conçu :</w:t>
      </w:r>
    </w:p>
    <w:p w:rsidR="00CE2F93" w:rsidRPr="00161B22" w:rsidRDefault="00CE2F93" w:rsidP="001A33BF">
      <w:pPr>
        <w:pStyle w:val="SingleTxtG"/>
        <w:ind w:left="2268" w:hanging="1134"/>
      </w:pPr>
      <w:r>
        <w:t>« 6.1.3.3</w:t>
      </w:r>
      <w:r>
        <w:tab/>
        <w:t>Dans le cas des vitrages de la classe L, pour l’abrasion sur la surface externe de l’éprouvette, on peut effectuer soit l’essai d’</w:t>
      </w:r>
      <w:r w:rsidR="00C452D8">
        <w:t>abrasion décrit au paragraphe </w:t>
      </w:r>
      <w:r>
        <w:t>4 de l’annexe 3 soit la série équivalente constituée de l’essai avec ruissellement de sable, de l’essai sur poste de lavage automobile et de l’essai avec essuie-glace, tels qu’i</w:t>
      </w:r>
      <w:r w:rsidR="00C452D8">
        <w:t>ls sont décrits aux paragraphes </w:t>
      </w:r>
      <w:r>
        <w:t>6.1.2, 6.1.3 et 6.1.4 de l’annexe 17. ».</w:t>
      </w:r>
    </w:p>
    <w:p w:rsidR="00CE2F93" w:rsidRPr="00161B22" w:rsidRDefault="00CE2F93" w:rsidP="00CE2F93">
      <w:pPr>
        <w:pStyle w:val="SingleTxtG"/>
      </w:pPr>
      <w:r>
        <w:t>Le paragraphe 6.1.3.3 devient le paragraphe 6.1.3.4.</w:t>
      </w:r>
    </w:p>
    <w:p w:rsidR="00CE2F93" w:rsidRPr="00161B22" w:rsidRDefault="00CE2F93" w:rsidP="00CE2F93">
      <w:pPr>
        <w:pStyle w:val="SingleTxtG"/>
      </w:pPr>
      <w:r>
        <w:rPr>
          <w:i/>
        </w:rPr>
        <w:t>Paragraphe 6.2.4</w:t>
      </w:r>
      <w:r>
        <w:t>,</w:t>
      </w:r>
      <w:r>
        <w:rPr>
          <w:i/>
        </w:rPr>
        <w:t xml:space="preserve"> </w:t>
      </w:r>
      <w:r>
        <w:t>lire :</w:t>
      </w:r>
    </w:p>
    <w:p w:rsidR="00CE2F93" w:rsidRPr="00161B22" w:rsidRDefault="00CE2F93" w:rsidP="001A33BF">
      <w:pPr>
        <w:pStyle w:val="SingleTxtG"/>
        <w:ind w:left="2268" w:hanging="1134"/>
      </w:pPr>
      <w:r>
        <w:t>« 6.2.4</w:t>
      </w:r>
      <w:r>
        <w:tab/>
        <w:t>Un jeu d’éprouvettes ou d’échantillons soumis à l’homologation est considéré comme ayant satisfait à l’essai de résistance aux intempéries si toutes les éprouvettes ont donné un résultat positif ».</w:t>
      </w:r>
    </w:p>
    <w:p w:rsidR="00CE2F93" w:rsidRPr="00161B22" w:rsidRDefault="00CE2F93" w:rsidP="00CE2F93">
      <w:pPr>
        <w:pStyle w:val="SingleTxtG"/>
      </w:pPr>
      <w:r>
        <w:rPr>
          <w:i/>
        </w:rPr>
        <w:t>Paragraphes 6.2.4.1 et 6.2.4.2</w:t>
      </w:r>
      <w:r>
        <w:t>, supprimer.</w:t>
      </w:r>
    </w:p>
    <w:p w:rsidR="00CE2F93" w:rsidRPr="00161B22" w:rsidRDefault="00CE2F93" w:rsidP="00CE2F93">
      <w:pPr>
        <w:pStyle w:val="SingleTxtG"/>
      </w:pPr>
      <w:r>
        <w:rPr>
          <w:i/>
        </w:rPr>
        <w:t>Paragraphe 6.3.3.2</w:t>
      </w:r>
      <w:r>
        <w:t>, lire :</w:t>
      </w:r>
    </w:p>
    <w:p w:rsidR="00CE2F93" w:rsidRPr="00161B22" w:rsidRDefault="00CE2F93" w:rsidP="001A33BF">
      <w:pPr>
        <w:pStyle w:val="SingleTxtG"/>
        <w:ind w:left="2268" w:hanging="1134"/>
      </w:pPr>
      <w:r>
        <w:t>« 6.3.3.2</w:t>
      </w:r>
      <w:r>
        <w:tab/>
        <w:t>L’échantillon est considéré comme satisfaisant du point de vue de l’homologation si l’essai a donné un résultat positif. ».</w:t>
      </w:r>
    </w:p>
    <w:p w:rsidR="00CE2F93" w:rsidRPr="00161B22" w:rsidRDefault="00CE2F93" w:rsidP="00CE2F93">
      <w:pPr>
        <w:pStyle w:val="SingleTxtG"/>
      </w:pPr>
      <w:r>
        <w:t>Paragraphes 6.3.3.2.1 et 6.3.3.2.2, supprimer.</w:t>
      </w:r>
    </w:p>
    <w:p w:rsidR="00CE2F93" w:rsidRPr="00161B22" w:rsidRDefault="00CE2F93" w:rsidP="00CE2F93">
      <w:pPr>
        <w:pStyle w:val="SingleTxtG"/>
      </w:pPr>
      <w:r>
        <w:rPr>
          <w:i/>
        </w:rPr>
        <w:t>Paragraphe 6.4.2</w:t>
      </w:r>
      <w:r>
        <w:t>,</w:t>
      </w:r>
      <w:r>
        <w:rPr>
          <w:i/>
        </w:rPr>
        <w:t xml:space="preserve"> </w:t>
      </w:r>
      <w:r>
        <w:t>lire :</w:t>
      </w:r>
    </w:p>
    <w:p w:rsidR="00CE2F93" w:rsidRPr="00161B22" w:rsidRDefault="00CE2F93" w:rsidP="001A33BF">
      <w:pPr>
        <w:pStyle w:val="SingleTxtG"/>
        <w:ind w:left="2268" w:hanging="1134"/>
      </w:pPr>
      <w:r>
        <w:t>« 6.4.2</w:t>
      </w:r>
      <w:r>
        <w:tab/>
        <w:t>Dix éprouvettes plates, carrées, de 300 mm de côté, ou dix pièces d’origine, sont soumises aux essais. ».</w:t>
      </w:r>
    </w:p>
    <w:p w:rsidR="00CE2F93" w:rsidRPr="00161B22" w:rsidRDefault="00CE2F93" w:rsidP="00CE2F93">
      <w:pPr>
        <w:pStyle w:val="SingleTxtG"/>
      </w:pPr>
      <w:r>
        <w:rPr>
          <w:i/>
        </w:rPr>
        <w:t>Paragraphe 7.1</w:t>
      </w:r>
      <w:r>
        <w:t>, lire :</w:t>
      </w:r>
    </w:p>
    <w:p w:rsidR="00CE2F93" w:rsidRPr="00161B22" w:rsidRDefault="00CE2F93" w:rsidP="001A33BF">
      <w:pPr>
        <w:pStyle w:val="SingleTxtG"/>
        <w:ind w:left="2268" w:hanging="1134"/>
      </w:pPr>
      <w:r>
        <w:t>« 7.1</w:t>
      </w:r>
      <w:r>
        <w:tab/>
        <w:t>Interprétation des résultats</w:t>
      </w:r>
    </w:p>
    <w:p w:rsidR="00CE2F93" w:rsidRPr="00161B22" w:rsidRDefault="00CE2F93" w:rsidP="00C452D8">
      <w:pPr>
        <w:pStyle w:val="SingleTxtG"/>
        <w:ind w:left="2268"/>
      </w:pPr>
      <w:r>
        <w:tab/>
        <w:t>Un jeu de quatre échantillons est considéré comme ayant donné des résultats positifs si tous les échantillons donnent un résultat positif. ».</w:t>
      </w:r>
    </w:p>
    <w:p w:rsidR="00CE2F93" w:rsidRPr="00161B22" w:rsidRDefault="00CE2F93" w:rsidP="00CE2F93">
      <w:pPr>
        <w:pStyle w:val="SingleTxtG"/>
      </w:pPr>
      <w:r>
        <w:rPr>
          <w:i/>
        </w:rPr>
        <w:t>Paragraphes 7.1.1 et 7.1.2</w:t>
      </w:r>
      <w:r>
        <w:t>, supprimer.</w:t>
      </w:r>
    </w:p>
    <w:p w:rsidR="00CE2F93" w:rsidRPr="00161B22" w:rsidRDefault="00CE2F93" w:rsidP="00CE2F93">
      <w:pPr>
        <w:pStyle w:val="SingleTxtG"/>
      </w:pPr>
      <w:r>
        <w:rPr>
          <w:i/>
        </w:rPr>
        <w:t>Paragraphe 8.2.1</w:t>
      </w:r>
      <w:r>
        <w:t>,</w:t>
      </w:r>
      <w:r>
        <w:rPr>
          <w:i/>
        </w:rPr>
        <w:t xml:space="preserve"> </w:t>
      </w:r>
      <w:r>
        <w:t>lire :</w:t>
      </w:r>
    </w:p>
    <w:p w:rsidR="00CE2F93" w:rsidRPr="00161B22" w:rsidRDefault="00CE2F93" w:rsidP="001A33BF">
      <w:pPr>
        <w:pStyle w:val="SingleTxtG"/>
        <w:ind w:left="2268" w:hanging="1134"/>
      </w:pPr>
      <w:r>
        <w:t>« 8.2.1</w:t>
      </w:r>
      <w:r>
        <w:tab/>
        <w:t>Aux fins de l’homologation, une série d’échantillons est considérée comme ayant donné un résultat positif si tous les échantillons donnent un résultat positif. ».</w:t>
      </w:r>
    </w:p>
    <w:p w:rsidR="00CE2F93" w:rsidRPr="00161B22" w:rsidRDefault="00CE2F93" w:rsidP="00CE2F93">
      <w:pPr>
        <w:pStyle w:val="SingleTxtG"/>
      </w:pPr>
      <w:r>
        <w:rPr>
          <w:i/>
        </w:rPr>
        <w:t>Paragraphes 8.2.1.1 et 8.2.1.2</w:t>
      </w:r>
      <w:r>
        <w:t>, supprimer.</w:t>
      </w:r>
    </w:p>
    <w:p w:rsidR="00CE2F93" w:rsidRPr="00161B22" w:rsidRDefault="00CE2F93" w:rsidP="00CE2F93">
      <w:pPr>
        <w:pStyle w:val="SingleTxtG"/>
      </w:pPr>
      <w:r>
        <w:rPr>
          <w:i/>
        </w:rPr>
        <w:t>Paragraphes 9.1 à 9.2.2</w:t>
      </w:r>
      <w:r>
        <w:t>, lire :</w:t>
      </w:r>
    </w:p>
    <w:p w:rsidR="00CE2F93" w:rsidRPr="00161B22" w:rsidRDefault="00CE2F93" w:rsidP="001A33BF">
      <w:pPr>
        <w:pStyle w:val="SingleTxtG"/>
        <w:ind w:left="2268" w:hanging="1134"/>
      </w:pPr>
      <w:r>
        <w:t>« 9.1</w:t>
      </w:r>
      <w:r>
        <w:tab/>
        <w:t>Essai d’immersion</w:t>
      </w:r>
    </w:p>
    <w:p w:rsidR="00CE2F93" w:rsidRPr="00161B22" w:rsidRDefault="00CE2F93" w:rsidP="001A33BF">
      <w:pPr>
        <w:pStyle w:val="SingleTxtG"/>
        <w:ind w:left="2268" w:hanging="1134"/>
      </w:pPr>
      <w:r>
        <w:t>9.1.1</w:t>
      </w:r>
      <w:r>
        <w:tab/>
        <w:t>Indices de difficulté et méthode d’essai</w:t>
      </w:r>
    </w:p>
    <w:p w:rsidR="00CE2F93" w:rsidRPr="00161B22" w:rsidRDefault="00CE2F93" w:rsidP="00903C27">
      <w:pPr>
        <w:pStyle w:val="SingleTxtG"/>
        <w:ind w:left="2268"/>
      </w:pPr>
      <w:r>
        <w:tab/>
        <w:t>Les prescriptions du paragraphe 11.2.1 de l’annexe 3, s’appliquent.</w:t>
      </w:r>
    </w:p>
    <w:p w:rsidR="00CE2F93" w:rsidRPr="00161B22" w:rsidRDefault="00CE2F93" w:rsidP="001A33BF">
      <w:pPr>
        <w:pStyle w:val="SingleTxtG"/>
        <w:ind w:left="2268" w:hanging="1134"/>
      </w:pPr>
      <w:r>
        <w:t>9.1.2</w:t>
      </w:r>
      <w:r>
        <w:tab/>
        <w:t>Interprétation des résultats</w:t>
      </w:r>
    </w:p>
    <w:p w:rsidR="00CE2F93" w:rsidRPr="00161B22" w:rsidRDefault="00CE2F93" w:rsidP="00C452D8">
      <w:pPr>
        <w:pStyle w:val="SingleTxtG"/>
        <w:ind w:left="2268"/>
      </w:pPr>
      <w:r>
        <w:tab/>
        <w:t>Pour chaque agent chimique un jeu de quatre éprouvettes doit être soumis aux essais. Dans le cas des vitrages de la classe L, pour chaque agent chimique une de ces éprouvettes doit faire l’objet d’incisions croisées conformément au paragraphe 13 de l’annexe 3.</w:t>
      </w:r>
    </w:p>
    <w:p w:rsidR="00CE2F93" w:rsidRPr="00161B22" w:rsidRDefault="00CE2F93" w:rsidP="00C452D8">
      <w:pPr>
        <w:pStyle w:val="SingleTxtG"/>
        <w:ind w:left="2268"/>
      </w:pPr>
      <w:r>
        <w:tab/>
        <w:t>Trois éprouvettes sur quatre, dont celle qui a fait l’objet d’incisions croisées</w:t>
      </w:r>
      <w:r w:rsidR="00903C27">
        <w:t>,</w:t>
      </w:r>
      <w:r>
        <w:t xml:space="preserve"> le cas échéant, doivent donner des résultats satisfaisants pour chaque agent chimique.</w:t>
      </w:r>
    </w:p>
    <w:p w:rsidR="00CE2F93" w:rsidRPr="00161B22" w:rsidRDefault="00CE2F93" w:rsidP="001A33BF">
      <w:pPr>
        <w:pStyle w:val="SingleTxtG"/>
        <w:ind w:left="2268" w:hanging="1134"/>
      </w:pPr>
      <w:r>
        <w:t>9.2</w:t>
      </w:r>
      <w:r>
        <w:tab/>
        <w:t>Essai sous charge</w:t>
      </w:r>
    </w:p>
    <w:p w:rsidR="00CE2F93" w:rsidRPr="00161B22" w:rsidRDefault="00CE2F93" w:rsidP="001A33BF">
      <w:pPr>
        <w:pStyle w:val="SingleTxtG"/>
        <w:ind w:left="2268" w:hanging="1134"/>
      </w:pPr>
      <w:r>
        <w:t>9.2.1</w:t>
      </w:r>
      <w:r>
        <w:tab/>
        <w:t xml:space="preserve">Indices de difficulté et méthode d’essai </w:t>
      </w:r>
    </w:p>
    <w:p w:rsidR="00CE2F93" w:rsidRPr="00161B22" w:rsidRDefault="00CE2F93" w:rsidP="00C452D8">
      <w:pPr>
        <w:pStyle w:val="SingleTxtG"/>
        <w:ind w:left="2268"/>
      </w:pPr>
      <w:r>
        <w:tab/>
        <w:t>Les prescriptions du paragrap</w:t>
      </w:r>
      <w:r w:rsidR="005F2AB9">
        <w:t>he </w:t>
      </w:r>
      <w:r>
        <w:t>11.2.4 de l’</w:t>
      </w:r>
      <w:r w:rsidR="005F2AB9">
        <w:t>annexe </w:t>
      </w:r>
      <w:r w:rsidR="00903C27">
        <w:t xml:space="preserve">3 </w:t>
      </w:r>
      <w:r>
        <w:t>s’appliquent.</w:t>
      </w:r>
    </w:p>
    <w:p w:rsidR="00CE2F93" w:rsidRPr="00161B22" w:rsidRDefault="00CE2F93" w:rsidP="001A33BF">
      <w:pPr>
        <w:pStyle w:val="SingleTxtG"/>
        <w:ind w:left="2268" w:hanging="1134"/>
      </w:pPr>
      <w:r>
        <w:t>9.2.2</w:t>
      </w:r>
      <w:r>
        <w:tab/>
        <w:t>Interprétation des résultats</w:t>
      </w:r>
    </w:p>
    <w:p w:rsidR="00CE2F93" w:rsidRPr="00161B22" w:rsidRDefault="00CE2F93" w:rsidP="00C452D8">
      <w:pPr>
        <w:pStyle w:val="SingleTxtG"/>
        <w:ind w:left="2268"/>
      </w:pPr>
      <w:r>
        <w:tab/>
        <w:t>Un jeu de quatre éprouvettes, autres que c</w:t>
      </w:r>
      <w:r w:rsidR="005F2AB9">
        <w:t>elles mentionnées au paragraphe </w:t>
      </w:r>
      <w:r>
        <w:t>9.1 ci-dessus, doit être soumis à des essais pour chaque agent chimique.</w:t>
      </w:r>
    </w:p>
    <w:p w:rsidR="00CE2F93" w:rsidRPr="00161B22" w:rsidRDefault="00CE2F93" w:rsidP="00C452D8">
      <w:pPr>
        <w:pStyle w:val="SingleTxtG"/>
        <w:ind w:left="2268"/>
      </w:pPr>
      <w:r>
        <w:tab/>
        <w:t>Trois éprouvettes sur quatre doivent donner des résultats satisfaisants pour chaque agent chimique. ».</w:t>
      </w:r>
    </w:p>
    <w:p w:rsidR="00CE2F93" w:rsidRPr="00161B22" w:rsidRDefault="00CE2F93" w:rsidP="00CE2F93">
      <w:pPr>
        <w:pStyle w:val="SingleTxtG"/>
        <w:rPr>
          <w:i/>
        </w:rPr>
      </w:pPr>
      <w:r>
        <w:rPr>
          <w:i/>
        </w:rPr>
        <w:t>Annexe 15,</w:t>
      </w:r>
    </w:p>
    <w:p w:rsidR="00CE2F93" w:rsidRPr="00161B22" w:rsidRDefault="00CE2F93" w:rsidP="00CE2F93">
      <w:pPr>
        <w:pStyle w:val="SingleTxtG"/>
      </w:pPr>
      <w:r>
        <w:rPr>
          <w:i/>
        </w:rPr>
        <w:t>Paragraphe 1.1.5</w:t>
      </w:r>
      <w:r>
        <w:t>,</w:t>
      </w:r>
      <w:r>
        <w:rPr>
          <w:i/>
        </w:rPr>
        <w:t xml:space="preserve"> </w:t>
      </w:r>
      <w:r>
        <w:t>lire :</w:t>
      </w:r>
    </w:p>
    <w:p w:rsidR="00CE2F93" w:rsidRPr="00161B22" w:rsidRDefault="00CE2F93" w:rsidP="001A33BF">
      <w:pPr>
        <w:pStyle w:val="SingleTxtG"/>
        <w:ind w:left="2268" w:hanging="1134"/>
      </w:pPr>
      <w:r>
        <w:t>« 1.1.5</w:t>
      </w:r>
      <w:r>
        <w:tab/>
        <w:t>L’épaisseur nominale (e) dont la tolérance de fabrication est de</w:t>
      </w:r>
      <w:r>
        <w:br/>
      </w:r>
      <w:r w:rsidR="005F2AB9">
        <w:sym w:font="Symbol" w:char="F0B1"/>
      </w:r>
      <w:r>
        <w:t xml:space="preserve"> (0,1 mm + 0,1 e), e étant supérieur à 0,1 mm ; ».</w:t>
      </w:r>
    </w:p>
    <w:p w:rsidR="00CE2F93" w:rsidRPr="00161B22" w:rsidRDefault="00CE2F93" w:rsidP="00CE2F93">
      <w:pPr>
        <w:pStyle w:val="SingleTxtG"/>
      </w:pPr>
      <w:r w:rsidRPr="006F0AC7">
        <w:rPr>
          <w:i/>
        </w:rPr>
        <w:t>Paragraphe 4.2.1</w:t>
      </w:r>
      <w:r>
        <w:t>, modification sans objet en français.</w:t>
      </w:r>
    </w:p>
    <w:p w:rsidR="00CE2F93" w:rsidRPr="00161B22" w:rsidRDefault="00CE2F93" w:rsidP="00CE2F93">
      <w:pPr>
        <w:pStyle w:val="SingleTxtG"/>
      </w:pPr>
      <w:r>
        <w:rPr>
          <w:i/>
        </w:rPr>
        <w:t>Paragraphe 4.2.3.2</w:t>
      </w:r>
      <w:r>
        <w:t>, lire :</w:t>
      </w:r>
    </w:p>
    <w:p w:rsidR="00CE2F93" w:rsidRPr="00161B22" w:rsidRDefault="00CE2F93" w:rsidP="001A33BF">
      <w:pPr>
        <w:pStyle w:val="SingleTxtG"/>
        <w:ind w:left="2268" w:hanging="1134"/>
      </w:pPr>
      <w:r>
        <w:t>« 4.2.3.2</w:t>
      </w:r>
      <w:r>
        <w:tab/>
        <w:t>Une série d’éprouvettes présentée à l’homologation est considérée comme ayant satisfait à l’essai de résistance mécanique à la bille de 227 g si huit essais ou plus donnent un résultat positif à la hauteur de chute prescrite. ».</w:t>
      </w:r>
    </w:p>
    <w:p w:rsidR="00CE2F93" w:rsidRPr="00161B22" w:rsidRDefault="00CE2F93" w:rsidP="00CE2F93">
      <w:pPr>
        <w:pStyle w:val="SingleTxtG"/>
      </w:pPr>
      <w:r>
        <w:rPr>
          <w:i/>
        </w:rPr>
        <w:t>Paragraphes 4.2.3.2.1 et 4.2.3.2.2</w:t>
      </w:r>
      <w:r>
        <w:t>, supprimer.</w:t>
      </w:r>
    </w:p>
    <w:p w:rsidR="00CE2F93" w:rsidRPr="00161B22" w:rsidRDefault="00CE2F93" w:rsidP="00CE2F93">
      <w:pPr>
        <w:pStyle w:val="SingleTxtG"/>
      </w:pPr>
      <w:r>
        <w:rPr>
          <w:i/>
        </w:rPr>
        <w:t>Paragraphe 5.1.4</w:t>
      </w:r>
      <w:r>
        <w:t>,</w:t>
      </w:r>
      <w:r>
        <w:rPr>
          <w:i/>
        </w:rPr>
        <w:t xml:space="preserve"> </w:t>
      </w:r>
      <w:r>
        <w:t>lire :</w:t>
      </w:r>
    </w:p>
    <w:p w:rsidR="00CE2F93" w:rsidRPr="00161B22" w:rsidRDefault="00CE2F93" w:rsidP="001A33BF">
      <w:pPr>
        <w:pStyle w:val="SingleTxtG"/>
        <w:ind w:left="2268" w:hanging="1134"/>
      </w:pPr>
      <w:r>
        <w:t>« 5.1.4</w:t>
      </w:r>
      <w:r>
        <w:tab/>
        <w:t>Une série d’éprouvettes ou d’échantillons soumis à l’homologation est considérée comme ayant satisfait à l’essai de résistance aux intempéries si tous les essais ou échantillons donnent un résultat positif. ».</w:t>
      </w:r>
    </w:p>
    <w:p w:rsidR="00CE2F93" w:rsidRPr="00161B22" w:rsidRDefault="00CE2F93" w:rsidP="00CE2F93">
      <w:pPr>
        <w:pStyle w:val="SingleTxtG"/>
      </w:pPr>
      <w:r>
        <w:rPr>
          <w:i/>
        </w:rPr>
        <w:t>Paragraphes 5.1.4.1 et 5.1.4.2</w:t>
      </w:r>
      <w:r>
        <w:t>, supprimer.</w:t>
      </w:r>
    </w:p>
    <w:p w:rsidR="00CE2F93" w:rsidRPr="00161B22" w:rsidRDefault="00CE2F93" w:rsidP="00CE2F93">
      <w:pPr>
        <w:pStyle w:val="SingleTxtG"/>
      </w:pPr>
      <w:r>
        <w:rPr>
          <w:i/>
        </w:rPr>
        <w:t>Paragraphe 6.1</w:t>
      </w:r>
      <w:r>
        <w:t>, lire</w:t>
      </w:r>
      <w:r w:rsidR="00903C27">
        <w:t> </w:t>
      </w:r>
      <w:r>
        <w:t>:</w:t>
      </w:r>
    </w:p>
    <w:p w:rsidR="00CE2F93" w:rsidRPr="00161B22" w:rsidRDefault="00CE2F93" w:rsidP="001A33BF">
      <w:pPr>
        <w:pStyle w:val="SingleTxtG"/>
        <w:ind w:left="2268" w:hanging="1134"/>
      </w:pPr>
      <w:r>
        <w:t>« 6.1</w:t>
      </w:r>
      <w:r>
        <w:tab/>
        <w:t>Interprétation des résultats</w:t>
      </w:r>
    </w:p>
    <w:p w:rsidR="00CE2F93" w:rsidRPr="00161B22" w:rsidRDefault="00CE2F93" w:rsidP="00C452D8">
      <w:pPr>
        <w:pStyle w:val="SingleTxtG"/>
        <w:ind w:left="2268"/>
      </w:pPr>
      <w:r>
        <w:tab/>
        <w:t>Une série de quatre échantillons est considérée comme ayant satisfait à l’essai si tous les échantillons donnent un résultat positif. ».</w:t>
      </w:r>
    </w:p>
    <w:p w:rsidR="00CE2F93" w:rsidRPr="00161B22" w:rsidRDefault="00CE2F93" w:rsidP="00CE2F93">
      <w:pPr>
        <w:pStyle w:val="SingleTxtG"/>
      </w:pPr>
      <w:r>
        <w:rPr>
          <w:i/>
        </w:rPr>
        <w:t>Paragraphes 6.1.1 et 6.1.2</w:t>
      </w:r>
      <w:r>
        <w:t>, supprimer.</w:t>
      </w:r>
    </w:p>
    <w:p w:rsidR="00CE2F93" w:rsidRPr="00161B22" w:rsidRDefault="00CE2F93" w:rsidP="00CE2F93">
      <w:pPr>
        <w:pStyle w:val="SingleTxtG"/>
      </w:pPr>
      <w:r>
        <w:rPr>
          <w:i/>
        </w:rPr>
        <w:t>Paragraphe 7.2.1</w:t>
      </w:r>
      <w:r>
        <w:t>,</w:t>
      </w:r>
      <w:r>
        <w:rPr>
          <w:i/>
        </w:rPr>
        <w:t xml:space="preserve"> </w:t>
      </w:r>
      <w:r>
        <w:t>lire :</w:t>
      </w:r>
    </w:p>
    <w:p w:rsidR="00CE2F93" w:rsidRPr="00161B22" w:rsidRDefault="00CE2F93" w:rsidP="001A33BF">
      <w:pPr>
        <w:pStyle w:val="SingleTxtG"/>
        <w:ind w:left="2268" w:hanging="1134"/>
      </w:pPr>
      <w:r>
        <w:t>« 7.2.1</w:t>
      </w:r>
      <w:r>
        <w:tab/>
        <w:t>Aux fins de l’homologation, une série d’échantillons est considérée comme ayant satisfait aux prescriptions si tous les échantillons donnent un résultat positif. ».</w:t>
      </w:r>
    </w:p>
    <w:p w:rsidR="00CE2F93" w:rsidRPr="00161B22" w:rsidRDefault="00CE2F93" w:rsidP="00CE2F93">
      <w:pPr>
        <w:pStyle w:val="SingleTxtG"/>
      </w:pPr>
      <w:r>
        <w:rPr>
          <w:i/>
        </w:rPr>
        <w:t>Paragraphes 7.2.1.1 et 7.2.1.2</w:t>
      </w:r>
      <w:r>
        <w:t>, supprimer.</w:t>
      </w:r>
    </w:p>
    <w:p w:rsidR="00CE2F93" w:rsidRPr="00161B22" w:rsidRDefault="00CE2F93" w:rsidP="00CE2F93">
      <w:pPr>
        <w:pStyle w:val="SingleTxtG"/>
      </w:pPr>
      <w:r>
        <w:rPr>
          <w:i/>
        </w:rPr>
        <w:t>Paragraphe 8.2</w:t>
      </w:r>
      <w:r>
        <w:t>, lire:</w:t>
      </w:r>
    </w:p>
    <w:p w:rsidR="00CE2F93" w:rsidRPr="00161B22" w:rsidRDefault="00CE2F93" w:rsidP="001A33BF">
      <w:pPr>
        <w:pStyle w:val="SingleTxtG"/>
        <w:ind w:left="2268" w:hanging="1134"/>
      </w:pPr>
      <w:r>
        <w:t>« 8.2</w:t>
      </w:r>
      <w:r>
        <w:tab/>
        <w:t>Interprétation des résultats</w:t>
      </w:r>
    </w:p>
    <w:p w:rsidR="00CE2F93" w:rsidRPr="00161B22" w:rsidRDefault="00CE2F93" w:rsidP="00C452D8">
      <w:pPr>
        <w:pStyle w:val="SingleTxtG"/>
        <w:ind w:left="2268"/>
      </w:pPr>
      <w:r>
        <w:tab/>
        <w:t>Une série d’échantillons est considérée comme satisfaisant aux prescriptions si tous les échantillons donnent un résultat positif. ».</w:t>
      </w:r>
    </w:p>
    <w:p w:rsidR="00CE2F93" w:rsidRPr="00161B22" w:rsidRDefault="00CE2F93" w:rsidP="00CE2F93">
      <w:pPr>
        <w:pStyle w:val="SingleTxtG"/>
      </w:pPr>
      <w:r>
        <w:rPr>
          <w:i/>
        </w:rPr>
        <w:t>Paragraphes 8.2.1 et 8.2.2</w:t>
      </w:r>
      <w:r>
        <w:t>, supprimer.</w:t>
      </w:r>
    </w:p>
    <w:p w:rsidR="00CE2F93" w:rsidRPr="00161B22" w:rsidRDefault="00CE2F93" w:rsidP="00CE2F93">
      <w:pPr>
        <w:pStyle w:val="SingleTxtG"/>
        <w:rPr>
          <w:i/>
        </w:rPr>
      </w:pPr>
      <w:r>
        <w:rPr>
          <w:i/>
        </w:rPr>
        <w:t>Annexe 16,</w:t>
      </w:r>
    </w:p>
    <w:p w:rsidR="00CE2F93" w:rsidRPr="00161B22" w:rsidRDefault="00CE2F93" w:rsidP="00CE2F93">
      <w:pPr>
        <w:pStyle w:val="SingleTxtG"/>
        <w:rPr>
          <w:i/>
        </w:rPr>
      </w:pPr>
      <w:r>
        <w:rPr>
          <w:i/>
        </w:rPr>
        <w:t>Paragraphe 1</w:t>
      </w:r>
      <w:r>
        <w:t>, remplacer « caractéristiques principales ou secondaires » par « caractéristiques principales ».</w:t>
      </w:r>
    </w:p>
    <w:p w:rsidR="00CE2F93" w:rsidRPr="00161B22" w:rsidRDefault="00CE2F93" w:rsidP="00CE2F93">
      <w:pPr>
        <w:pStyle w:val="SingleTxtG"/>
      </w:pPr>
      <w:r>
        <w:rPr>
          <w:i/>
        </w:rPr>
        <w:t>Paragraphe 1.1.4</w:t>
      </w:r>
      <w:r>
        <w:t>, remplacer « L’épaisseur » par « L’épaisseur nominale ».</w:t>
      </w:r>
    </w:p>
    <w:p w:rsidR="00CE2F93" w:rsidRPr="00161B22" w:rsidRDefault="00CE2F93" w:rsidP="00CE2F93">
      <w:pPr>
        <w:pStyle w:val="SingleTxtG"/>
      </w:pPr>
      <w:r>
        <w:rPr>
          <w:i/>
        </w:rPr>
        <w:t>Paragraphe 1.2.1</w:t>
      </w:r>
      <w:r>
        <w:t>,</w:t>
      </w:r>
      <w:r>
        <w:rPr>
          <w:i/>
        </w:rPr>
        <w:t xml:space="preserve"> </w:t>
      </w:r>
      <w:r>
        <w:t>lire :</w:t>
      </w:r>
    </w:p>
    <w:p w:rsidR="00CE2F93" w:rsidRPr="00161B22" w:rsidRDefault="00CE2F93" w:rsidP="001A33BF">
      <w:pPr>
        <w:pStyle w:val="SingleTxtG"/>
        <w:ind w:left="2268" w:hanging="1134"/>
      </w:pPr>
      <w:r>
        <w:t>« 1.2.1</w:t>
      </w:r>
      <w:r>
        <w:tab/>
        <w:t>La présence ou l’absence de masques opaques. ».</w:t>
      </w:r>
    </w:p>
    <w:p w:rsidR="00CE2F93" w:rsidRPr="00161B22" w:rsidRDefault="00CE2F93" w:rsidP="00CE2F93">
      <w:pPr>
        <w:pStyle w:val="SingleTxtG"/>
      </w:pPr>
      <w:r>
        <w:rPr>
          <w:i/>
        </w:rPr>
        <w:t>Paragraphe 2.3</w:t>
      </w:r>
      <w:r>
        <w:t>, lire:</w:t>
      </w:r>
    </w:p>
    <w:p w:rsidR="00CE2F93" w:rsidRPr="00161B22" w:rsidRDefault="00CE2F93" w:rsidP="001A33BF">
      <w:pPr>
        <w:pStyle w:val="SingleTxtG"/>
        <w:ind w:left="2268" w:hanging="1134"/>
      </w:pPr>
      <w:r>
        <w:t>« 2.3</w:t>
      </w:r>
      <w:r>
        <w:tab/>
        <w:t>Pour les produits en plastique extrudé, (...) cette tolérance est de</w:t>
      </w:r>
    </w:p>
    <w:p w:rsidR="00CE2F93" w:rsidRPr="00161B22" w:rsidRDefault="00CE2F93" w:rsidP="00C452D8">
      <w:pPr>
        <w:pStyle w:val="SingleTxtG"/>
        <w:ind w:left="2268"/>
      </w:pPr>
      <w:r>
        <w:tab/>
      </w:r>
      <w:r w:rsidR="00903C27">
        <w:sym w:font="Symbol" w:char="F0B1"/>
      </w:r>
      <w:r>
        <w:t xml:space="preserve"> (0,4 mm + 0,1 e),</w:t>
      </w:r>
    </w:p>
    <w:p w:rsidR="00CE2F93" w:rsidRPr="00161B22" w:rsidRDefault="00CE2F93" w:rsidP="00C452D8">
      <w:pPr>
        <w:pStyle w:val="SingleTxtG"/>
        <w:ind w:left="2268"/>
      </w:pPr>
      <w:r>
        <w:tab/>
        <w:t>e étant l’épaisseur nominale du vitrage en mm.</w:t>
      </w:r>
    </w:p>
    <w:p w:rsidR="00CE2F93" w:rsidRPr="00161B22" w:rsidRDefault="00CE2F93" w:rsidP="00C452D8">
      <w:pPr>
        <w:pStyle w:val="SingleTxtG"/>
        <w:ind w:left="2268"/>
      </w:pPr>
      <w:r>
        <w:tab/>
        <w:t>La norme de référence est la norme ISO 7823-1:2003.</w:t>
      </w:r>
    </w:p>
    <w:p w:rsidR="00CE2F93" w:rsidRPr="00161B22" w:rsidRDefault="00CE2F93" w:rsidP="00C452D8">
      <w:pPr>
        <w:pStyle w:val="SingleTxtG"/>
        <w:ind w:left="2268"/>
      </w:pPr>
      <w:r>
        <w:tab/>
        <w:t>N.B. Si (...) du double vitrage. ».</w:t>
      </w:r>
    </w:p>
    <w:p w:rsidR="00CE2F93" w:rsidRPr="00161B22" w:rsidRDefault="00CE2F93" w:rsidP="00CE2F93">
      <w:pPr>
        <w:pStyle w:val="SingleTxtG"/>
      </w:pPr>
      <w:r>
        <w:rPr>
          <w:i/>
        </w:rPr>
        <w:t>Paragraphe 4.2</w:t>
      </w:r>
      <w:r>
        <w:t xml:space="preserve">, lire (est ajouté un tableau comprenant un appel de note de bas de page </w:t>
      </w:r>
      <w:r>
        <w:rPr>
          <w:vertAlign w:val="superscript"/>
        </w:rPr>
        <w:t>1</w:t>
      </w:r>
      <w:r>
        <w:t xml:space="preserve"> ainsi que la note correspondante) :</w:t>
      </w:r>
    </w:p>
    <w:p w:rsidR="00CE2F93" w:rsidRPr="00161B22" w:rsidRDefault="00CE2F93" w:rsidP="001A33BF">
      <w:pPr>
        <w:pStyle w:val="SingleTxtG"/>
        <w:ind w:left="2268" w:hanging="1134"/>
      </w:pPr>
      <w:r>
        <w:t>« 4.2</w:t>
      </w:r>
      <w:r>
        <w:tab/>
        <w:t>Nombre d’éprouvettes</w:t>
      </w:r>
    </w:p>
    <w:p w:rsidR="00CE2F93" w:rsidRPr="00161B22" w:rsidRDefault="00CE2F93" w:rsidP="00C452D8">
      <w:pPr>
        <w:pStyle w:val="SingleTxtG"/>
        <w:ind w:left="2268"/>
      </w:pPr>
      <w:r>
        <w:tab/>
        <w:t xml:space="preserve">Six </w:t>
      </w:r>
      <w:r w:rsidR="005F2AB9">
        <w:t>éprouvettes plates (1 170 x 570 + 0/-2 </w:t>
      </w:r>
      <w:r>
        <w:t>mm) ou six pièces complètes doivent être soumises aux essais.</w:t>
      </w:r>
    </w:p>
    <w:p w:rsidR="00CE2F93" w:rsidRPr="00161B22" w:rsidRDefault="00CE2F93" w:rsidP="00C452D8">
      <w:pPr>
        <w:pStyle w:val="SingleTxtG"/>
        <w:ind w:left="2268"/>
      </w:pPr>
      <w:r>
        <w:tab/>
        <w:t xml:space="preserve">Le tableau ci-dessous montre le type d’éprouvettes à soumettre à des </w:t>
      </w:r>
      <w:r w:rsidRPr="00903C27">
        <w:t>essais,</w:t>
      </w:r>
      <w:r>
        <w:t xml:space="preserve"> en fonction des dimensions de la vitre à évaluer.</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1740"/>
        <w:gridCol w:w="2693"/>
      </w:tblGrid>
      <w:tr w:rsidR="00CE2F93" w:rsidRPr="00161B22" w:rsidTr="001A33BF">
        <w:tc>
          <w:tcPr>
            <w:tcW w:w="1218" w:type="dxa"/>
            <w:tcBorders>
              <w:bottom w:val="single" w:sz="2" w:space="0" w:color="auto"/>
            </w:tcBorders>
            <w:hideMark/>
          </w:tcPr>
          <w:p w:rsidR="00CE2F93" w:rsidRPr="00161B22" w:rsidRDefault="00CE2F93" w:rsidP="001A33BF">
            <w:pPr>
              <w:tabs>
                <w:tab w:val="left" w:pos="885"/>
                <w:tab w:val="left" w:pos="1080"/>
              </w:tabs>
              <w:spacing w:before="80" w:after="80" w:line="160" w:lineRule="exact"/>
              <w:rPr>
                <w:rFonts w:eastAsia="MS Mincho"/>
                <w:i/>
                <w:sz w:val="16"/>
                <w:szCs w:val="16"/>
              </w:rPr>
            </w:pPr>
            <w:r>
              <w:rPr>
                <w:i/>
                <w:sz w:val="16"/>
                <w:szCs w:val="16"/>
              </w:rPr>
              <w:t>Type de fenêtre</w:t>
            </w:r>
          </w:p>
        </w:tc>
        <w:tc>
          <w:tcPr>
            <w:tcW w:w="1946" w:type="dxa"/>
            <w:tcBorders>
              <w:bottom w:val="single" w:sz="2" w:space="0" w:color="auto"/>
            </w:tcBorders>
            <w:hideMark/>
          </w:tcPr>
          <w:p w:rsidR="00CE2F93" w:rsidRPr="00161B22" w:rsidRDefault="00903C27" w:rsidP="001A33BF">
            <w:pPr>
              <w:spacing w:before="80" w:after="80" w:line="160" w:lineRule="exact"/>
              <w:rPr>
                <w:rFonts w:eastAsia="MS Mincho"/>
                <w:i/>
                <w:sz w:val="16"/>
                <w:szCs w:val="16"/>
              </w:rPr>
            </w:pPr>
            <w:r>
              <w:rPr>
                <w:i/>
                <w:sz w:val="16"/>
                <w:szCs w:val="16"/>
              </w:rPr>
              <w:t>Caractéristique</w:t>
            </w:r>
            <w:r>
              <w:rPr>
                <w:i/>
                <w:sz w:val="16"/>
                <w:szCs w:val="16"/>
              </w:rPr>
              <w:br/>
            </w:r>
            <w:r w:rsidR="00CE2F93">
              <w:rPr>
                <w:i/>
                <w:sz w:val="16"/>
                <w:szCs w:val="16"/>
              </w:rPr>
              <w:t>de la fenêtre</w:t>
            </w:r>
          </w:p>
        </w:tc>
        <w:tc>
          <w:tcPr>
            <w:tcW w:w="1740" w:type="dxa"/>
            <w:tcBorders>
              <w:bottom w:val="single" w:sz="2" w:space="0" w:color="auto"/>
            </w:tcBorders>
            <w:hideMark/>
          </w:tcPr>
          <w:p w:rsidR="00CE2F93" w:rsidRPr="00161B22" w:rsidRDefault="00903C27" w:rsidP="001A33BF">
            <w:pPr>
              <w:spacing w:before="80" w:after="80" w:line="160" w:lineRule="exact"/>
              <w:rPr>
                <w:rFonts w:eastAsia="MS Mincho"/>
                <w:i/>
                <w:sz w:val="16"/>
                <w:szCs w:val="16"/>
              </w:rPr>
            </w:pPr>
            <w:r>
              <w:rPr>
                <w:i/>
                <w:sz w:val="16"/>
                <w:szCs w:val="16"/>
              </w:rPr>
              <w:t>Dimensions</w:t>
            </w:r>
            <w:r>
              <w:rPr>
                <w:i/>
                <w:sz w:val="16"/>
                <w:szCs w:val="16"/>
              </w:rPr>
              <w:br/>
            </w:r>
            <w:r w:rsidR="00CE2F93">
              <w:rPr>
                <w:i/>
                <w:sz w:val="16"/>
                <w:szCs w:val="16"/>
              </w:rPr>
              <w:t>de l’éprouvette plate</w:t>
            </w:r>
          </w:p>
        </w:tc>
        <w:tc>
          <w:tcPr>
            <w:tcW w:w="2693" w:type="dxa"/>
            <w:tcBorders>
              <w:bottom w:val="single" w:sz="2" w:space="0" w:color="auto"/>
            </w:tcBorders>
            <w:hideMark/>
          </w:tcPr>
          <w:p w:rsidR="00CE2F93" w:rsidRPr="00161B22" w:rsidRDefault="00CE2F93" w:rsidP="001A33BF">
            <w:pPr>
              <w:spacing w:before="80" w:after="80" w:line="160" w:lineRule="exact"/>
              <w:rPr>
                <w:rFonts w:eastAsia="MS Mincho"/>
                <w:i/>
                <w:sz w:val="16"/>
                <w:szCs w:val="16"/>
              </w:rPr>
            </w:pPr>
            <w:r>
              <w:rPr>
                <w:i/>
                <w:sz w:val="16"/>
                <w:szCs w:val="16"/>
              </w:rPr>
              <w:t>Autre solution</w:t>
            </w:r>
          </w:p>
        </w:tc>
      </w:tr>
      <w:tr w:rsidR="00CE2F93" w:rsidRPr="00161B22" w:rsidTr="001A33BF">
        <w:tc>
          <w:tcPr>
            <w:tcW w:w="1218" w:type="dxa"/>
            <w:tcBorders>
              <w:top w:val="single" w:sz="2" w:space="0" w:color="auto"/>
              <w:bottom w:val="single" w:sz="2" w:space="0" w:color="auto"/>
            </w:tcBorders>
            <w:hideMark/>
          </w:tcPr>
          <w:p w:rsidR="00CE2F93" w:rsidRPr="00161B22" w:rsidRDefault="00CE2F93" w:rsidP="001A33BF">
            <w:pPr>
              <w:tabs>
                <w:tab w:val="left" w:pos="885"/>
                <w:tab w:val="left" w:pos="1080"/>
              </w:tabs>
              <w:spacing w:before="40" w:after="40" w:line="220" w:lineRule="exact"/>
              <w:rPr>
                <w:rFonts w:eastAsia="MS Mincho"/>
                <w:sz w:val="16"/>
                <w:szCs w:val="16"/>
              </w:rPr>
            </w:pPr>
            <w:r>
              <w:rPr>
                <w:sz w:val="16"/>
                <w:szCs w:val="16"/>
              </w:rPr>
              <w:t>Petite fenêtre</w:t>
            </w:r>
          </w:p>
        </w:tc>
        <w:tc>
          <w:tcPr>
            <w:tcW w:w="1946" w:type="dxa"/>
            <w:tcBorders>
              <w:top w:val="single" w:sz="2" w:space="0" w:color="auto"/>
              <w:bottom w:val="single" w:sz="2" w:space="0" w:color="auto"/>
            </w:tcBorders>
            <w:hideMark/>
          </w:tcPr>
          <w:p w:rsidR="00CE2F93" w:rsidRPr="00161B22" w:rsidRDefault="00CE2F93" w:rsidP="001A33BF">
            <w:pPr>
              <w:spacing w:before="40" w:after="40" w:line="220" w:lineRule="exact"/>
              <w:rPr>
                <w:rFonts w:eastAsia="MS Mincho"/>
                <w:sz w:val="16"/>
                <w:szCs w:val="16"/>
              </w:rPr>
            </w:pPr>
            <w:r>
              <w:rPr>
                <w:sz w:val="16"/>
                <w:szCs w:val="16"/>
              </w:rPr>
              <w:t>Diamètre D du cercle pouvant y être inscrit :</w:t>
            </w:r>
          </w:p>
          <w:p w:rsidR="00CE2F93" w:rsidRPr="00161B22" w:rsidRDefault="001A33BF" w:rsidP="001A33BF">
            <w:pPr>
              <w:spacing w:before="40" w:after="40" w:line="220" w:lineRule="exact"/>
              <w:rPr>
                <w:rFonts w:eastAsia="MS Mincho"/>
                <w:sz w:val="16"/>
                <w:szCs w:val="16"/>
              </w:rPr>
            </w:pPr>
            <w:r>
              <w:rPr>
                <w:sz w:val="16"/>
                <w:szCs w:val="16"/>
              </w:rPr>
              <w:t>D &lt; </w:t>
            </w:r>
            <w:r w:rsidR="00CE2F93">
              <w:rPr>
                <w:sz w:val="16"/>
                <w:szCs w:val="16"/>
              </w:rPr>
              <w:t>150 mm et</w:t>
            </w:r>
            <w:r w:rsidR="00CE2F93">
              <w:rPr>
                <w:sz w:val="16"/>
                <w:szCs w:val="16"/>
              </w:rPr>
              <w:br/>
            </w:r>
            <w:r>
              <w:rPr>
                <w:sz w:val="16"/>
                <w:szCs w:val="16"/>
              </w:rPr>
              <w:t>surface &lt; </w:t>
            </w:r>
            <w:r w:rsidR="00CE2F93">
              <w:rPr>
                <w:sz w:val="16"/>
                <w:szCs w:val="16"/>
              </w:rPr>
              <w:t>200 cm</w:t>
            </w:r>
            <w:r w:rsidR="00CE2F93">
              <w:rPr>
                <w:sz w:val="16"/>
                <w:szCs w:val="16"/>
                <w:vertAlign w:val="superscript"/>
              </w:rPr>
              <w:t>2</w:t>
            </w:r>
          </w:p>
        </w:tc>
        <w:tc>
          <w:tcPr>
            <w:tcW w:w="4433" w:type="dxa"/>
            <w:gridSpan w:val="2"/>
            <w:tcBorders>
              <w:top w:val="single" w:sz="2" w:space="0" w:color="auto"/>
              <w:bottom w:val="single" w:sz="2" w:space="0" w:color="auto"/>
            </w:tcBorders>
          </w:tcPr>
          <w:p w:rsidR="00CE2F93" w:rsidRPr="00161B22" w:rsidRDefault="00CE2F93" w:rsidP="00903C27">
            <w:pPr>
              <w:spacing w:before="120" w:after="40" w:line="220" w:lineRule="exact"/>
              <w:ind w:right="425"/>
              <w:jc w:val="center"/>
              <w:rPr>
                <w:rFonts w:eastAsia="MS Mincho"/>
                <w:sz w:val="16"/>
                <w:szCs w:val="16"/>
              </w:rPr>
            </w:pPr>
            <w:r>
              <w:rPr>
                <w:sz w:val="16"/>
                <w:szCs w:val="16"/>
              </w:rPr>
              <w:t>Pas d’essai</w:t>
            </w:r>
          </w:p>
        </w:tc>
      </w:tr>
      <w:tr w:rsidR="00CE2F93" w:rsidRPr="003C670C" w:rsidTr="00DE7635">
        <w:tc>
          <w:tcPr>
            <w:tcW w:w="1218" w:type="dxa"/>
            <w:vMerge w:val="restart"/>
            <w:hideMark/>
          </w:tcPr>
          <w:p w:rsidR="00CE2F93" w:rsidRPr="00161B22" w:rsidRDefault="00CE2F93" w:rsidP="001A33BF">
            <w:pPr>
              <w:tabs>
                <w:tab w:val="left" w:pos="885"/>
                <w:tab w:val="left" w:pos="1080"/>
              </w:tabs>
              <w:spacing w:before="40" w:after="40" w:line="220" w:lineRule="exact"/>
              <w:rPr>
                <w:rFonts w:eastAsia="MS Mincho"/>
                <w:sz w:val="16"/>
                <w:szCs w:val="16"/>
              </w:rPr>
            </w:pPr>
            <w:r>
              <w:rPr>
                <w:sz w:val="16"/>
                <w:szCs w:val="16"/>
              </w:rPr>
              <w:t>Fenêtre autre que petite</w:t>
            </w:r>
          </w:p>
        </w:tc>
        <w:tc>
          <w:tcPr>
            <w:tcW w:w="1946" w:type="dxa"/>
            <w:hideMark/>
          </w:tcPr>
          <w:p w:rsidR="00CE2F93" w:rsidRPr="00161B22" w:rsidRDefault="00CE2F93" w:rsidP="001A33BF">
            <w:pPr>
              <w:spacing w:before="40" w:after="40" w:line="220" w:lineRule="exact"/>
              <w:rPr>
                <w:rFonts w:eastAsia="MS Mincho"/>
                <w:sz w:val="16"/>
                <w:szCs w:val="16"/>
              </w:rPr>
            </w:pPr>
            <w:r>
              <w:rPr>
                <w:sz w:val="16"/>
                <w:szCs w:val="16"/>
              </w:rPr>
              <w:t>Diamètre D du cercle pouvant y être inscrit :</w:t>
            </w:r>
          </w:p>
          <w:p w:rsidR="00CE2F93" w:rsidRPr="00161B22" w:rsidRDefault="001A33BF" w:rsidP="001A33BF">
            <w:pPr>
              <w:spacing w:before="40" w:after="40" w:line="220" w:lineRule="exact"/>
              <w:rPr>
                <w:rFonts w:eastAsia="MS Mincho"/>
                <w:sz w:val="16"/>
                <w:szCs w:val="16"/>
              </w:rPr>
            </w:pPr>
            <w:r>
              <w:rPr>
                <w:sz w:val="16"/>
                <w:szCs w:val="16"/>
              </w:rPr>
              <w:t>D &lt; 400 </w:t>
            </w:r>
            <w:r w:rsidR="00CE2F93">
              <w:rPr>
                <w:sz w:val="16"/>
                <w:szCs w:val="16"/>
              </w:rPr>
              <w:t>mm et</w:t>
            </w:r>
            <w:r w:rsidR="00CE2F93">
              <w:rPr>
                <w:sz w:val="16"/>
                <w:szCs w:val="16"/>
              </w:rPr>
              <w:br/>
            </w:r>
            <w:r>
              <w:rPr>
                <w:sz w:val="16"/>
                <w:szCs w:val="16"/>
              </w:rPr>
              <w:t>surface ≥ 200 </w:t>
            </w:r>
            <w:r w:rsidR="00CE2F93">
              <w:rPr>
                <w:sz w:val="16"/>
                <w:szCs w:val="16"/>
              </w:rPr>
              <w:t>cm</w:t>
            </w:r>
            <w:r w:rsidR="00CE2F93">
              <w:rPr>
                <w:sz w:val="16"/>
                <w:szCs w:val="16"/>
                <w:vertAlign w:val="superscript"/>
              </w:rPr>
              <w:t>2</w:t>
            </w:r>
          </w:p>
        </w:tc>
        <w:tc>
          <w:tcPr>
            <w:tcW w:w="1740" w:type="dxa"/>
            <w:hideMark/>
          </w:tcPr>
          <w:p w:rsidR="00CE2F93" w:rsidRPr="00161B22" w:rsidRDefault="001A33BF" w:rsidP="001A33BF">
            <w:pPr>
              <w:spacing w:before="40" w:after="40" w:line="220" w:lineRule="exact"/>
              <w:rPr>
                <w:rFonts w:eastAsia="MS Mincho"/>
                <w:sz w:val="16"/>
                <w:szCs w:val="16"/>
              </w:rPr>
            </w:pPr>
            <w:r>
              <w:rPr>
                <w:sz w:val="16"/>
                <w:szCs w:val="16"/>
              </w:rPr>
              <w:t>1 170 mm x 570 </w:t>
            </w:r>
            <w:r w:rsidR="00CE2F93">
              <w:rPr>
                <w:sz w:val="16"/>
                <w:szCs w:val="16"/>
              </w:rPr>
              <w:t>mm</w:t>
            </w:r>
          </w:p>
          <w:p w:rsidR="00CE2F93" w:rsidRPr="00161B22" w:rsidRDefault="00CE2F93" w:rsidP="001A33BF">
            <w:pPr>
              <w:spacing w:before="40" w:after="40" w:line="220" w:lineRule="exact"/>
              <w:rPr>
                <w:rFonts w:eastAsia="MS Mincho"/>
                <w:sz w:val="16"/>
                <w:szCs w:val="16"/>
              </w:rPr>
            </w:pPr>
            <w:r>
              <w:rPr>
                <w:sz w:val="16"/>
                <w:szCs w:val="16"/>
              </w:rPr>
              <w:t>(essai du type de matériau et cadre de support standard)</w:t>
            </w:r>
          </w:p>
        </w:tc>
        <w:tc>
          <w:tcPr>
            <w:tcW w:w="2693" w:type="dxa"/>
            <w:hideMark/>
          </w:tcPr>
          <w:p w:rsidR="00CE2F93" w:rsidRPr="00161B22" w:rsidRDefault="00CE2F93" w:rsidP="001A33BF">
            <w:pPr>
              <w:spacing w:before="40" w:after="40" w:line="220" w:lineRule="exact"/>
              <w:rPr>
                <w:rFonts w:eastAsia="MS Mincho"/>
                <w:sz w:val="16"/>
                <w:szCs w:val="16"/>
              </w:rPr>
            </w:pPr>
            <w:r>
              <w:rPr>
                <w:sz w:val="16"/>
                <w:szCs w:val="16"/>
              </w:rPr>
              <w:t>Autre pièce du même matériau, procédure de production, épaisseur, couleur avec dimensions supérieures à celles de la pièce d’origine, dans laquelle un cercle de 400</w:t>
            </w:r>
            <w:r w:rsidR="001A33BF">
              <w:rPr>
                <w:sz w:val="16"/>
                <w:szCs w:val="16"/>
              </w:rPr>
              <w:t> </w:t>
            </w:r>
            <w:r>
              <w:rPr>
                <w:sz w:val="16"/>
                <w:szCs w:val="16"/>
              </w:rPr>
              <w:t>mm de diamètre peut être inscrit, et avec une zone de su</w:t>
            </w:r>
            <w:r w:rsidR="001A33BF">
              <w:rPr>
                <w:sz w:val="16"/>
                <w:szCs w:val="16"/>
              </w:rPr>
              <w:t>rface développée inférieure à 1 170 x 570 </w:t>
            </w:r>
            <w:r>
              <w:rPr>
                <w:sz w:val="16"/>
                <w:szCs w:val="16"/>
              </w:rPr>
              <w:t>mm (homologation de type de la pièce d’origine</w:t>
            </w:r>
            <w:r>
              <w:rPr>
                <w:sz w:val="16"/>
                <w:szCs w:val="16"/>
                <w:vertAlign w:val="superscript"/>
              </w:rPr>
              <w:t>1</w:t>
            </w:r>
            <w:r>
              <w:rPr>
                <w:sz w:val="16"/>
                <w:szCs w:val="16"/>
              </w:rPr>
              <w:t>)</w:t>
            </w:r>
          </w:p>
        </w:tc>
      </w:tr>
      <w:tr w:rsidR="00CE2F93" w:rsidRPr="003C670C" w:rsidTr="001A33BF">
        <w:tc>
          <w:tcPr>
            <w:tcW w:w="1218" w:type="dxa"/>
            <w:vMerge/>
            <w:tcBorders>
              <w:bottom w:val="single" w:sz="2" w:space="0" w:color="auto"/>
            </w:tcBorders>
            <w:vAlign w:val="center"/>
            <w:hideMark/>
          </w:tcPr>
          <w:p w:rsidR="00CE2F93" w:rsidRPr="00161B22" w:rsidRDefault="00CE2F93" w:rsidP="001A33BF">
            <w:pPr>
              <w:tabs>
                <w:tab w:val="left" w:pos="885"/>
              </w:tabs>
              <w:suppressAutoHyphens w:val="0"/>
              <w:spacing w:before="40" w:after="40" w:line="220" w:lineRule="exact"/>
              <w:rPr>
                <w:rFonts w:eastAsia="MS Mincho"/>
                <w:sz w:val="16"/>
                <w:szCs w:val="16"/>
                <w:lang w:val="en-US"/>
              </w:rPr>
            </w:pPr>
          </w:p>
        </w:tc>
        <w:tc>
          <w:tcPr>
            <w:tcW w:w="1946" w:type="dxa"/>
            <w:tcBorders>
              <w:bottom w:val="single" w:sz="2" w:space="0" w:color="auto"/>
            </w:tcBorders>
            <w:hideMark/>
          </w:tcPr>
          <w:p w:rsidR="00CE2F93" w:rsidRPr="00161B22" w:rsidRDefault="00CE2F93" w:rsidP="001A33BF">
            <w:pPr>
              <w:spacing w:before="40" w:after="40" w:line="220" w:lineRule="exact"/>
              <w:rPr>
                <w:rFonts w:eastAsia="MS Mincho"/>
                <w:sz w:val="16"/>
                <w:szCs w:val="16"/>
              </w:rPr>
            </w:pPr>
            <w:r>
              <w:rPr>
                <w:sz w:val="16"/>
                <w:szCs w:val="16"/>
              </w:rPr>
              <w:t>Diamètre D du cercle pouvant y être inscrit :</w:t>
            </w:r>
          </w:p>
          <w:p w:rsidR="00CE2F93" w:rsidRPr="00161B22" w:rsidRDefault="001A33BF" w:rsidP="001A33BF">
            <w:pPr>
              <w:spacing w:before="40" w:after="40" w:line="220" w:lineRule="exact"/>
              <w:rPr>
                <w:rFonts w:eastAsia="MS Mincho"/>
                <w:sz w:val="16"/>
                <w:szCs w:val="16"/>
              </w:rPr>
            </w:pPr>
            <w:r>
              <w:rPr>
                <w:sz w:val="16"/>
                <w:szCs w:val="16"/>
              </w:rPr>
              <w:t>400 mm &lt; </w:t>
            </w:r>
            <w:r w:rsidR="00CE2F93">
              <w:rPr>
                <w:sz w:val="16"/>
                <w:szCs w:val="16"/>
              </w:rPr>
              <w:t>D</w:t>
            </w:r>
          </w:p>
        </w:tc>
        <w:tc>
          <w:tcPr>
            <w:tcW w:w="1740" w:type="dxa"/>
            <w:tcBorders>
              <w:bottom w:val="single" w:sz="2" w:space="0" w:color="auto"/>
            </w:tcBorders>
            <w:hideMark/>
          </w:tcPr>
          <w:p w:rsidR="00CE2F93" w:rsidRPr="00161B22" w:rsidRDefault="001A33BF" w:rsidP="001A33BF">
            <w:pPr>
              <w:spacing w:before="40" w:after="40" w:line="220" w:lineRule="exact"/>
              <w:rPr>
                <w:rFonts w:eastAsia="MS Mincho"/>
                <w:sz w:val="16"/>
                <w:szCs w:val="16"/>
              </w:rPr>
            </w:pPr>
            <w:r>
              <w:rPr>
                <w:sz w:val="16"/>
                <w:szCs w:val="16"/>
              </w:rPr>
              <w:t>1 170 mm x 570 </w:t>
            </w:r>
            <w:r w:rsidR="00CE2F93">
              <w:rPr>
                <w:sz w:val="16"/>
                <w:szCs w:val="16"/>
              </w:rPr>
              <w:t>mm</w:t>
            </w:r>
          </w:p>
          <w:p w:rsidR="00CE2F93" w:rsidRPr="00161B22" w:rsidRDefault="00CE2F93" w:rsidP="001A33BF">
            <w:pPr>
              <w:spacing w:before="40" w:after="40" w:line="220" w:lineRule="exact"/>
              <w:rPr>
                <w:rFonts w:eastAsia="MS Mincho"/>
                <w:sz w:val="16"/>
                <w:szCs w:val="16"/>
              </w:rPr>
            </w:pPr>
            <w:r>
              <w:rPr>
                <w:sz w:val="16"/>
                <w:szCs w:val="16"/>
              </w:rPr>
              <w:t>(essai du type de matériau et cadre de support standard)</w:t>
            </w:r>
          </w:p>
        </w:tc>
        <w:tc>
          <w:tcPr>
            <w:tcW w:w="2693" w:type="dxa"/>
            <w:tcBorders>
              <w:bottom w:val="single" w:sz="2" w:space="0" w:color="auto"/>
            </w:tcBorders>
            <w:hideMark/>
          </w:tcPr>
          <w:p w:rsidR="00CE2F93" w:rsidRPr="00161B22" w:rsidRDefault="00CE2F93" w:rsidP="001A33BF">
            <w:pPr>
              <w:spacing w:before="40" w:after="40" w:line="220" w:lineRule="exact"/>
              <w:rPr>
                <w:rFonts w:eastAsia="MS Mincho"/>
                <w:sz w:val="16"/>
                <w:szCs w:val="16"/>
              </w:rPr>
            </w:pPr>
            <w:r>
              <w:rPr>
                <w:sz w:val="16"/>
                <w:szCs w:val="16"/>
              </w:rPr>
              <w:t>Pièce réelle (soumise pour homologation)</w:t>
            </w:r>
          </w:p>
          <w:p w:rsidR="00CE2F93" w:rsidRPr="00161B22" w:rsidRDefault="00CE2F93" w:rsidP="001A33BF">
            <w:pPr>
              <w:spacing w:before="40" w:after="40" w:line="220" w:lineRule="exact"/>
              <w:rPr>
                <w:rFonts w:eastAsia="MS Mincho"/>
                <w:sz w:val="16"/>
                <w:szCs w:val="16"/>
              </w:rPr>
            </w:pPr>
            <w:r>
              <w:rPr>
                <w:sz w:val="16"/>
                <w:szCs w:val="16"/>
              </w:rPr>
              <w:t>(homologation de type de la pièce et cadre de support spécifique)</w:t>
            </w:r>
          </w:p>
        </w:tc>
      </w:tr>
    </w:tbl>
    <w:p w:rsidR="00CE2F93" w:rsidRPr="005F2AB9" w:rsidRDefault="00CE2F93" w:rsidP="00903C27">
      <w:pPr>
        <w:pStyle w:val="SingleTxtG"/>
        <w:tabs>
          <w:tab w:val="left" w:pos="1985"/>
          <w:tab w:val="left" w:pos="2268"/>
          <w:tab w:val="left" w:pos="2552"/>
        </w:tabs>
        <w:spacing w:before="120"/>
      </w:pPr>
      <w:r w:rsidRPr="005F2AB9">
        <w:rPr>
          <w:i/>
        </w:rPr>
        <w:t>Note</w:t>
      </w:r>
      <w:r w:rsidR="005F2AB9">
        <w:t> </w:t>
      </w:r>
      <w:r w:rsidRPr="005F2AB9">
        <w:t>:</w:t>
      </w:r>
      <w:r w:rsidR="005F2AB9">
        <w:tab/>
      </w:r>
      <w:r w:rsidRPr="005F2AB9">
        <w:rPr>
          <w:vertAlign w:val="superscript"/>
        </w:rPr>
        <w:t>1</w:t>
      </w:r>
      <w:r w:rsidRPr="005F2AB9">
        <w:tab/>
        <w:t>Les dimensions de la pièce d’origine sont trop petites pour que l’essai puisse être effectué. ».</w:t>
      </w:r>
    </w:p>
    <w:p w:rsidR="00CE2F93" w:rsidRPr="00161B22" w:rsidRDefault="00CE2F93" w:rsidP="00CE2F93">
      <w:pPr>
        <w:pStyle w:val="SingleTxtG"/>
      </w:pPr>
      <w:r>
        <w:rPr>
          <w:i/>
        </w:rPr>
        <w:t>Paragraphes 4.3.1 à 4.3.3</w:t>
      </w:r>
      <w:r>
        <w:t>, lire :</w:t>
      </w:r>
    </w:p>
    <w:p w:rsidR="00CE2F93" w:rsidRPr="00161B22" w:rsidRDefault="00CE2F93" w:rsidP="001A33BF">
      <w:pPr>
        <w:pStyle w:val="SingleTxtG"/>
        <w:ind w:left="2268" w:hanging="1134"/>
      </w:pPr>
      <w:r>
        <w:t>« 4.3.1</w:t>
      </w:r>
      <w:r>
        <w:tab/>
        <w:t>La méthode d’essai utilisée est celle décrite au paragraphe 3.2 de l’annexe 3.</w:t>
      </w:r>
    </w:p>
    <w:p w:rsidR="00CE2F93" w:rsidRPr="00161B22" w:rsidRDefault="00CE2F93" w:rsidP="001A33BF">
      <w:pPr>
        <w:pStyle w:val="SingleTxtG"/>
        <w:ind w:left="2268" w:hanging="1134"/>
      </w:pPr>
      <w:r>
        <w:t>4.3.2</w:t>
      </w:r>
      <w:r>
        <w:tab/>
        <w:t>Pour les doubles vitrages comme les parois et les glaces de séparation faisant face vers l’avant qui sont situés devant un occupant et ayant une probabilité de choc de classe X/A, la hauteur de chute est de 3 m.</w:t>
      </w:r>
    </w:p>
    <w:p w:rsidR="00CE2F93" w:rsidRPr="00161B22" w:rsidRDefault="00CE2F93" w:rsidP="005F2AB9">
      <w:pPr>
        <w:pStyle w:val="SingleTxtG"/>
        <w:ind w:left="2268"/>
      </w:pPr>
      <w:r>
        <w:tab/>
        <w:t>La valeur HIC doit aussi être mesurée.</w:t>
      </w:r>
    </w:p>
    <w:p w:rsidR="00CE2F93" w:rsidRPr="00161B22" w:rsidRDefault="00CE2F93" w:rsidP="001A33BF">
      <w:pPr>
        <w:pStyle w:val="SingleTxtG"/>
        <w:ind w:left="2268" w:hanging="1134"/>
      </w:pPr>
      <w:r>
        <w:t>4.3.3</w:t>
      </w:r>
      <w:r>
        <w:tab/>
        <w:t>Pour les doubles vitrages peu exposés à un choc de la tête (classe X/B), par exemple les vitres latérales, la lunette arrière et le toit ouvrant, la hauteur de chute est de 1,5 m.</w:t>
      </w:r>
    </w:p>
    <w:p w:rsidR="00CE2F93" w:rsidRPr="00161B22" w:rsidRDefault="00CE2F93" w:rsidP="005F2AB9">
      <w:pPr>
        <w:pStyle w:val="SingleTxtG"/>
        <w:ind w:left="2268"/>
      </w:pPr>
      <w:r>
        <w:tab/>
        <w:t>La valeur HIC doit aussi être mesurée. ».</w:t>
      </w:r>
    </w:p>
    <w:p w:rsidR="00CE2F93" w:rsidRPr="00161B22" w:rsidRDefault="00CE2F93" w:rsidP="005F2AB9">
      <w:pPr>
        <w:pStyle w:val="SingleTxtG"/>
        <w:keepNext/>
      </w:pPr>
      <w:r>
        <w:rPr>
          <w:i/>
        </w:rPr>
        <w:t>Paragraphes 5.1 et 5.2</w:t>
      </w:r>
      <w:r>
        <w:t>, lire :</w:t>
      </w:r>
    </w:p>
    <w:p w:rsidR="00CE2F93" w:rsidRPr="00161B22" w:rsidRDefault="00CE2F93" w:rsidP="001A33BF">
      <w:pPr>
        <w:pStyle w:val="SingleTxtG"/>
        <w:ind w:left="2268" w:hanging="1134"/>
      </w:pPr>
      <w:r>
        <w:t>« 5.1</w:t>
      </w:r>
      <w:r>
        <w:tab/>
        <w:t>Indices de difficulté des caractéristiques secondaires</w:t>
      </w:r>
      <w:r w:rsidR="00903C27">
        <w:t> </w:t>
      </w:r>
      <w:r>
        <w:t>:</w:t>
      </w:r>
    </w:p>
    <w:p w:rsidR="00CE2F93" w:rsidRPr="00161B22" w:rsidRDefault="00CE2F93" w:rsidP="00C452D8">
      <w:pPr>
        <w:pStyle w:val="SingleTxtG"/>
        <w:ind w:left="2268"/>
      </w:pPr>
      <w:r>
        <w:tab/>
        <w:t>1)</w:t>
      </w:r>
      <w:r>
        <w:tab/>
        <w:t>Sans masque(s) opaque(s)</w:t>
      </w:r>
    </w:p>
    <w:p w:rsidR="00CE2F93" w:rsidRPr="00161B22" w:rsidRDefault="00CE2F93" w:rsidP="00C452D8">
      <w:pPr>
        <w:pStyle w:val="SingleTxtG"/>
        <w:ind w:left="2268"/>
      </w:pPr>
      <w:r>
        <w:tab/>
        <w:t>2)</w:t>
      </w:r>
      <w:r>
        <w:tab/>
        <w:t>Avec masque(s) opaque(s)</w:t>
      </w:r>
    </w:p>
    <w:p w:rsidR="00CE2F93" w:rsidRPr="00161B22" w:rsidRDefault="00CE2F93" w:rsidP="001A33BF">
      <w:pPr>
        <w:pStyle w:val="SingleTxtG"/>
        <w:ind w:left="2268" w:hanging="1134"/>
      </w:pPr>
      <w:r>
        <w:t>5.2</w:t>
      </w:r>
      <w:r>
        <w:tab/>
        <w:t>Nombre d’éprouvettes</w:t>
      </w:r>
    </w:p>
    <w:p w:rsidR="00CE2F93" w:rsidRPr="00161B22" w:rsidRDefault="00CE2F93" w:rsidP="00C452D8">
      <w:pPr>
        <w:pStyle w:val="SingleTxtG"/>
        <w:ind w:left="2268"/>
      </w:pPr>
      <w:r>
        <w:tab/>
        <w:t>Dix éprouvettes plates de 300 mm +10/-0 mm de côté de la vitre extérieure ou 10 pièces complètes à peu près plates doivent être soumises à l’essai. Dans ce dernier cas, le contact entre la pièce et le support doit se faire tout autour du périmètre sur une largeur d’environ 15 mm. Les cadres supérieurs et inférieurs du support doivent être serrés l’un contre l’autre de manière à ce que l’éprouvette ne se déplace pas de plus de 2 mm pendant l’essai. ».</w:t>
      </w:r>
    </w:p>
    <w:p w:rsidR="00CE2F93" w:rsidRPr="00161B22" w:rsidRDefault="00CE2F93" w:rsidP="00CE2F93">
      <w:pPr>
        <w:pStyle w:val="SingleTxtG"/>
      </w:pPr>
      <w:r>
        <w:rPr>
          <w:i/>
        </w:rPr>
        <w:t>Paragraphe 5.3.2</w:t>
      </w:r>
      <w:r>
        <w:t>, remplacer « épaisseur » par « épaisseur nominale » et « épaisseurs » par « épaisseurs nominales ».</w:t>
      </w:r>
    </w:p>
    <w:p w:rsidR="00CE2F93" w:rsidRPr="00161B22" w:rsidRDefault="00CE2F93" w:rsidP="005F2AB9">
      <w:pPr>
        <w:pStyle w:val="SingleTxtG"/>
        <w:keepNext/>
      </w:pPr>
      <w:r>
        <w:rPr>
          <w:i/>
        </w:rPr>
        <w:t>Paragraphes 5.4.1 et 5.4.2</w:t>
      </w:r>
      <w:r>
        <w:t>, lire :</w:t>
      </w:r>
    </w:p>
    <w:p w:rsidR="00CE2F93" w:rsidRPr="00161B22" w:rsidRDefault="00CE2F93" w:rsidP="005F2AB9">
      <w:pPr>
        <w:pStyle w:val="SingleTxtG"/>
        <w:keepNext/>
        <w:ind w:left="2268" w:hanging="1134"/>
      </w:pPr>
      <w:r>
        <w:t>« 5.4.1</w:t>
      </w:r>
      <w:r>
        <w:tab/>
        <w:t>L’essai de résistance mécanique</w:t>
      </w:r>
    </w:p>
    <w:p w:rsidR="00CE2F93" w:rsidRPr="00161B22" w:rsidRDefault="00CE2F93" w:rsidP="00C452D8">
      <w:pPr>
        <w:pStyle w:val="SingleTxtG"/>
        <w:ind w:left="2268"/>
      </w:pPr>
      <w:r>
        <w:tab/>
        <w:t>(...)</w:t>
      </w:r>
    </w:p>
    <w:p w:rsidR="00CE2F93" w:rsidRPr="00161B22" w:rsidRDefault="00CE2F93" w:rsidP="00C452D8">
      <w:pPr>
        <w:pStyle w:val="SingleTxtG"/>
        <w:ind w:left="2268"/>
      </w:pPr>
      <w:r>
        <w:tab/>
        <w:t>b)</w:t>
      </w:r>
      <w:r>
        <w:tab/>
        <w:t>L’éprouvette ne se brise pas en plusieurs morceaux distincts.</w:t>
      </w:r>
    </w:p>
    <w:p w:rsidR="00CE2F93" w:rsidRPr="00161B22" w:rsidRDefault="00CE2F93" w:rsidP="00C452D8">
      <w:pPr>
        <w:pStyle w:val="SingleTxtG"/>
        <w:ind w:left="2268"/>
      </w:pPr>
      <w:r>
        <w:tab/>
        <w:t>À la suite du choc, des fissures dans l’éprouvette sont cependant admises.</w:t>
      </w:r>
    </w:p>
    <w:p w:rsidR="00CE2F93" w:rsidRPr="00161B22" w:rsidRDefault="00CE2F93" w:rsidP="001A33BF">
      <w:pPr>
        <w:pStyle w:val="SingleTxtG"/>
        <w:ind w:left="2268" w:hanging="1134"/>
      </w:pPr>
      <w:r>
        <w:t>5.4.2</w:t>
      </w:r>
      <w:r>
        <w:tab/>
        <w:t>Une série d’éprouvettes soumises à l’homologation est considérée comme ayant satisfait à l’essai de résistance mécanique à la bille de 227 g si huit essais ou plus donnent un résultat positif à la hauteur de chute requise. ».</w:t>
      </w:r>
    </w:p>
    <w:p w:rsidR="00CE2F93" w:rsidRPr="00161B22" w:rsidRDefault="00CE2F93" w:rsidP="00CE2F93">
      <w:pPr>
        <w:pStyle w:val="SingleTxtG"/>
      </w:pPr>
      <w:r>
        <w:rPr>
          <w:i/>
        </w:rPr>
        <w:t>Paragraphes 5.4.2.1 et 5.4.2.2</w:t>
      </w:r>
      <w:r>
        <w:t>, supprimer.</w:t>
      </w:r>
    </w:p>
    <w:p w:rsidR="00CE2F93" w:rsidRPr="00161B22" w:rsidRDefault="00CE2F93" w:rsidP="00CE2F93">
      <w:pPr>
        <w:pStyle w:val="SingleTxtG"/>
      </w:pPr>
      <w:r w:rsidRPr="00876E59">
        <w:rPr>
          <w:i/>
        </w:rPr>
        <w:t>Paragraphe 6.1.2</w:t>
      </w:r>
      <w:r>
        <w:t>, modification sans objet en français.</w:t>
      </w:r>
    </w:p>
    <w:p w:rsidR="00CE2F93" w:rsidRPr="00161B22" w:rsidRDefault="00CE2F93" w:rsidP="00CE2F93">
      <w:pPr>
        <w:pStyle w:val="SingleTxtG"/>
      </w:pPr>
      <w:r>
        <w:rPr>
          <w:i/>
        </w:rPr>
        <w:t>Paragraphes 6.1.3.1 et 6.1.3.2</w:t>
      </w:r>
      <w:r>
        <w:t>, remplacer « le facteur total de dispersion » par « l’accroissement de l’atténuation de la visibilité » (à deux reprises).</w:t>
      </w:r>
    </w:p>
    <w:p w:rsidR="00CE2F93" w:rsidRPr="00161B22" w:rsidRDefault="00CE2F93" w:rsidP="005F2AB9">
      <w:pPr>
        <w:pStyle w:val="SingleTxtG"/>
        <w:keepNext/>
      </w:pPr>
      <w:r>
        <w:rPr>
          <w:i/>
        </w:rPr>
        <w:t>Ajouter un nouveau paragraphe 6.1.3.3</w:t>
      </w:r>
      <w:r>
        <w:t>, ainsi conçu :</w:t>
      </w:r>
    </w:p>
    <w:p w:rsidR="00CE2F93" w:rsidRPr="00161B22" w:rsidRDefault="00CE2F93" w:rsidP="005F2AB9">
      <w:pPr>
        <w:pStyle w:val="SingleTxtG"/>
        <w:keepNext/>
        <w:ind w:left="2268" w:hanging="1134"/>
      </w:pPr>
      <w:r>
        <w:t>« 6.1.3.3</w:t>
      </w:r>
      <w:r>
        <w:tab/>
        <w:t>Dans le cas des vitrages de la classe L, pour l’abrasion sur la surface externe de l’éprouvette, on peut effectuer l’essai d’</w:t>
      </w:r>
      <w:r w:rsidR="005F2AB9">
        <w:t>abrasion décrit au paragraphe </w:t>
      </w:r>
      <w:r>
        <w:t>4 de l’</w:t>
      </w:r>
      <w:r w:rsidR="005F2AB9">
        <w:t>annexe </w:t>
      </w:r>
      <w:r>
        <w:t>3 ou la série équivalente constituée de l’essai avec ruissellement de sable, de l’essai sur poste de lavage automobile et de l’essai avec essuie</w:t>
      </w:r>
      <w:r w:rsidR="005F2AB9">
        <w:noBreakHyphen/>
      </w:r>
      <w:r>
        <w:t>glace, tels qu’i</w:t>
      </w:r>
      <w:r w:rsidR="005F2AB9">
        <w:t>ls sont décrits aux paragraphes </w:t>
      </w:r>
      <w:r>
        <w:t>6.1.2, 6.1.3 et 6.1.4 de l’</w:t>
      </w:r>
      <w:r w:rsidR="005F2AB9">
        <w:t xml:space="preserve">annexe </w:t>
      </w:r>
      <w:r>
        <w:t>17. ».</w:t>
      </w:r>
    </w:p>
    <w:p w:rsidR="00CE2F93" w:rsidRPr="00161B22" w:rsidRDefault="00CE2F93" w:rsidP="00CE2F93">
      <w:pPr>
        <w:pStyle w:val="SingleTxtG"/>
      </w:pPr>
      <w:r>
        <w:rPr>
          <w:i/>
        </w:rPr>
        <w:t xml:space="preserve">Le paragraphe 6.1.3.3 </w:t>
      </w:r>
      <w:r>
        <w:t>devient le paragraphe 6.1.3.4.</w:t>
      </w:r>
    </w:p>
    <w:p w:rsidR="00CE2F93" w:rsidRPr="00161B22" w:rsidRDefault="00CE2F93" w:rsidP="005F2AB9">
      <w:pPr>
        <w:pStyle w:val="SingleTxtG"/>
        <w:keepNext/>
      </w:pPr>
      <w:r>
        <w:rPr>
          <w:i/>
        </w:rPr>
        <w:t>Paragraphe 6.1.4</w:t>
      </w:r>
      <w:r>
        <w:t>,</w:t>
      </w:r>
      <w:r>
        <w:rPr>
          <w:i/>
        </w:rPr>
        <w:t xml:space="preserve"> </w:t>
      </w:r>
      <w:r>
        <w:t>lire :</w:t>
      </w:r>
    </w:p>
    <w:p w:rsidR="00CE2F93" w:rsidRPr="00161B22" w:rsidRDefault="00CE2F93" w:rsidP="005F2AB9">
      <w:pPr>
        <w:pStyle w:val="SingleTxtG"/>
        <w:keepNext/>
        <w:ind w:left="2268" w:hanging="1134"/>
      </w:pPr>
      <w:r>
        <w:t>« 6.1.4</w:t>
      </w:r>
      <w:r>
        <w:tab/>
        <w:t>Une série d’échantillons soumise à l’homologation est considérée comme ayant donné un résultat positif si tous les échantillons satisfont aux prescriptions. ».</w:t>
      </w:r>
    </w:p>
    <w:p w:rsidR="00CE2F93" w:rsidRPr="00161B22" w:rsidRDefault="00CE2F93" w:rsidP="005F2AB9">
      <w:pPr>
        <w:pStyle w:val="SingleTxtG"/>
        <w:keepNext/>
      </w:pPr>
      <w:r>
        <w:rPr>
          <w:i/>
        </w:rPr>
        <w:t>Paragraphe 6.2.4</w:t>
      </w:r>
      <w:r>
        <w:t>,</w:t>
      </w:r>
      <w:r>
        <w:rPr>
          <w:i/>
        </w:rPr>
        <w:t xml:space="preserve"> </w:t>
      </w:r>
      <w:r>
        <w:t>lire :</w:t>
      </w:r>
    </w:p>
    <w:p w:rsidR="00CE2F93" w:rsidRPr="00161B22" w:rsidRDefault="00CE2F93" w:rsidP="005F2AB9">
      <w:pPr>
        <w:pStyle w:val="SingleTxtG"/>
        <w:keepNext/>
        <w:ind w:left="2268" w:hanging="1134"/>
      </w:pPr>
      <w:r>
        <w:t>« 6.2.4</w:t>
      </w:r>
      <w:r>
        <w:tab/>
        <w:t xml:space="preserve">Une série d’éprouvettes soumise à l’homologation est considérée comme satisfaisant à l’essai de résistance aux </w:t>
      </w:r>
      <w:r w:rsidRPr="00903C27">
        <w:t>intempéries,</w:t>
      </w:r>
      <w:r>
        <w:t xml:space="preserve"> si toutes les éprouvettes donnent un résultat satisfaisant. ».</w:t>
      </w:r>
    </w:p>
    <w:p w:rsidR="00CE2F93" w:rsidRPr="00161B22" w:rsidRDefault="00CE2F93" w:rsidP="00CE2F93">
      <w:pPr>
        <w:pStyle w:val="SingleTxtG"/>
      </w:pPr>
      <w:r>
        <w:rPr>
          <w:i/>
        </w:rPr>
        <w:t>Paragraphes 6.2.4.1 et 6.2.4.2</w:t>
      </w:r>
      <w:r>
        <w:t>, supprimer.</w:t>
      </w:r>
    </w:p>
    <w:p w:rsidR="00CE2F93" w:rsidRPr="00161B22" w:rsidRDefault="00CE2F93" w:rsidP="005F2AB9">
      <w:pPr>
        <w:pStyle w:val="SingleTxtG"/>
        <w:keepNext/>
      </w:pPr>
      <w:r>
        <w:rPr>
          <w:i/>
        </w:rPr>
        <w:t>Paragraphe 6.3.3.2</w:t>
      </w:r>
      <w:r>
        <w:t>, lire :</w:t>
      </w:r>
    </w:p>
    <w:p w:rsidR="00CE2F93" w:rsidRPr="00161B22" w:rsidRDefault="00CE2F93" w:rsidP="001A33BF">
      <w:pPr>
        <w:pStyle w:val="SingleTxtG"/>
        <w:ind w:left="2268" w:hanging="1134"/>
      </w:pPr>
      <w:r>
        <w:t>« 6.3.3.2</w:t>
      </w:r>
      <w:r>
        <w:tab/>
        <w:t>L’éprouvette soumise à l’homologation est considérée comme ayant satisfait à l’essai si l’essai donne un résultat positif. ».</w:t>
      </w:r>
    </w:p>
    <w:p w:rsidR="00CE2F93" w:rsidRPr="00161B22" w:rsidRDefault="00CE2F93" w:rsidP="00CE2F93">
      <w:pPr>
        <w:pStyle w:val="SingleTxtG"/>
      </w:pPr>
      <w:r>
        <w:rPr>
          <w:i/>
        </w:rPr>
        <w:t>Paragraphes 6.3.3.2.1 et 6.3.3.2.2</w:t>
      </w:r>
      <w:r>
        <w:t>, supprimer.</w:t>
      </w:r>
    </w:p>
    <w:p w:rsidR="00CE2F93" w:rsidRPr="00161B22" w:rsidRDefault="00CE2F93" w:rsidP="004F47E5">
      <w:pPr>
        <w:pStyle w:val="SingleTxtG"/>
        <w:keepNext/>
      </w:pPr>
      <w:r>
        <w:rPr>
          <w:i/>
        </w:rPr>
        <w:t>Paragraphe 6.4.2</w:t>
      </w:r>
      <w:r>
        <w:t>,</w:t>
      </w:r>
      <w:r>
        <w:rPr>
          <w:i/>
        </w:rPr>
        <w:t xml:space="preserve"> </w:t>
      </w:r>
      <w:r>
        <w:t>lire :</w:t>
      </w:r>
    </w:p>
    <w:p w:rsidR="00CE2F93" w:rsidRPr="00161B22" w:rsidRDefault="00CE2F93" w:rsidP="004F47E5">
      <w:pPr>
        <w:pStyle w:val="SingleTxtG"/>
        <w:keepNext/>
        <w:ind w:left="2268" w:hanging="1134"/>
      </w:pPr>
      <w:r>
        <w:t>« 6.4.2</w:t>
      </w:r>
      <w:r>
        <w:tab/>
        <w:t>Dix éprouvettes carrées ou 10 vitrages mesurant 300 x 300 mm de côté, ou dix pièces d’origine, sont soumis à l’essai. ».</w:t>
      </w:r>
    </w:p>
    <w:p w:rsidR="00CE2F93" w:rsidRPr="00161B22" w:rsidRDefault="00CE2F93" w:rsidP="004F47E5">
      <w:pPr>
        <w:pStyle w:val="SingleTxtG"/>
        <w:keepNext/>
      </w:pPr>
      <w:r>
        <w:rPr>
          <w:i/>
        </w:rPr>
        <w:t>Paragraphe 7.1</w:t>
      </w:r>
      <w:r>
        <w:t>, lire :</w:t>
      </w:r>
    </w:p>
    <w:p w:rsidR="00CE2F93" w:rsidRPr="00161B22" w:rsidRDefault="00CE2F93" w:rsidP="004F47E5">
      <w:pPr>
        <w:pStyle w:val="SingleTxtG"/>
        <w:keepNext/>
        <w:ind w:left="2268" w:hanging="1134"/>
      </w:pPr>
      <w:r>
        <w:t>« 7.1</w:t>
      </w:r>
      <w:r>
        <w:tab/>
        <w:t>Interprétation des résultats</w:t>
      </w:r>
    </w:p>
    <w:p w:rsidR="00CE2F93" w:rsidRPr="00161B22" w:rsidRDefault="004F47E5" w:rsidP="00C452D8">
      <w:pPr>
        <w:pStyle w:val="SingleTxtG"/>
        <w:ind w:left="2268"/>
      </w:pPr>
      <w:r>
        <w:tab/>
      </w:r>
      <w:r w:rsidR="00CE2F93">
        <w:t>Une série de quatre échantillons est considérée comme ayant donné un résultat positif si tous les échantillons donnent un résultat positif. ».</w:t>
      </w:r>
    </w:p>
    <w:p w:rsidR="00CE2F93" w:rsidRPr="00161B22" w:rsidRDefault="00CE2F93" w:rsidP="00CE2F93">
      <w:pPr>
        <w:pStyle w:val="SingleTxtG"/>
      </w:pPr>
      <w:r>
        <w:rPr>
          <w:i/>
        </w:rPr>
        <w:t>Paragraphes 7.1.1 et 7.1.2</w:t>
      </w:r>
      <w:r>
        <w:t>, supprimer.</w:t>
      </w:r>
    </w:p>
    <w:p w:rsidR="00CE2F93" w:rsidRPr="00161B22" w:rsidRDefault="00CE2F93" w:rsidP="004F47E5">
      <w:pPr>
        <w:pStyle w:val="SingleTxtG"/>
        <w:keepNext/>
      </w:pPr>
      <w:r>
        <w:rPr>
          <w:i/>
        </w:rPr>
        <w:t>Paragraphe 8.2.1</w:t>
      </w:r>
      <w:r>
        <w:t>,</w:t>
      </w:r>
      <w:r>
        <w:rPr>
          <w:i/>
        </w:rPr>
        <w:t xml:space="preserve"> </w:t>
      </w:r>
      <w:r>
        <w:t>lire :</w:t>
      </w:r>
    </w:p>
    <w:p w:rsidR="00CE2F93" w:rsidRPr="00161B22" w:rsidRDefault="00CE2F93" w:rsidP="004F47E5">
      <w:pPr>
        <w:pStyle w:val="SingleTxtG"/>
        <w:keepNext/>
        <w:ind w:left="2268" w:hanging="1134"/>
      </w:pPr>
      <w:r>
        <w:t>« 8.2.1</w:t>
      </w:r>
      <w:r>
        <w:tab/>
        <w:t>Aux fins de l’homologation, une série d’échantillons est considérée comme ayant donné un résultat positif si tous les échantillons donnent un résultat positif. ».</w:t>
      </w:r>
    </w:p>
    <w:p w:rsidR="00CE2F93" w:rsidRPr="00161B22" w:rsidRDefault="00CE2F93" w:rsidP="00CE2F93">
      <w:pPr>
        <w:pStyle w:val="SingleTxtG"/>
      </w:pPr>
      <w:r>
        <w:rPr>
          <w:i/>
        </w:rPr>
        <w:t>Paragraphes 8.2.1.1 et 8.2.1.2</w:t>
      </w:r>
      <w:r>
        <w:t>, supprimer.</w:t>
      </w:r>
    </w:p>
    <w:p w:rsidR="00CE2F93" w:rsidRPr="00161B22" w:rsidRDefault="00CE2F93" w:rsidP="004F47E5">
      <w:pPr>
        <w:pStyle w:val="SingleTxtG"/>
        <w:keepNext/>
      </w:pPr>
      <w:r>
        <w:rPr>
          <w:i/>
        </w:rPr>
        <w:t>Paragraphes 9.1 à 9.2.2</w:t>
      </w:r>
      <w:r>
        <w:t>, lire :</w:t>
      </w:r>
    </w:p>
    <w:p w:rsidR="00CE2F93" w:rsidRPr="00161B22" w:rsidRDefault="00CE2F93" w:rsidP="004F47E5">
      <w:pPr>
        <w:pStyle w:val="SingleTxtG"/>
        <w:keepNext/>
        <w:ind w:left="2268" w:hanging="1134"/>
      </w:pPr>
      <w:r>
        <w:t>« 9.1</w:t>
      </w:r>
      <w:r>
        <w:tab/>
        <w:t>Essai d’immersion</w:t>
      </w:r>
    </w:p>
    <w:p w:rsidR="00CE2F93" w:rsidRPr="00161B22" w:rsidRDefault="00CE2F93" w:rsidP="004F47E5">
      <w:pPr>
        <w:pStyle w:val="SingleTxtG"/>
        <w:keepNext/>
        <w:ind w:left="2268" w:hanging="1134"/>
      </w:pPr>
      <w:r>
        <w:t>9.1.1</w:t>
      </w:r>
      <w:r>
        <w:tab/>
        <w:t>Indices de difficulté et méthode d’essai</w:t>
      </w:r>
    </w:p>
    <w:p w:rsidR="00CE2F93" w:rsidRPr="00161B22" w:rsidRDefault="00903C27" w:rsidP="00903C27">
      <w:pPr>
        <w:pStyle w:val="SingleTxtG"/>
        <w:ind w:left="2268"/>
      </w:pPr>
      <w:r>
        <w:t>Les prescriptions du paragraphe </w:t>
      </w:r>
      <w:r w:rsidR="00CE2F93">
        <w:t>11.2.1 de l’annexe 3 s’appliquent.</w:t>
      </w:r>
    </w:p>
    <w:p w:rsidR="00CE2F93" w:rsidRPr="00161B22" w:rsidRDefault="00CE2F93" w:rsidP="004F47E5">
      <w:pPr>
        <w:pStyle w:val="SingleTxtG"/>
        <w:keepNext/>
        <w:ind w:left="2268" w:hanging="1134"/>
      </w:pPr>
      <w:r>
        <w:t>9.1.2</w:t>
      </w:r>
      <w:r>
        <w:tab/>
        <w:t>Interprétation des résultats</w:t>
      </w:r>
    </w:p>
    <w:p w:rsidR="00CE2F93" w:rsidRPr="00161B22" w:rsidRDefault="00CE2F93" w:rsidP="00C452D8">
      <w:pPr>
        <w:pStyle w:val="SingleTxtG"/>
        <w:ind w:left="2268"/>
      </w:pPr>
      <w:r>
        <w:t>Pour chaque agent chimique un jeu de quatre éprouvettes doit être soumis aux essais. Dans le cas des vitrages de la classe L, pour chaque agent chimique une de ces éprouvettes doit faire l’objet d’incisions croi</w:t>
      </w:r>
      <w:r w:rsidR="00C452D8">
        <w:t>sées conformément au paragraphe </w:t>
      </w:r>
      <w:r>
        <w:t>13 de l’</w:t>
      </w:r>
      <w:r w:rsidR="00C452D8">
        <w:t>annexe </w:t>
      </w:r>
      <w:r>
        <w:t>3.</w:t>
      </w:r>
    </w:p>
    <w:p w:rsidR="00CE2F93" w:rsidRPr="00161B22" w:rsidRDefault="00CE2F93" w:rsidP="00C452D8">
      <w:pPr>
        <w:pStyle w:val="SingleTxtG"/>
        <w:ind w:left="2268"/>
      </w:pPr>
      <w:r>
        <w:t>Trois éprouvettes sur quatre, dont celle qui a fait l’objet d’incisions croisées le cas échéant, doivent donner des résultats satisfaisants pour chaque agent chimique.</w:t>
      </w:r>
    </w:p>
    <w:p w:rsidR="00CE2F93" w:rsidRPr="00161B22" w:rsidRDefault="00CE2F93" w:rsidP="004F47E5">
      <w:pPr>
        <w:pStyle w:val="SingleTxtG"/>
        <w:keepNext/>
        <w:ind w:left="2268" w:hanging="1134"/>
      </w:pPr>
      <w:r>
        <w:t>9.2</w:t>
      </w:r>
      <w:r>
        <w:tab/>
        <w:t>Essai sous charge</w:t>
      </w:r>
    </w:p>
    <w:p w:rsidR="00CE2F93" w:rsidRPr="00161B22" w:rsidRDefault="00CE2F93" w:rsidP="004F47E5">
      <w:pPr>
        <w:pStyle w:val="SingleTxtG"/>
        <w:keepNext/>
        <w:ind w:left="2268" w:hanging="1134"/>
      </w:pPr>
      <w:r>
        <w:t>9.2.1</w:t>
      </w:r>
      <w:r>
        <w:tab/>
        <w:t xml:space="preserve">Indices de difficulté et méthode d’essai </w:t>
      </w:r>
    </w:p>
    <w:p w:rsidR="00CE2F93" w:rsidRPr="00161B22" w:rsidRDefault="00CE2F93" w:rsidP="00903C27">
      <w:pPr>
        <w:pStyle w:val="SingleTxtG"/>
        <w:ind w:left="2268"/>
      </w:pPr>
      <w:r>
        <w:t>Les prescriptions du paragraphe 11.2.4 de l’annexe 3 s’appliquent.</w:t>
      </w:r>
    </w:p>
    <w:p w:rsidR="00CE2F93" w:rsidRDefault="00CE2F93" w:rsidP="004F47E5">
      <w:pPr>
        <w:pStyle w:val="SingleTxtG"/>
        <w:keepNext/>
        <w:ind w:left="2268" w:hanging="1134"/>
      </w:pPr>
      <w:r>
        <w:t>9.2.2</w:t>
      </w:r>
      <w:r>
        <w:tab/>
        <w:t>Interprétation des résultats</w:t>
      </w:r>
    </w:p>
    <w:p w:rsidR="00CE2F93" w:rsidRPr="00161B22" w:rsidRDefault="00CE2F93" w:rsidP="00903C27">
      <w:pPr>
        <w:pStyle w:val="SingleTxtG"/>
        <w:ind w:left="2268"/>
      </w:pPr>
      <w:r>
        <w:t>Un jeu de quatre éprouvettes, autres que celles mentionnées au paragraphe 9.1 ci-dessus, doit être soumis à des essais pour chaque agent chimique.</w:t>
      </w:r>
    </w:p>
    <w:p w:rsidR="00CE2F93" w:rsidRPr="00161B22" w:rsidRDefault="00CE2F93" w:rsidP="00903C27">
      <w:pPr>
        <w:pStyle w:val="SingleTxtG"/>
        <w:ind w:left="2268"/>
      </w:pPr>
      <w:r>
        <w:t>Trois éprouvettes sur quatre doivent donner des résultats satisfaisants pour chaque agent chimique. ».</w:t>
      </w:r>
    </w:p>
    <w:p w:rsidR="00F9573C" w:rsidRPr="00CE2F93" w:rsidRDefault="00CE2F93" w:rsidP="00CE2F93">
      <w:pPr>
        <w:pStyle w:val="SingleTxtG"/>
        <w:spacing w:before="240" w:after="0"/>
        <w:jc w:val="center"/>
        <w:rPr>
          <w:u w:val="single"/>
        </w:rPr>
      </w:pPr>
      <w:r>
        <w:rPr>
          <w:u w:val="single"/>
        </w:rPr>
        <w:tab/>
      </w:r>
      <w:r>
        <w:rPr>
          <w:u w:val="single"/>
        </w:rPr>
        <w:tab/>
      </w:r>
      <w:r>
        <w:rPr>
          <w:u w:val="single"/>
        </w:rPr>
        <w:tab/>
      </w:r>
    </w:p>
    <w:sectPr w:rsidR="00F9573C" w:rsidRPr="00CE2F93" w:rsidSect="00CE2F9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35" w:rsidRDefault="00DE7635" w:rsidP="00F95C08">
      <w:pPr>
        <w:spacing w:line="240" w:lineRule="auto"/>
      </w:pPr>
    </w:p>
  </w:endnote>
  <w:endnote w:type="continuationSeparator" w:id="0">
    <w:p w:rsidR="00DE7635" w:rsidRPr="00AC3823" w:rsidRDefault="00DE7635" w:rsidP="00AC3823">
      <w:pPr>
        <w:pStyle w:val="Footer"/>
      </w:pPr>
    </w:p>
  </w:endnote>
  <w:endnote w:type="continuationNotice" w:id="1">
    <w:p w:rsidR="00DE7635" w:rsidRDefault="00DE76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5" w:rsidRPr="00CE2F93" w:rsidRDefault="00DE7635" w:rsidP="00CE2F93">
    <w:pPr>
      <w:pStyle w:val="Footer"/>
      <w:tabs>
        <w:tab w:val="right" w:pos="9638"/>
      </w:tabs>
    </w:pPr>
    <w:r w:rsidRPr="00CE2F93">
      <w:rPr>
        <w:b/>
        <w:sz w:val="18"/>
      </w:rPr>
      <w:fldChar w:fldCharType="begin"/>
    </w:r>
    <w:r w:rsidRPr="00CE2F93">
      <w:rPr>
        <w:b/>
        <w:sz w:val="18"/>
      </w:rPr>
      <w:instrText xml:space="preserve"> PAGE  \* MERGEFORMAT </w:instrText>
    </w:r>
    <w:r w:rsidRPr="00CE2F93">
      <w:rPr>
        <w:b/>
        <w:sz w:val="18"/>
      </w:rPr>
      <w:fldChar w:fldCharType="separate"/>
    </w:r>
    <w:r w:rsidR="001165DE">
      <w:rPr>
        <w:b/>
        <w:noProof/>
        <w:sz w:val="18"/>
      </w:rPr>
      <w:t>2</w:t>
    </w:r>
    <w:r w:rsidRPr="00CE2F93">
      <w:rPr>
        <w:b/>
        <w:sz w:val="18"/>
      </w:rPr>
      <w:fldChar w:fldCharType="end"/>
    </w:r>
    <w:r>
      <w:rPr>
        <w:b/>
        <w:sz w:val="18"/>
      </w:rPr>
      <w:tab/>
    </w:r>
    <w:r>
      <w:t>GE.16-22635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5" w:rsidRPr="00CE2F93" w:rsidRDefault="00DE7635" w:rsidP="00CE2F93">
    <w:pPr>
      <w:pStyle w:val="Footer"/>
      <w:tabs>
        <w:tab w:val="right" w:pos="9638"/>
      </w:tabs>
      <w:rPr>
        <w:b/>
        <w:sz w:val="18"/>
      </w:rPr>
    </w:pPr>
    <w:r>
      <w:t>GE.16-22635</w:t>
    </w:r>
    <w:r>
      <w:tab/>
    </w:r>
    <w:r w:rsidRPr="00CE2F93">
      <w:rPr>
        <w:b/>
        <w:sz w:val="18"/>
      </w:rPr>
      <w:fldChar w:fldCharType="begin"/>
    </w:r>
    <w:r w:rsidRPr="00CE2F93">
      <w:rPr>
        <w:b/>
        <w:sz w:val="18"/>
      </w:rPr>
      <w:instrText xml:space="preserve"> PAGE  \* MERGEFORMAT </w:instrText>
    </w:r>
    <w:r w:rsidRPr="00CE2F93">
      <w:rPr>
        <w:b/>
        <w:sz w:val="18"/>
      </w:rPr>
      <w:fldChar w:fldCharType="separate"/>
    </w:r>
    <w:r w:rsidR="001165DE">
      <w:rPr>
        <w:b/>
        <w:noProof/>
        <w:sz w:val="18"/>
      </w:rPr>
      <w:t>9</w:t>
    </w:r>
    <w:r w:rsidRPr="00CE2F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5" w:rsidRPr="00CE2F93" w:rsidRDefault="00DE7635" w:rsidP="00CE2F9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3CC4D69" wp14:editId="3FC28DA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16-22635  (F)    090117    160117</w:t>
    </w:r>
    <w:r>
      <w:rPr>
        <w:sz w:val="20"/>
      </w:rPr>
      <w:br/>
    </w:r>
    <w:r w:rsidRPr="00CE2F93">
      <w:rPr>
        <w:rFonts w:ascii="C39T30Lfz" w:hAnsi="C39T30Lfz"/>
        <w:sz w:val="56"/>
      </w:rPr>
      <w:t></w:t>
    </w:r>
    <w:r w:rsidRPr="00CE2F93">
      <w:rPr>
        <w:rFonts w:ascii="C39T30Lfz" w:hAnsi="C39T30Lfz"/>
        <w:sz w:val="56"/>
      </w:rPr>
      <w:t></w:t>
    </w:r>
    <w:r w:rsidRPr="00CE2F93">
      <w:rPr>
        <w:rFonts w:ascii="C39T30Lfz" w:hAnsi="C39T30Lfz"/>
        <w:sz w:val="56"/>
      </w:rPr>
      <w:t></w:t>
    </w:r>
    <w:r w:rsidRPr="00CE2F93">
      <w:rPr>
        <w:rFonts w:ascii="C39T30Lfz" w:hAnsi="C39T30Lfz"/>
        <w:sz w:val="56"/>
      </w:rPr>
      <w:t></w:t>
    </w:r>
    <w:r w:rsidRPr="00CE2F93">
      <w:rPr>
        <w:rFonts w:ascii="C39T30Lfz" w:hAnsi="C39T30Lfz"/>
        <w:sz w:val="56"/>
      </w:rPr>
      <w:t></w:t>
    </w:r>
    <w:r w:rsidRPr="00CE2F93">
      <w:rPr>
        <w:rFonts w:ascii="C39T30Lfz" w:hAnsi="C39T30Lfz"/>
        <w:sz w:val="56"/>
      </w:rPr>
      <w:t></w:t>
    </w:r>
    <w:r w:rsidRPr="00CE2F93">
      <w:rPr>
        <w:rFonts w:ascii="C39T30Lfz" w:hAnsi="C39T30Lfz"/>
        <w:sz w:val="56"/>
      </w:rPr>
      <w:t></w:t>
    </w:r>
    <w:r w:rsidRPr="00CE2F93">
      <w:rPr>
        <w:rFonts w:ascii="C39T30Lfz" w:hAnsi="C39T30Lfz"/>
        <w:sz w:val="56"/>
      </w:rPr>
      <w:t></w:t>
    </w:r>
    <w:r w:rsidRPr="00CE2F9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NS/WP.29/201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NS/WP.29/2017/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35" w:rsidRPr="00AC3823" w:rsidRDefault="00DE7635" w:rsidP="00AC3823">
      <w:pPr>
        <w:pStyle w:val="Footer"/>
        <w:tabs>
          <w:tab w:val="right" w:pos="2155"/>
        </w:tabs>
        <w:spacing w:after="80" w:line="240" w:lineRule="atLeast"/>
        <w:ind w:left="680"/>
        <w:rPr>
          <w:u w:val="single"/>
        </w:rPr>
      </w:pPr>
      <w:r>
        <w:rPr>
          <w:u w:val="single"/>
        </w:rPr>
        <w:tab/>
      </w:r>
    </w:p>
  </w:footnote>
  <w:footnote w:type="continuationSeparator" w:id="0">
    <w:p w:rsidR="00DE7635" w:rsidRPr="00AC3823" w:rsidRDefault="00DE7635" w:rsidP="00AC3823">
      <w:pPr>
        <w:pStyle w:val="Footer"/>
        <w:tabs>
          <w:tab w:val="right" w:pos="2155"/>
        </w:tabs>
        <w:spacing w:after="80" w:line="240" w:lineRule="atLeast"/>
        <w:ind w:left="680"/>
        <w:rPr>
          <w:u w:val="single"/>
        </w:rPr>
      </w:pPr>
      <w:r>
        <w:rPr>
          <w:u w:val="single"/>
        </w:rPr>
        <w:tab/>
      </w:r>
    </w:p>
  </w:footnote>
  <w:footnote w:type="continuationNotice" w:id="1">
    <w:p w:rsidR="00DE7635" w:rsidRPr="00AC3823" w:rsidRDefault="00DE7635">
      <w:pPr>
        <w:spacing w:line="240" w:lineRule="auto"/>
        <w:rPr>
          <w:sz w:val="2"/>
          <w:szCs w:val="2"/>
        </w:rPr>
      </w:pPr>
    </w:p>
  </w:footnote>
  <w:footnote w:id="2">
    <w:p w:rsidR="00DE7635" w:rsidRPr="00706101" w:rsidRDefault="00DE7635" w:rsidP="00CE2F93">
      <w:pPr>
        <w:pStyle w:val="FootnoteText"/>
      </w:pPr>
      <w:r>
        <w:tab/>
        <w:t>*</w:t>
      </w:r>
      <w:r>
        <w:tab/>
        <w:t>Conformément 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5" w:rsidRPr="00CE2F93" w:rsidRDefault="00DE7635">
    <w:pPr>
      <w:pStyle w:val="Header"/>
    </w:pPr>
    <w:r>
      <w:t>ECE/TRANS/WP.29/2017/12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35" w:rsidRPr="00CE2F93" w:rsidRDefault="00DE7635" w:rsidP="00CE2F93">
    <w:pPr>
      <w:pStyle w:val="Header"/>
      <w:jc w:val="right"/>
    </w:pPr>
    <w:r>
      <w:t>ECE/TRANS/WP.29/2017/12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16"/>
    <w:rsid w:val="00017F94"/>
    <w:rsid w:val="00023842"/>
    <w:rsid w:val="000334F9"/>
    <w:rsid w:val="0007796D"/>
    <w:rsid w:val="000B7790"/>
    <w:rsid w:val="00111F2F"/>
    <w:rsid w:val="001165DE"/>
    <w:rsid w:val="0014321A"/>
    <w:rsid w:val="0014365E"/>
    <w:rsid w:val="00143C66"/>
    <w:rsid w:val="00176178"/>
    <w:rsid w:val="001A33BF"/>
    <w:rsid w:val="001F525A"/>
    <w:rsid w:val="00223272"/>
    <w:rsid w:val="0024779E"/>
    <w:rsid w:val="00257168"/>
    <w:rsid w:val="002744B8"/>
    <w:rsid w:val="002832AC"/>
    <w:rsid w:val="002D7C93"/>
    <w:rsid w:val="00305801"/>
    <w:rsid w:val="003916DE"/>
    <w:rsid w:val="003D7816"/>
    <w:rsid w:val="00441C3B"/>
    <w:rsid w:val="00446FE5"/>
    <w:rsid w:val="00452396"/>
    <w:rsid w:val="004837D8"/>
    <w:rsid w:val="004E468C"/>
    <w:rsid w:val="004F47E5"/>
    <w:rsid w:val="0052079A"/>
    <w:rsid w:val="005505B7"/>
    <w:rsid w:val="00573BE5"/>
    <w:rsid w:val="00586ED3"/>
    <w:rsid w:val="00596AA9"/>
    <w:rsid w:val="005F2AB9"/>
    <w:rsid w:val="0071601D"/>
    <w:rsid w:val="00732625"/>
    <w:rsid w:val="007A62E6"/>
    <w:rsid w:val="007F20FA"/>
    <w:rsid w:val="0080684C"/>
    <w:rsid w:val="00871C75"/>
    <w:rsid w:val="008776DC"/>
    <w:rsid w:val="00903C27"/>
    <w:rsid w:val="009705C8"/>
    <w:rsid w:val="009C1CF4"/>
    <w:rsid w:val="009F6B74"/>
    <w:rsid w:val="00A30353"/>
    <w:rsid w:val="00AC3823"/>
    <w:rsid w:val="00AE323C"/>
    <w:rsid w:val="00AF0CB5"/>
    <w:rsid w:val="00B00181"/>
    <w:rsid w:val="00B00B0D"/>
    <w:rsid w:val="00B765F7"/>
    <w:rsid w:val="00BA0CA9"/>
    <w:rsid w:val="00C02897"/>
    <w:rsid w:val="00C452D8"/>
    <w:rsid w:val="00CE2F93"/>
    <w:rsid w:val="00D3439C"/>
    <w:rsid w:val="00DB1831"/>
    <w:rsid w:val="00DD3BFD"/>
    <w:rsid w:val="00DE7635"/>
    <w:rsid w:val="00DF6678"/>
    <w:rsid w:val="00E85C74"/>
    <w:rsid w:val="00EA6547"/>
    <w:rsid w:val="00EC146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15BFEA-4D2B-42D2-9FF6-340D0885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E2F93"/>
    <w:rPr>
      <w:rFonts w:ascii="Times New Roman" w:hAnsi="Times New Roman" w:cs="Times New Roman"/>
      <w:sz w:val="20"/>
      <w:szCs w:val="20"/>
      <w:lang w:eastAsia="en-US"/>
    </w:rPr>
  </w:style>
  <w:style w:type="character" w:customStyle="1" w:styleId="HChGChar">
    <w:name w:val="_ H _Ch_G Char"/>
    <w:link w:val="HChG"/>
    <w:rsid w:val="00CE2F93"/>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2464</Words>
  <Characters>14048</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ECE/TRNS/WP.29/2017/12</vt:lpstr>
      <vt:lpstr>ECE/TRNS/WP.29/2017/12</vt:lpstr>
    </vt:vector>
  </TitlesOfParts>
  <Company>DCM</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ECE/TRNS/WP.29/2017/12</dc:title>
  <dc:subject>final</dc:subject>
  <dc:creator>Beaunee</dc:creator>
  <cp:keywords/>
  <dc:description/>
  <cp:lastModifiedBy>Lucille</cp:lastModifiedBy>
  <cp:revision>2</cp:revision>
  <cp:lastPrinted>2017-01-16T13:37:00Z</cp:lastPrinted>
  <dcterms:created xsi:type="dcterms:W3CDTF">2017-01-18T09:39:00Z</dcterms:created>
  <dcterms:modified xsi:type="dcterms:W3CDTF">2017-01-18T09:39:00Z</dcterms:modified>
</cp:coreProperties>
</file>