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C60AF">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C60AF" w:rsidP="007C60AF">
            <w:pPr>
              <w:jc w:val="right"/>
            </w:pPr>
            <w:r w:rsidRPr="007C60AF">
              <w:rPr>
                <w:sz w:val="40"/>
              </w:rPr>
              <w:t>ECE</w:t>
            </w:r>
            <w:r>
              <w:t>/TRANS/WP.29/2017/7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C60AF" w:rsidP="00892A2F">
            <w:pPr>
              <w:spacing w:before="240"/>
            </w:pPr>
            <w:r>
              <w:t>Distr. générale</w:t>
            </w:r>
          </w:p>
          <w:p w:rsidR="007C60AF" w:rsidRDefault="007C60AF" w:rsidP="007C60AF">
            <w:pPr>
              <w:spacing w:line="240" w:lineRule="exact"/>
            </w:pPr>
            <w:r>
              <w:t>21 décembre 2016</w:t>
            </w:r>
          </w:p>
          <w:p w:rsidR="007C60AF" w:rsidRDefault="007C60AF" w:rsidP="007C60AF">
            <w:pPr>
              <w:spacing w:line="240" w:lineRule="exact"/>
            </w:pPr>
            <w:r>
              <w:t>Français</w:t>
            </w:r>
          </w:p>
          <w:p w:rsidR="007C60AF" w:rsidRPr="00DB58B5" w:rsidRDefault="007C60AF" w:rsidP="007C60A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F3880" w:rsidRDefault="00CF388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F3880" w:rsidRDefault="00CF3880" w:rsidP="00AF0CB5">
      <w:pPr>
        <w:spacing w:before="120" w:line="240" w:lineRule="exact"/>
        <w:rPr>
          <w:b/>
        </w:rPr>
      </w:pPr>
      <w:r>
        <w:rPr>
          <w:b/>
        </w:rPr>
        <w:t>171</w:t>
      </w:r>
      <w:r w:rsidRPr="00CF3880">
        <w:rPr>
          <w:b/>
          <w:vertAlign w:val="superscript"/>
        </w:rPr>
        <w:t>e</w:t>
      </w:r>
      <w:r>
        <w:rPr>
          <w:b/>
        </w:rPr>
        <w:t> session</w:t>
      </w:r>
    </w:p>
    <w:p w:rsidR="00CF3880" w:rsidRDefault="00CF3880" w:rsidP="00AF0CB5">
      <w:pPr>
        <w:spacing w:line="240" w:lineRule="exact"/>
      </w:pPr>
      <w:r>
        <w:t xml:space="preserve">Genève, </w:t>
      </w:r>
      <w:r>
        <w:rPr>
          <w:lang w:val="fr-FR"/>
        </w:rPr>
        <w:t>14-17 mars 2017</w:t>
      </w:r>
    </w:p>
    <w:p w:rsidR="00CF3880" w:rsidRDefault="00CF3880" w:rsidP="00AF0CB5">
      <w:pPr>
        <w:spacing w:line="240" w:lineRule="exact"/>
      </w:pPr>
      <w:r>
        <w:t xml:space="preserve">Point </w:t>
      </w:r>
      <w:r>
        <w:rPr>
          <w:lang w:val="fr-FR"/>
        </w:rPr>
        <w:t>4.6.6 de l’ordre du jour provisoire</w:t>
      </w:r>
    </w:p>
    <w:p w:rsidR="00CF3880" w:rsidRPr="00CF3880" w:rsidRDefault="00CF3880" w:rsidP="00CF3880">
      <w:pPr>
        <w:rPr>
          <w:b/>
        </w:rPr>
      </w:pPr>
      <w:r w:rsidRPr="00CF3880">
        <w:rPr>
          <w:b/>
          <w:lang w:val="fr-FR"/>
        </w:rPr>
        <w:t>Accord de 1958</w:t>
      </w:r>
      <w:r>
        <w:rPr>
          <w:b/>
          <w:lang w:val="fr-FR"/>
        </w:rPr>
        <w:t> </w:t>
      </w:r>
      <w:r w:rsidRPr="00CF3880">
        <w:rPr>
          <w:b/>
          <w:lang w:val="fr-FR"/>
        </w:rPr>
        <w:t>: Examen de projets d’amendements</w:t>
      </w:r>
    </w:p>
    <w:p w:rsidR="00F9573C" w:rsidRDefault="00CF3880" w:rsidP="00CF3880">
      <w:pPr>
        <w:rPr>
          <w:b/>
          <w:lang w:val="fr-FR"/>
        </w:rPr>
      </w:pPr>
      <w:r w:rsidRPr="00CF3880">
        <w:rPr>
          <w:b/>
          <w:lang w:val="fr-FR"/>
        </w:rPr>
        <w:t>à des Règlements existants, proposés par le GRB</w:t>
      </w:r>
    </w:p>
    <w:p w:rsidR="00CF3880" w:rsidRPr="00F76C85" w:rsidRDefault="00CF3880" w:rsidP="00CF3880">
      <w:pPr>
        <w:pStyle w:val="HChG"/>
        <w:rPr>
          <w:szCs w:val="28"/>
        </w:rPr>
      </w:pPr>
      <w:r>
        <w:rPr>
          <w:lang w:val="fr-FR"/>
        </w:rPr>
        <w:tab/>
      </w:r>
      <w:r>
        <w:rPr>
          <w:lang w:val="fr-FR"/>
        </w:rPr>
        <w:tab/>
        <w:t xml:space="preserve">Proposition de série 01 d’amendements au Règlement </w:t>
      </w:r>
      <w:r>
        <w:rPr>
          <w:lang w:val="fr-FR"/>
        </w:rPr>
        <w:br/>
      </w:r>
      <w:r w:rsidRPr="00CF3880">
        <w:rPr>
          <w:rFonts w:eastAsia="MS Mincho"/>
          <w:szCs w:val="22"/>
          <w:lang w:val="fr-FR"/>
        </w:rPr>
        <w:t>n</w:t>
      </w:r>
      <w:r w:rsidRPr="00CF3880">
        <w:rPr>
          <w:rFonts w:eastAsia="MS Mincho"/>
          <w:szCs w:val="22"/>
          <w:vertAlign w:val="superscript"/>
          <w:lang w:val="fr-FR"/>
        </w:rPr>
        <w:t>o</w:t>
      </w:r>
      <w:r>
        <w:rPr>
          <w:lang w:val="fr-FR"/>
        </w:rPr>
        <w:t> 138 (Véhicules à moteur silencieux)</w:t>
      </w:r>
    </w:p>
    <w:p w:rsidR="00CF3880" w:rsidRPr="00B74FCB" w:rsidRDefault="00CF3880" w:rsidP="00CF3880">
      <w:pPr>
        <w:pStyle w:val="H1G"/>
      </w:pPr>
      <w:r>
        <w:rPr>
          <w:lang w:val="fr-FR"/>
        </w:rPr>
        <w:tab/>
      </w:r>
      <w:r>
        <w:rPr>
          <w:lang w:val="fr-FR"/>
        </w:rPr>
        <w:tab/>
        <w:t>Communication du Groupe de travail du bruit</w:t>
      </w:r>
      <w:r w:rsidRPr="00CF3880">
        <w:rPr>
          <w:rStyle w:val="FootnoteReference"/>
          <w:b w:val="0"/>
          <w:sz w:val="20"/>
          <w:vertAlign w:val="baseline"/>
        </w:rPr>
        <w:footnoteReference w:customMarkFollows="1" w:id="2"/>
        <w:t>*</w:t>
      </w:r>
    </w:p>
    <w:p w:rsidR="00CF3880" w:rsidRDefault="00CF3880" w:rsidP="00CF3880">
      <w:pPr>
        <w:pStyle w:val="SingleTxtG"/>
        <w:ind w:firstLine="567"/>
        <w:rPr>
          <w:lang w:val="fr-FR"/>
        </w:rPr>
      </w:pPr>
      <w:r>
        <w:rPr>
          <w:lang w:val="fr-FR"/>
        </w:rPr>
        <w:t>Le texte ci-après a été adopté par le Groupe de travail du bruit (GRB) à sa soixante-quatrième session (ECE/TRANS/WP.29/GRB/62, par. 22). Il a été établi sur la base de l’annexe IV du rapport. Il est soumis au Forum mondial de l’harmonisation des Règlements concernant les véhicules (WP.29) et au Comité d’administration AC.1 pour examen à leur session de mars 2017.</w:t>
      </w:r>
    </w:p>
    <w:p w:rsidR="00CF3880" w:rsidRPr="00CF3880" w:rsidRDefault="00CF3880" w:rsidP="00CF3880">
      <w:pPr>
        <w:pStyle w:val="HChG"/>
      </w:pPr>
      <w:r>
        <w:rPr>
          <w:lang w:val="fr-FR"/>
        </w:rPr>
        <w:br w:type="page"/>
      </w:r>
      <w:r w:rsidRPr="00CF3880">
        <w:rPr>
          <w:lang w:val="fr-FR"/>
        </w:rPr>
        <w:lastRenderedPageBreak/>
        <w:tab/>
      </w:r>
      <w:r w:rsidRPr="00CF3880">
        <w:rPr>
          <w:lang w:val="fr-FR"/>
        </w:rPr>
        <w:tab/>
        <w:t xml:space="preserve">Complément 1 au Règlement </w:t>
      </w:r>
      <w:r w:rsidRPr="00CF3880">
        <w:rPr>
          <w:rFonts w:eastAsia="MS Mincho"/>
          <w:szCs w:val="22"/>
          <w:lang w:val="fr-FR"/>
        </w:rPr>
        <w:t>n</w:t>
      </w:r>
      <w:r w:rsidRPr="00CF3880">
        <w:rPr>
          <w:rFonts w:eastAsia="MS Mincho"/>
          <w:szCs w:val="22"/>
          <w:vertAlign w:val="superscript"/>
          <w:lang w:val="fr-FR"/>
        </w:rPr>
        <w:t>o</w:t>
      </w:r>
      <w:r>
        <w:rPr>
          <w:lang w:val="fr-FR"/>
        </w:rPr>
        <w:t> </w:t>
      </w:r>
      <w:r w:rsidRPr="00CF3880">
        <w:rPr>
          <w:lang w:val="fr-FR"/>
        </w:rPr>
        <w:t xml:space="preserve">138 (Véhicules à moteur silencieux) </w:t>
      </w:r>
    </w:p>
    <w:p w:rsidR="00CF3880" w:rsidRPr="00CF3880" w:rsidRDefault="00CF3880" w:rsidP="00CF3880">
      <w:pPr>
        <w:pStyle w:val="SingleTxtG"/>
        <w:rPr>
          <w:i/>
          <w:lang w:val="fr-FR"/>
        </w:rPr>
      </w:pPr>
      <w:r w:rsidRPr="00CF3880">
        <w:rPr>
          <w:i/>
          <w:lang w:val="fr-FR"/>
        </w:rPr>
        <w:t>Paragraphe 1</w:t>
      </w:r>
      <w:r w:rsidRPr="00CF3880">
        <w:rPr>
          <w:lang w:val="fr-FR"/>
        </w:rPr>
        <w:t>, modifier comme suit :</w:t>
      </w:r>
    </w:p>
    <w:p w:rsidR="00CF3880" w:rsidRPr="00CF3880" w:rsidRDefault="00CF3880" w:rsidP="00CF3880">
      <w:pPr>
        <w:pStyle w:val="HChG"/>
      </w:pPr>
      <w:r>
        <w:rPr>
          <w:lang w:val="fr-FR"/>
        </w:rPr>
        <w:tab/>
      </w:r>
      <w:r>
        <w:rPr>
          <w:lang w:val="fr-FR"/>
        </w:rPr>
        <w:tab/>
      </w:r>
      <w:r w:rsidRPr="00CF3880">
        <w:rPr>
          <w:b w:val="0"/>
          <w:sz w:val="20"/>
          <w:lang w:val="fr-FR"/>
        </w:rPr>
        <w:t>« </w:t>
      </w:r>
      <w:r w:rsidRPr="00CF3880">
        <w:rPr>
          <w:lang w:val="fr-FR"/>
        </w:rPr>
        <w:t>1.</w:t>
      </w:r>
      <w:r w:rsidRPr="00CF3880">
        <w:rPr>
          <w:lang w:val="fr-FR"/>
        </w:rPr>
        <w:tab/>
      </w:r>
      <w:r>
        <w:rPr>
          <w:lang w:val="fr-FR"/>
        </w:rPr>
        <w:tab/>
      </w:r>
      <w:r w:rsidRPr="00CF3880">
        <w:rPr>
          <w:lang w:val="fr-FR"/>
        </w:rPr>
        <w:t>Domaine d’application</w:t>
      </w:r>
    </w:p>
    <w:p w:rsidR="00CF3880" w:rsidRPr="00CF3880" w:rsidRDefault="00CF3880" w:rsidP="00CF3880">
      <w:pPr>
        <w:pStyle w:val="SingleTxtG"/>
        <w:ind w:left="2268"/>
      </w:pPr>
      <w:r w:rsidRPr="00CF3880">
        <w:rPr>
          <w:lang w:val="fr-FR"/>
        </w:rPr>
        <w:t>Le présent Règlement s’applique aux véhic</w:t>
      </w:r>
      <w:r>
        <w:rPr>
          <w:lang w:val="fr-FR"/>
        </w:rPr>
        <w:t xml:space="preserve">ules électriques des catégories </w:t>
      </w:r>
      <w:r w:rsidRPr="00CF3880">
        <w:rPr>
          <w:lang w:val="fr-FR"/>
        </w:rPr>
        <w:t>M et N qui peuvent se mouvoir de manière normale, en marche arrière ou au moins dans un rapport de marche avant, sans qu’un moteur à combustion interne soit en cours de fonctionnement</w:t>
      </w:r>
      <w:r w:rsidR="00C96C6B" w:rsidRPr="00C96C6B">
        <w:rPr>
          <w:sz w:val="18"/>
          <w:szCs w:val="18"/>
          <w:vertAlign w:val="superscript"/>
          <w:lang w:val="fr-FR"/>
        </w:rPr>
        <w:t>1</w:t>
      </w:r>
      <w:r w:rsidRPr="00CF3880">
        <w:rPr>
          <w:lang w:val="fr-FR"/>
        </w:rPr>
        <w:t>, en ce qui concerne leur audibilité.</w:t>
      </w:r>
      <w:r w:rsidR="00DA44E1">
        <w:rPr>
          <w:lang w:val="fr-FR"/>
        </w:rPr>
        <w:t> ».</w:t>
      </w:r>
    </w:p>
    <w:p w:rsidR="00CF3880" w:rsidRPr="00CF3880" w:rsidRDefault="00CF3880" w:rsidP="00CF3880">
      <w:pPr>
        <w:pStyle w:val="SingleTxtG"/>
        <w:rPr>
          <w:lang w:val="fr-FR"/>
        </w:rPr>
      </w:pPr>
      <w:r w:rsidRPr="00DA44E1">
        <w:rPr>
          <w:i/>
          <w:lang w:val="fr-FR"/>
        </w:rPr>
        <w:t>Paragraphe 2.7</w:t>
      </w:r>
      <w:r w:rsidRPr="00CF3880">
        <w:rPr>
          <w:lang w:val="fr-FR"/>
        </w:rPr>
        <w:t>, modifier comme suit</w:t>
      </w:r>
      <w:r w:rsidR="00DA44E1">
        <w:rPr>
          <w:lang w:val="fr-FR"/>
        </w:rPr>
        <w:t> </w:t>
      </w:r>
      <w:r w:rsidRPr="00CF3880">
        <w:rPr>
          <w:lang w:val="fr-FR"/>
        </w:rPr>
        <w:t>:</w:t>
      </w:r>
    </w:p>
    <w:p w:rsidR="00CF3880" w:rsidRPr="00CF3880" w:rsidRDefault="00DA44E1" w:rsidP="00DA44E1">
      <w:pPr>
        <w:pStyle w:val="SingleTxtG"/>
        <w:ind w:left="2268" w:hanging="1134"/>
        <w:rPr>
          <w:lang w:val="fr-FR"/>
        </w:rPr>
      </w:pPr>
      <w:r>
        <w:rPr>
          <w:lang w:val="fr-FR"/>
        </w:rPr>
        <w:t>« 2.7</w:t>
      </w:r>
      <w:r w:rsidR="00CF3880" w:rsidRPr="00CF3880">
        <w:rPr>
          <w:lang w:val="fr-FR"/>
        </w:rPr>
        <w:tab/>
      </w:r>
      <w:r>
        <w:rPr>
          <w:lang w:val="fr-FR"/>
        </w:rPr>
        <w:t>“</w:t>
      </w:r>
      <w:r w:rsidR="00CF3880" w:rsidRPr="00CF3880">
        <w:rPr>
          <w:lang w:val="fr-FR"/>
        </w:rPr>
        <w:t>Commande de pause</w:t>
      </w:r>
      <w:r>
        <w:rPr>
          <w:lang w:val="fr-FR"/>
        </w:rPr>
        <w:t>”</w:t>
      </w:r>
      <w:r w:rsidR="00CF3880" w:rsidRPr="00CF3880">
        <w:rPr>
          <w:lang w:val="fr-FR"/>
        </w:rPr>
        <w:t>, une commande permettant au conducteur d’arrêter le fonctionnement d’un système avertisseur sonore.</w:t>
      </w:r>
      <w:r>
        <w:rPr>
          <w:lang w:val="fr-FR"/>
        </w:rPr>
        <w:t> ».</w:t>
      </w:r>
    </w:p>
    <w:p w:rsidR="00CF3880" w:rsidRPr="00CF3880" w:rsidRDefault="00CF3880" w:rsidP="00CF3880">
      <w:pPr>
        <w:pStyle w:val="SingleTxtG"/>
        <w:rPr>
          <w:lang w:val="fr-FR"/>
        </w:rPr>
      </w:pPr>
      <w:r w:rsidRPr="00DA44E1">
        <w:rPr>
          <w:i/>
          <w:lang w:val="fr-FR"/>
        </w:rPr>
        <w:t>Paragraphe 6.2.6</w:t>
      </w:r>
      <w:r w:rsidRPr="00CF3880">
        <w:rPr>
          <w:lang w:val="fr-FR"/>
        </w:rPr>
        <w:t>, modifier comme suit</w:t>
      </w:r>
      <w:r w:rsidR="00DA44E1">
        <w:rPr>
          <w:lang w:val="fr-FR"/>
        </w:rPr>
        <w:t> </w:t>
      </w:r>
      <w:r w:rsidRPr="00CF3880">
        <w:rPr>
          <w:lang w:val="fr-FR"/>
        </w:rPr>
        <w:t>:</w:t>
      </w:r>
    </w:p>
    <w:p w:rsidR="00CF3880" w:rsidRPr="00CF3880" w:rsidRDefault="00DA44E1" w:rsidP="00CF3880">
      <w:pPr>
        <w:pStyle w:val="SingleTxtG"/>
        <w:rPr>
          <w:lang w:val="fr-FR"/>
        </w:rPr>
      </w:pPr>
      <w:r>
        <w:rPr>
          <w:lang w:val="fr-FR"/>
        </w:rPr>
        <w:t>« 6.2.6</w:t>
      </w:r>
      <w:r>
        <w:rPr>
          <w:lang w:val="fr-FR"/>
        </w:rPr>
        <w:tab/>
      </w:r>
      <w:r w:rsidR="00CF3880" w:rsidRPr="00CF3880">
        <w:rPr>
          <w:lang w:val="fr-FR"/>
        </w:rPr>
        <w:tab/>
        <w:t>Commande de pause</w:t>
      </w:r>
    </w:p>
    <w:p w:rsidR="00CF3880" w:rsidRPr="00CF3880" w:rsidRDefault="00CF3880" w:rsidP="00DA44E1">
      <w:pPr>
        <w:pStyle w:val="SingleTxtG"/>
        <w:ind w:left="2268"/>
        <w:rPr>
          <w:lang w:val="fr-FR"/>
        </w:rPr>
      </w:pPr>
      <w:r w:rsidRPr="00CF3880">
        <w:rPr>
          <w:lang w:val="fr-FR"/>
        </w:rPr>
        <w:tab/>
        <w:t>Toute commande de pause telle que définie au paragraphe 2.7 est interdite.</w:t>
      </w:r>
      <w:r w:rsidR="001F20BE">
        <w:rPr>
          <w:lang w:val="fr-FR"/>
        </w:rPr>
        <w:t> ».</w:t>
      </w:r>
    </w:p>
    <w:p w:rsidR="00CF3880" w:rsidRPr="00CF3880" w:rsidRDefault="00CF3880" w:rsidP="00CF3880">
      <w:pPr>
        <w:pStyle w:val="SingleTxtG"/>
        <w:rPr>
          <w:lang w:val="fr-FR"/>
        </w:rPr>
      </w:pPr>
      <w:r w:rsidRPr="00DA44E1">
        <w:rPr>
          <w:i/>
          <w:lang w:val="fr-FR"/>
        </w:rPr>
        <w:t>Paragraphe 11</w:t>
      </w:r>
      <w:r w:rsidRPr="00CF3880">
        <w:rPr>
          <w:lang w:val="fr-FR"/>
        </w:rPr>
        <w:t>, modifier comme suit :</w:t>
      </w:r>
    </w:p>
    <w:p w:rsidR="00CF3880" w:rsidRPr="00CF3880" w:rsidRDefault="00DA44E1" w:rsidP="00DA44E1">
      <w:pPr>
        <w:pStyle w:val="HChG"/>
      </w:pPr>
      <w:r>
        <w:rPr>
          <w:lang w:val="fr-FR"/>
        </w:rPr>
        <w:tab/>
      </w:r>
      <w:r>
        <w:rPr>
          <w:lang w:val="fr-FR"/>
        </w:rPr>
        <w:tab/>
      </w:r>
      <w:r w:rsidRPr="00DA44E1">
        <w:rPr>
          <w:b w:val="0"/>
          <w:sz w:val="20"/>
          <w:lang w:val="fr-FR"/>
        </w:rPr>
        <w:t>« </w:t>
      </w:r>
      <w:r>
        <w:rPr>
          <w:lang w:val="fr-FR"/>
        </w:rPr>
        <w:t>11.</w:t>
      </w:r>
      <w:r>
        <w:rPr>
          <w:lang w:val="fr-FR"/>
        </w:rPr>
        <w:tab/>
      </w:r>
      <w:r>
        <w:rPr>
          <w:lang w:val="fr-FR"/>
        </w:rPr>
        <w:tab/>
      </w:r>
      <w:r w:rsidR="00CF3880" w:rsidRPr="00CF3880">
        <w:rPr>
          <w:lang w:val="fr-FR"/>
        </w:rPr>
        <w:t>Dispositions transitoires</w:t>
      </w:r>
    </w:p>
    <w:p w:rsidR="00CF3880" w:rsidRPr="00CF3880" w:rsidRDefault="00DA44E1" w:rsidP="00DA44E1">
      <w:pPr>
        <w:pStyle w:val="SingleTxtG"/>
        <w:ind w:left="2268" w:hanging="1134"/>
        <w:rPr>
          <w:bCs/>
          <w:iCs/>
          <w:lang w:val="fr-FR"/>
        </w:rPr>
      </w:pPr>
      <w:r>
        <w:rPr>
          <w:lang w:val="fr-FR"/>
        </w:rPr>
        <w:t>11.1</w:t>
      </w:r>
      <w:r w:rsidR="00CF3880" w:rsidRPr="00CF3880">
        <w:rPr>
          <w:lang w:val="fr-FR"/>
        </w:rPr>
        <w:tab/>
        <w:t>Jusqu’au 30 juin 2019, la norme ISO 10844:1994 peut être appliquée à la place de la norme ISO</w:t>
      </w:r>
      <w:r>
        <w:rPr>
          <w:lang w:val="fr-FR"/>
        </w:rPr>
        <w:t> </w:t>
      </w:r>
      <w:r w:rsidR="00CF3880" w:rsidRPr="00CF3880">
        <w:rPr>
          <w:lang w:val="fr-FR"/>
        </w:rPr>
        <w:t>10844:2014 pour vérifier la conformité de la piste d’essai comme prescrit au paragraphe</w:t>
      </w:r>
      <w:r>
        <w:rPr>
          <w:lang w:val="fr-FR"/>
        </w:rPr>
        <w:t xml:space="preserve"> 2.1.2 de l’annexe </w:t>
      </w:r>
      <w:r w:rsidR="00CF3880" w:rsidRPr="00CF3880">
        <w:rPr>
          <w:lang w:val="fr-FR"/>
        </w:rPr>
        <w:t>3 au présent Règlement.</w:t>
      </w:r>
    </w:p>
    <w:p w:rsidR="00CF3880" w:rsidRPr="00CF3880" w:rsidRDefault="00DA44E1" w:rsidP="00DA44E1">
      <w:pPr>
        <w:pStyle w:val="SingleTxtG"/>
        <w:ind w:left="2268" w:hanging="1134"/>
        <w:rPr>
          <w:bCs/>
          <w:iCs/>
          <w:lang w:val="fr-FR"/>
        </w:rPr>
      </w:pPr>
      <w:r>
        <w:rPr>
          <w:lang w:val="fr-FR"/>
        </w:rPr>
        <w:t>11.2</w:t>
      </w:r>
      <w:r w:rsidR="00CF3880" w:rsidRPr="00CF3880">
        <w:rPr>
          <w:lang w:val="fr-FR"/>
        </w:rPr>
        <w:tab/>
        <w:t>À compter de la date officielle d’entrée en vigueur de la série 01 d’amendements, aucune Partie contractante appliquant le présent Règlement ne pourra refuser d’accorder ou d’accepter une homologation de type en vertu du présent Règlement tel que modifié par la série 01 d’amendements.</w:t>
      </w:r>
    </w:p>
    <w:p w:rsidR="00CF3880" w:rsidRPr="00CF3880" w:rsidRDefault="00DA44E1" w:rsidP="00DA44E1">
      <w:pPr>
        <w:pStyle w:val="SingleTxtG"/>
        <w:ind w:left="2268" w:hanging="1134"/>
        <w:rPr>
          <w:bCs/>
          <w:iCs/>
          <w:lang w:val="fr-FR"/>
        </w:rPr>
      </w:pPr>
      <w:r>
        <w:rPr>
          <w:lang w:val="fr-FR"/>
        </w:rPr>
        <w:t>11.3</w:t>
      </w:r>
      <w:r w:rsidR="00CF3880" w:rsidRPr="00CF3880">
        <w:rPr>
          <w:lang w:val="fr-FR"/>
        </w:rPr>
        <w:tab/>
        <w:t>À compter du 1</w:t>
      </w:r>
      <w:r w:rsidR="00CF3880" w:rsidRPr="00DA44E1">
        <w:rPr>
          <w:vertAlign w:val="superscript"/>
          <w:lang w:val="fr-FR"/>
        </w:rPr>
        <w:t>er</w:t>
      </w:r>
      <w:r>
        <w:rPr>
          <w:lang w:val="fr-FR"/>
        </w:rPr>
        <w:t> </w:t>
      </w:r>
      <w:r w:rsidR="00CF3880" w:rsidRPr="00CF3880">
        <w:rPr>
          <w:lang w:val="fr-FR"/>
        </w:rPr>
        <w:t>septembre 2019, les Parties contractantes appliquant le présent Règlement ne seront plus tenues d’accepter des homologations de type délivrées au titre dudit Règlement sous sa forme initiale après le 1</w:t>
      </w:r>
      <w:r w:rsidR="00CF3880" w:rsidRPr="00DA44E1">
        <w:rPr>
          <w:vertAlign w:val="superscript"/>
          <w:lang w:val="fr-FR"/>
        </w:rPr>
        <w:t>er</w:t>
      </w:r>
      <w:r>
        <w:rPr>
          <w:lang w:val="fr-FR"/>
        </w:rPr>
        <w:t> </w:t>
      </w:r>
      <w:r w:rsidR="00CF3880" w:rsidRPr="00CF3880">
        <w:rPr>
          <w:lang w:val="fr-FR"/>
        </w:rPr>
        <w:t>septembre 2019.</w:t>
      </w:r>
    </w:p>
    <w:p w:rsidR="00CF3880" w:rsidRPr="00CF3880" w:rsidRDefault="00CF3880" w:rsidP="00DA44E1">
      <w:pPr>
        <w:pStyle w:val="SingleTxtG"/>
        <w:ind w:left="2268" w:hanging="1134"/>
        <w:rPr>
          <w:bCs/>
          <w:iCs/>
          <w:lang w:val="fr-FR"/>
        </w:rPr>
      </w:pPr>
      <w:r w:rsidRPr="00CF3880">
        <w:rPr>
          <w:lang w:val="fr-FR"/>
        </w:rPr>
        <w:t>11.4</w:t>
      </w:r>
      <w:r w:rsidRPr="00CF3880">
        <w:rPr>
          <w:lang w:val="fr-FR"/>
        </w:rPr>
        <w:tab/>
        <w:t>Jusqu’au 1</w:t>
      </w:r>
      <w:r w:rsidRPr="00DA44E1">
        <w:rPr>
          <w:vertAlign w:val="superscript"/>
          <w:lang w:val="fr-FR"/>
        </w:rPr>
        <w:t>er</w:t>
      </w:r>
      <w:r w:rsidR="00DA44E1">
        <w:rPr>
          <w:lang w:val="fr-FR"/>
        </w:rPr>
        <w:t> </w:t>
      </w:r>
      <w:r w:rsidRPr="00CF3880">
        <w:rPr>
          <w:lang w:val="fr-FR"/>
        </w:rPr>
        <w:t>septembre 2021, les Parties contractantes appliquant le présent Règlement sont tenues d’accepter les homologations de type délivrées au titre dudit Règlement sous sa forme initiale avant le 1</w:t>
      </w:r>
      <w:r w:rsidRPr="00DA44E1">
        <w:rPr>
          <w:vertAlign w:val="superscript"/>
          <w:lang w:val="fr-FR"/>
        </w:rPr>
        <w:t>er</w:t>
      </w:r>
      <w:r w:rsidR="00DA44E1">
        <w:rPr>
          <w:lang w:val="fr-FR"/>
        </w:rPr>
        <w:t> </w:t>
      </w:r>
      <w:r w:rsidRPr="00CF3880">
        <w:rPr>
          <w:lang w:val="fr-FR"/>
        </w:rPr>
        <w:t>septembre 2019.</w:t>
      </w:r>
    </w:p>
    <w:p w:rsidR="00CF3880" w:rsidRPr="00CF3880" w:rsidRDefault="00DA44E1" w:rsidP="00DA44E1">
      <w:pPr>
        <w:pStyle w:val="SingleTxtG"/>
        <w:ind w:left="2268" w:hanging="1134"/>
        <w:rPr>
          <w:bCs/>
          <w:iCs/>
          <w:lang w:val="fr-FR"/>
        </w:rPr>
      </w:pPr>
      <w:r>
        <w:rPr>
          <w:lang w:val="fr-FR"/>
        </w:rPr>
        <w:t>11.5</w:t>
      </w:r>
      <w:r w:rsidR="00CF3880" w:rsidRPr="00CF3880">
        <w:rPr>
          <w:lang w:val="fr-FR"/>
        </w:rPr>
        <w:tab/>
        <w:t>À compter du 1</w:t>
      </w:r>
      <w:r w:rsidR="00CF3880" w:rsidRPr="00DA44E1">
        <w:rPr>
          <w:vertAlign w:val="superscript"/>
          <w:lang w:val="fr-FR"/>
        </w:rPr>
        <w:t>er</w:t>
      </w:r>
      <w:r>
        <w:rPr>
          <w:lang w:val="fr-FR"/>
        </w:rPr>
        <w:t> </w:t>
      </w:r>
      <w:r w:rsidR="00CF3880" w:rsidRPr="00CF3880">
        <w:rPr>
          <w:lang w:val="fr-FR"/>
        </w:rPr>
        <w:t>septembre 2021, les Parties contractantes appliquant le présent Règlement ne seront plus tenues d’accepter des homologations de type délivrées au titre dudit Règlement sous sa forme initiale.</w:t>
      </w:r>
    </w:p>
    <w:p w:rsidR="00CF3880" w:rsidRPr="00CF3880" w:rsidRDefault="00DA44E1" w:rsidP="00DA44E1">
      <w:pPr>
        <w:pStyle w:val="SingleTxtG"/>
        <w:ind w:left="2268" w:hanging="1134"/>
        <w:rPr>
          <w:bCs/>
          <w:iCs/>
          <w:lang w:val="fr-FR"/>
        </w:rPr>
      </w:pPr>
      <w:r>
        <w:rPr>
          <w:lang w:val="fr-FR"/>
        </w:rPr>
        <w:t>11.6</w:t>
      </w:r>
      <w:r w:rsidR="00CF3880" w:rsidRPr="00CF3880">
        <w:rPr>
          <w:lang w:val="fr-FR"/>
        </w:rPr>
        <w:tab/>
        <w:t>Nonobstant les dispositions des paragraphes 11.3 à 11.5 ci-dessus, les homologations de type délivrées au titre présent Règlement sous sa forme initiale qui ne sont pas concernées par la série 01 d’amendements demeurent valables et les Parties contractantes appliquant ledit Règlement doivent continuer de les accepter.</w:t>
      </w:r>
    </w:p>
    <w:p w:rsidR="00CF3880" w:rsidRPr="00CF3880" w:rsidRDefault="00DA44E1" w:rsidP="00DA44E1">
      <w:pPr>
        <w:pStyle w:val="SingleTxtG"/>
        <w:ind w:left="2268" w:hanging="1134"/>
        <w:rPr>
          <w:bCs/>
          <w:iCs/>
          <w:lang w:val="fr-FR"/>
        </w:rPr>
      </w:pPr>
      <w:r>
        <w:rPr>
          <w:lang w:val="fr-FR"/>
        </w:rPr>
        <w:lastRenderedPageBreak/>
        <w:t>11.7</w:t>
      </w:r>
      <w:r w:rsidR="00CF3880" w:rsidRPr="00CF3880">
        <w:rPr>
          <w:lang w:val="fr-FR"/>
        </w:rPr>
        <w:tab/>
        <w:t>Nonobstant les dispositions transitoires ci-dessus, les Parties contractantes pour lesquelles le présent Règlement entre en vigueur à une date ultérieure par rapport à la série 01 d’amendements ne sont pas tenues d’accepter des homologations de type accordées en vertu de la version initiale du présent Règlement, mais doivent accepter les homologations de type délivrées au titre de la série 01 d’amendements.</w:t>
      </w:r>
    </w:p>
    <w:p w:rsidR="00CF3880" w:rsidRPr="00CF3880" w:rsidRDefault="00DA44E1" w:rsidP="00DA44E1">
      <w:pPr>
        <w:pStyle w:val="SingleTxtG"/>
        <w:ind w:left="2268" w:hanging="1134"/>
        <w:rPr>
          <w:lang w:val="fr-FR"/>
        </w:rPr>
      </w:pPr>
      <w:r>
        <w:rPr>
          <w:lang w:val="fr-FR"/>
        </w:rPr>
        <w:t>11.8</w:t>
      </w:r>
      <w:r w:rsidR="00CF3880" w:rsidRPr="00CF3880">
        <w:rPr>
          <w:lang w:val="fr-FR"/>
        </w:rPr>
        <w:tab/>
        <w:t>Aucune Partie contractante appliquant le présent Règlement ne peut refuser d’accorder une homologation de type ou son extension en vertu du présent Rè</w:t>
      </w:r>
      <w:r>
        <w:rPr>
          <w:lang w:val="fr-FR"/>
        </w:rPr>
        <w:t>glement sous sa forme initiale. ».</w:t>
      </w:r>
    </w:p>
    <w:p w:rsidR="00CF3880" w:rsidRPr="00DA44E1" w:rsidRDefault="00CF3880" w:rsidP="00CF3880">
      <w:pPr>
        <w:pStyle w:val="SingleTxtG"/>
        <w:rPr>
          <w:i/>
          <w:lang w:val="fr-FR"/>
        </w:rPr>
      </w:pPr>
      <w:r w:rsidRPr="00DA44E1">
        <w:rPr>
          <w:i/>
          <w:lang w:val="fr-FR"/>
        </w:rPr>
        <w:t xml:space="preserve">Annexe 1, </w:t>
      </w:r>
    </w:p>
    <w:p w:rsidR="00CF3880" w:rsidRPr="00CF3880" w:rsidRDefault="00CF3880" w:rsidP="00CF3880">
      <w:pPr>
        <w:pStyle w:val="SingleTxtG"/>
        <w:rPr>
          <w:lang w:val="fr-FR"/>
        </w:rPr>
      </w:pPr>
      <w:r w:rsidRPr="00DA44E1">
        <w:rPr>
          <w:i/>
          <w:lang w:val="fr-FR"/>
        </w:rPr>
        <w:t xml:space="preserve">Additif à la fiche de communication </w:t>
      </w:r>
      <w:r w:rsidR="00DA44E1" w:rsidRPr="00DA44E1">
        <w:rPr>
          <w:rFonts w:eastAsia="MS Mincho"/>
          <w:i/>
          <w:szCs w:val="22"/>
          <w:lang w:val="fr-FR"/>
        </w:rPr>
        <w:t>n</w:t>
      </w:r>
      <w:r w:rsidR="00DA44E1" w:rsidRPr="00DA44E1">
        <w:rPr>
          <w:rFonts w:eastAsia="MS Mincho"/>
          <w:i/>
          <w:szCs w:val="22"/>
          <w:vertAlign w:val="superscript"/>
          <w:lang w:val="fr-FR"/>
        </w:rPr>
        <w:t>o</w:t>
      </w:r>
      <w:r w:rsidR="00DA44E1">
        <w:rPr>
          <w:i/>
          <w:lang w:val="fr-FR"/>
        </w:rPr>
        <w:t> </w:t>
      </w:r>
      <w:r w:rsidRPr="00DA44E1">
        <w:rPr>
          <w:i/>
          <w:lang w:val="fr-FR"/>
        </w:rPr>
        <w:t>…, Renseignements techniques, paragraphe 1.2</w:t>
      </w:r>
      <w:r w:rsidRPr="00CF3880">
        <w:rPr>
          <w:lang w:val="fr-FR"/>
        </w:rPr>
        <w:t>, modifier comme suit :</w:t>
      </w:r>
    </w:p>
    <w:p w:rsidR="00CF3880" w:rsidRPr="00CF3880" w:rsidRDefault="00DA44E1" w:rsidP="00DA44E1">
      <w:pPr>
        <w:pStyle w:val="SingleTxtG"/>
        <w:ind w:left="2268" w:hanging="1134"/>
        <w:rPr>
          <w:lang w:val="fr-FR"/>
        </w:rPr>
      </w:pPr>
      <w:r>
        <w:rPr>
          <w:lang w:val="fr-FR"/>
        </w:rPr>
        <w:t>« 1.2</w:t>
      </w:r>
      <w:r w:rsidR="00CF3880" w:rsidRPr="00CF3880">
        <w:rPr>
          <w:lang w:val="fr-FR"/>
        </w:rPr>
        <w:tab/>
        <w:t>Description du système avertisseur sonore (s’il y a lieu) :..........</w:t>
      </w:r>
    </w:p>
    <w:p w:rsidR="00CF3880" w:rsidRPr="00CF3880" w:rsidRDefault="00DA44E1" w:rsidP="00DA44E1">
      <w:pPr>
        <w:pStyle w:val="SingleTxtG"/>
        <w:ind w:left="2268" w:hanging="1134"/>
        <w:rPr>
          <w:lang w:val="fr-FR"/>
        </w:rPr>
      </w:pPr>
      <w:r>
        <w:rPr>
          <w:lang w:val="fr-FR"/>
        </w:rPr>
        <w:t>1.2.1</w:t>
      </w:r>
      <w:r w:rsidR="00CF3880" w:rsidRPr="00CF3880">
        <w:rPr>
          <w:lang w:val="fr-FR"/>
        </w:rPr>
        <w:tab/>
        <w:t>Bruit à l’arrêt (oui/non)</w:t>
      </w:r>
    </w:p>
    <w:p w:rsidR="00CF3880" w:rsidRDefault="00DA44E1" w:rsidP="00DA44E1">
      <w:pPr>
        <w:pStyle w:val="SingleTxtG"/>
        <w:ind w:left="2268" w:hanging="1134"/>
      </w:pPr>
      <w:r>
        <w:t>1.2.2</w:t>
      </w:r>
      <w:r w:rsidR="00CF3880" w:rsidRPr="00CF3880">
        <w:tab/>
        <w:t>Nombre de sons pouvant être choisis par le conducteur (1/2/3/…)</w:t>
      </w:r>
      <w:r>
        <w:t> ».</w:t>
      </w:r>
    </w:p>
    <w:p w:rsidR="001F20BE" w:rsidRPr="001F20BE" w:rsidRDefault="001F20BE" w:rsidP="001F20BE">
      <w:pPr>
        <w:pStyle w:val="SingleTxtG"/>
        <w:spacing w:before="240" w:after="0"/>
        <w:jc w:val="center"/>
        <w:rPr>
          <w:u w:val="single"/>
        </w:rPr>
      </w:pPr>
      <w:r>
        <w:rPr>
          <w:u w:val="single"/>
        </w:rPr>
        <w:tab/>
      </w:r>
      <w:r>
        <w:rPr>
          <w:u w:val="single"/>
        </w:rPr>
        <w:tab/>
      </w:r>
      <w:r>
        <w:rPr>
          <w:u w:val="single"/>
        </w:rPr>
        <w:tab/>
      </w:r>
    </w:p>
    <w:sectPr w:rsidR="001F20BE" w:rsidRPr="001F20BE" w:rsidSect="007C60A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22" w:rsidRDefault="00361122" w:rsidP="00F95C08">
      <w:pPr>
        <w:spacing w:line="240" w:lineRule="auto"/>
      </w:pPr>
    </w:p>
  </w:endnote>
  <w:endnote w:type="continuationSeparator" w:id="0">
    <w:p w:rsidR="00361122" w:rsidRPr="00AC3823" w:rsidRDefault="00361122" w:rsidP="00AC3823">
      <w:pPr>
        <w:pStyle w:val="Footer"/>
      </w:pPr>
    </w:p>
  </w:endnote>
  <w:endnote w:type="continuationNotice" w:id="1">
    <w:p w:rsidR="00361122" w:rsidRDefault="00361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AF" w:rsidRPr="007C60AF" w:rsidRDefault="007C60AF" w:rsidP="007C60AF">
    <w:pPr>
      <w:pStyle w:val="Footer"/>
      <w:tabs>
        <w:tab w:val="right" w:pos="9638"/>
      </w:tabs>
    </w:pPr>
    <w:r w:rsidRPr="007C60AF">
      <w:rPr>
        <w:b/>
        <w:sz w:val="18"/>
      </w:rPr>
      <w:fldChar w:fldCharType="begin"/>
    </w:r>
    <w:r w:rsidRPr="007C60AF">
      <w:rPr>
        <w:b/>
        <w:sz w:val="18"/>
      </w:rPr>
      <w:instrText xml:space="preserve"> PAGE  \* MERGEFORMAT </w:instrText>
    </w:r>
    <w:r w:rsidRPr="007C60AF">
      <w:rPr>
        <w:b/>
        <w:sz w:val="18"/>
      </w:rPr>
      <w:fldChar w:fldCharType="separate"/>
    </w:r>
    <w:r w:rsidR="00D270C3">
      <w:rPr>
        <w:b/>
        <w:noProof/>
        <w:sz w:val="18"/>
      </w:rPr>
      <w:t>2</w:t>
    </w:r>
    <w:r w:rsidRPr="007C60AF">
      <w:rPr>
        <w:b/>
        <w:sz w:val="18"/>
      </w:rPr>
      <w:fldChar w:fldCharType="end"/>
    </w:r>
    <w:r>
      <w:rPr>
        <w:b/>
        <w:sz w:val="18"/>
      </w:rPr>
      <w:tab/>
    </w:r>
    <w:r>
      <w:t>GE.16-22618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AF" w:rsidRPr="007C60AF" w:rsidRDefault="007C60AF" w:rsidP="007C60AF">
    <w:pPr>
      <w:pStyle w:val="Footer"/>
      <w:tabs>
        <w:tab w:val="right" w:pos="9638"/>
      </w:tabs>
      <w:rPr>
        <w:b/>
        <w:sz w:val="18"/>
      </w:rPr>
    </w:pPr>
    <w:r>
      <w:t>GE.16-22618</w:t>
    </w:r>
    <w:r>
      <w:tab/>
    </w:r>
    <w:r w:rsidRPr="007C60AF">
      <w:rPr>
        <w:b/>
        <w:sz w:val="18"/>
      </w:rPr>
      <w:fldChar w:fldCharType="begin"/>
    </w:r>
    <w:r w:rsidRPr="007C60AF">
      <w:rPr>
        <w:b/>
        <w:sz w:val="18"/>
      </w:rPr>
      <w:instrText xml:space="preserve"> PAGE  \* MERGEFORMAT </w:instrText>
    </w:r>
    <w:r w:rsidRPr="007C60AF">
      <w:rPr>
        <w:b/>
        <w:sz w:val="18"/>
      </w:rPr>
      <w:fldChar w:fldCharType="separate"/>
    </w:r>
    <w:r w:rsidR="00D270C3">
      <w:rPr>
        <w:b/>
        <w:noProof/>
        <w:sz w:val="18"/>
      </w:rPr>
      <w:t>3</w:t>
    </w:r>
    <w:r w:rsidRPr="007C60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C60AF" w:rsidRDefault="007C60AF" w:rsidP="007C60A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538B172" wp14:editId="7AFC573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16-22618  (F)</w:t>
    </w:r>
    <w:r w:rsidR="00CF3880">
      <w:rPr>
        <w:sz w:val="20"/>
      </w:rPr>
      <w:t xml:space="preserve">    231216    190117</w:t>
    </w:r>
    <w:r>
      <w:rPr>
        <w:sz w:val="20"/>
      </w:rPr>
      <w:br/>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sidRPr="007C60A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22" w:rsidRPr="00AC3823" w:rsidRDefault="00361122" w:rsidP="00AC3823">
      <w:pPr>
        <w:pStyle w:val="Footer"/>
        <w:tabs>
          <w:tab w:val="right" w:pos="2155"/>
        </w:tabs>
        <w:spacing w:after="80" w:line="240" w:lineRule="atLeast"/>
        <w:ind w:left="680"/>
        <w:rPr>
          <w:u w:val="single"/>
        </w:rPr>
      </w:pPr>
      <w:r>
        <w:rPr>
          <w:u w:val="single"/>
        </w:rPr>
        <w:tab/>
      </w:r>
    </w:p>
  </w:footnote>
  <w:footnote w:type="continuationSeparator" w:id="0">
    <w:p w:rsidR="00361122" w:rsidRPr="00AC3823" w:rsidRDefault="00361122" w:rsidP="00AC3823">
      <w:pPr>
        <w:pStyle w:val="Footer"/>
        <w:tabs>
          <w:tab w:val="right" w:pos="2155"/>
        </w:tabs>
        <w:spacing w:after="80" w:line="240" w:lineRule="atLeast"/>
        <w:ind w:left="680"/>
        <w:rPr>
          <w:u w:val="single"/>
        </w:rPr>
      </w:pPr>
      <w:r>
        <w:rPr>
          <w:u w:val="single"/>
        </w:rPr>
        <w:tab/>
      </w:r>
    </w:p>
  </w:footnote>
  <w:footnote w:type="continuationNotice" w:id="1">
    <w:p w:rsidR="00361122" w:rsidRPr="00AC3823" w:rsidRDefault="00361122">
      <w:pPr>
        <w:spacing w:line="240" w:lineRule="auto"/>
        <w:rPr>
          <w:sz w:val="2"/>
          <w:szCs w:val="2"/>
        </w:rPr>
      </w:pPr>
    </w:p>
  </w:footnote>
  <w:footnote w:id="2">
    <w:p w:rsidR="00CF3880" w:rsidRPr="00CF3880" w:rsidRDefault="00CF3880">
      <w:pPr>
        <w:pStyle w:val="FootnoteText"/>
      </w:pPr>
      <w:r>
        <w:rPr>
          <w:rStyle w:val="FootnoteReference"/>
        </w:rPr>
        <w:tab/>
      </w:r>
      <w:r w:rsidRPr="00CF3880">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AF" w:rsidRPr="007C60AF" w:rsidRDefault="007C60AF">
    <w:pPr>
      <w:pStyle w:val="Header"/>
    </w:pPr>
    <w:r>
      <w:t>ECE/TRANS/WP.29/2017/7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AF" w:rsidRPr="007C60AF" w:rsidRDefault="007C60AF" w:rsidP="007C60AF">
    <w:pPr>
      <w:pStyle w:val="Header"/>
      <w:jc w:val="right"/>
    </w:pPr>
    <w:r>
      <w:t>ECE/TRANS/WP.29/2017/7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22"/>
    <w:rsid w:val="00017F94"/>
    <w:rsid w:val="00023842"/>
    <w:rsid w:val="000334F9"/>
    <w:rsid w:val="0007796D"/>
    <w:rsid w:val="000B7790"/>
    <w:rsid w:val="00111F2F"/>
    <w:rsid w:val="0014365E"/>
    <w:rsid w:val="00143C66"/>
    <w:rsid w:val="00176178"/>
    <w:rsid w:val="001F20BE"/>
    <w:rsid w:val="001F525A"/>
    <w:rsid w:val="00223272"/>
    <w:rsid w:val="0024779E"/>
    <w:rsid w:val="00257168"/>
    <w:rsid w:val="002744B8"/>
    <w:rsid w:val="002832AC"/>
    <w:rsid w:val="002D7C93"/>
    <w:rsid w:val="00305801"/>
    <w:rsid w:val="00361122"/>
    <w:rsid w:val="003916DE"/>
    <w:rsid w:val="00441C3B"/>
    <w:rsid w:val="00446FE5"/>
    <w:rsid w:val="00452396"/>
    <w:rsid w:val="004837D8"/>
    <w:rsid w:val="004E468C"/>
    <w:rsid w:val="005505B7"/>
    <w:rsid w:val="00573BE5"/>
    <w:rsid w:val="00586ED3"/>
    <w:rsid w:val="00596AA9"/>
    <w:rsid w:val="0071601D"/>
    <w:rsid w:val="007A62E6"/>
    <w:rsid w:val="007C60AF"/>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96C6B"/>
    <w:rsid w:val="00CF3880"/>
    <w:rsid w:val="00D270C3"/>
    <w:rsid w:val="00D3439C"/>
    <w:rsid w:val="00D92580"/>
    <w:rsid w:val="00DA44E1"/>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8D46AB-FCD5-42D6-8BF1-A905B53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CF3880"/>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ECE/TRANS/WP.29/2017/7</vt:lpstr>
      <vt:lpstr>ECE/TRANS/WP.29/2017/7</vt:lpstr>
    </vt:vector>
  </TitlesOfParts>
  <Company>DCM</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ECE/TRANS/WP.29/2017/7</dc:title>
  <dc:subject>Final</dc:subject>
  <dc:creator>Fabienne Crelier</dc:creator>
  <cp:lastModifiedBy>Lucille</cp:lastModifiedBy>
  <cp:revision>2</cp:revision>
  <cp:lastPrinted>2017-01-19T11:08:00Z</cp:lastPrinted>
  <dcterms:created xsi:type="dcterms:W3CDTF">2017-01-19T15:22:00Z</dcterms:created>
  <dcterms:modified xsi:type="dcterms:W3CDTF">2017-01-19T15:22:00Z</dcterms:modified>
</cp:coreProperties>
</file>