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6C05D2">
            <w:bookmarkStart w:id="0" w:name="_GoBack"/>
            <w:bookmarkEnd w:id="0"/>
          </w:p>
        </w:tc>
        <w:tc>
          <w:tcPr>
            <w:tcW w:w="2268" w:type="dxa"/>
            <w:tcBorders>
              <w:bottom w:val="single" w:sz="4" w:space="0" w:color="auto"/>
            </w:tcBorders>
            <w:vAlign w:val="bottom"/>
          </w:tcPr>
          <w:p w:rsidR="00F35BAF" w:rsidRPr="00DB58B5" w:rsidRDefault="00F35BAF" w:rsidP="00E831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C05D2" w:rsidP="006C05D2">
            <w:pPr>
              <w:jc w:val="right"/>
            </w:pPr>
            <w:r w:rsidRPr="006C05D2">
              <w:rPr>
                <w:sz w:val="40"/>
              </w:rPr>
              <w:t>ECE</w:t>
            </w:r>
            <w:r>
              <w:t>/TRANS/WP.29/2017/4</w:t>
            </w:r>
          </w:p>
        </w:tc>
      </w:tr>
      <w:tr w:rsidR="00F35BAF" w:rsidRPr="00DB58B5" w:rsidTr="00E831CA">
        <w:trPr>
          <w:trHeight w:hRule="exact" w:val="2835"/>
        </w:trPr>
        <w:tc>
          <w:tcPr>
            <w:tcW w:w="1276" w:type="dxa"/>
            <w:tcBorders>
              <w:top w:val="single" w:sz="4" w:space="0" w:color="auto"/>
              <w:bottom w:val="single" w:sz="12" w:space="0" w:color="auto"/>
            </w:tcBorders>
          </w:tcPr>
          <w:p w:rsidR="00F35BAF" w:rsidRPr="00DB58B5" w:rsidRDefault="00F35BAF" w:rsidP="00E831CA">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831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C05D2" w:rsidP="00E831CA">
            <w:pPr>
              <w:spacing w:before="240"/>
            </w:pPr>
            <w:r>
              <w:t>Distr. générale</w:t>
            </w:r>
          </w:p>
          <w:p w:rsidR="006C05D2" w:rsidRDefault="006C05D2" w:rsidP="006C05D2">
            <w:pPr>
              <w:spacing w:line="240" w:lineRule="exact"/>
            </w:pPr>
            <w:r>
              <w:t>22 décembre 2016</w:t>
            </w:r>
          </w:p>
          <w:p w:rsidR="006C05D2" w:rsidRDefault="006C05D2" w:rsidP="006C05D2">
            <w:pPr>
              <w:spacing w:line="240" w:lineRule="exact"/>
            </w:pPr>
            <w:r>
              <w:t>Français</w:t>
            </w:r>
          </w:p>
          <w:p w:rsidR="006C05D2" w:rsidRPr="00DB58B5" w:rsidRDefault="006C05D2" w:rsidP="006C05D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C05D2" w:rsidRDefault="006C05D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C05D2" w:rsidRDefault="006C05D2" w:rsidP="00AF0CB5">
      <w:pPr>
        <w:spacing w:before="120" w:line="240" w:lineRule="exact"/>
        <w:rPr>
          <w:b/>
        </w:rPr>
      </w:pPr>
      <w:r>
        <w:rPr>
          <w:b/>
        </w:rPr>
        <w:t>171</w:t>
      </w:r>
      <w:r w:rsidRPr="006C05D2">
        <w:rPr>
          <w:b/>
          <w:vertAlign w:val="superscript"/>
        </w:rPr>
        <w:t>e</w:t>
      </w:r>
      <w:r>
        <w:rPr>
          <w:b/>
        </w:rPr>
        <w:t> session</w:t>
      </w:r>
    </w:p>
    <w:p w:rsidR="006C05D2" w:rsidRDefault="006C05D2" w:rsidP="00AF0CB5">
      <w:pPr>
        <w:spacing w:line="240" w:lineRule="exact"/>
      </w:pPr>
      <w:r>
        <w:t xml:space="preserve">Genève, </w:t>
      </w:r>
      <w:r w:rsidRPr="006C05D2">
        <w:rPr>
          <w:lang w:val="fr-FR"/>
        </w:rPr>
        <w:t>14-17 mars 2017</w:t>
      </w:r>
    </w:p>
    <w:p w:rsidR="006C05D2" w:rsidRDefault="006C05D2" w:rsidP="00AF0CB5">
      <w:pPr>
        <w:spacing w:line="240" w:lineRule="exact"/>
      </w:pPr>
      <w:r>
        <w:t xml:space="preserve">Point </w:t>
      </w:r>
      <w:r w:rsidRPr="006C05D2">
        <w:rPr>
          <w:lang w:val="fr-FR"/>
        </w:rPr>
        <w:t>4.6.3 de l’ordre du jour provisoire</w:t>
      </w:r>
    </w:p>
    <w:p w:rsidR="00F9573C" w:rsidRDefault="006C05D2" w:rsidP="006C05D2">
      <w:pPr>
        <w:rPr>
          <w:b/>
        </w:rPr>
      </w:pPr>
      <w:r w:rsidRPr="006C05D2">
        <w:rPr>
          <w:b/>
          <w:lang w:val="fr-FR"/>
        </w:rPr>
        <w:t xml:space="preserve">Accord de 1958 : </w:t>
      </w:r>
      <w:r w:rsidRPr="006C05D2">
        <w:rPr>
          <w:b/>
          <w:lang w:val="fr-FR"/>
        </w:rPr>
        <w:br/>
      </w:r>
      <w:r w:rsidRPr="006C05D2">
        <w:rPr>
          <w:b/>
        </w:rPr>
        <w:t>Examen de projets d’amendements</w:t>
      </w:r>
      <w:r>
        <w:rPr>
          <w:b/>
        </w:rPr>
        <w:t xml:space="preserve"> </w:t>
      </w:r>
      <w:r>
        <w:rPr>
          <w:b/>
        </w:rPr>
        <w:br/>
      </w:r>
      <w:r w:rsidRPr="006C05D2">
        <w:rPr>
          <w:b/>
        </w:rPr>
        <w:t>à des Règlements existants, soumis par le GRB</w:t>
      </w:r>
    </w:p>
    <w:p w:rsidR="002D615C" w:rsidRPr="002D615C" w:rsidRDefault="002D615C" w:rsidP="002D615C">
      <w:pPr>
        <w:pStyle w:val="HChG"/>
        <w:rPr>
          <w:lang w:val="fr-FR"/>
        </w:rPr>
      </w:pPr>
      <w:r>
        <w:rPr>
          <w:lang w:val="fr-FR"/>
        </w:rPr>
        <w:tab/>
      </w:r>
      <w:r>
        <w:rPr>
          <w:lang w:val="fr-FR"/>
        </w:rPr>
        <w:tab/>
      </w:r>
      <w:r w:rsidRPr="002D615C">
        <w:rPr>
          <w:lang w:val="fr-FR"/>
        </w:rPr>
        <w:t xml:space="preserve">Proposition de complément </w:t>
      </w:r>
      <w:r>
        <w:rPr>
          <w:lang w:val="fr-FR"/>
        </w:rPr>
        <w:t>3 à la série </w:t>
      </w:r>
      <w:r w:rsidRPr="002D615C">
        <w:rPr>
          <w:lang w:val="fr-FR"/>
        </w:rPr>
        <w:t xml:space="preserve">02 d’amendements </w:t>
      </w:r>
      <w:r>
        <w:rPr>
          <w:lang w:val="fr-FR"/>
        </w:rPr>
        <w:br/>
      </w:r>
      <w:r w:rsidRPr="002D615C">
        <w:rPr>
          <w:lang w:val="fr-FR"/>
        </w:rPr>
        <w:t>au Règlement n</w:t>
      </w:r>
      <w:r w:rsidRPr="002D615C">
        <w:rPr>
          <w:vertAlign w:val="superscript"/>
          <w:lang w:val="fr-FR"/>
        </w:rPr>
        <w:t>o</w:t>
      </w:r>
      <w:r w:rsidRPr="002D615C">
        <w:rPr>
          <w:lang w:val="fr-FR"/>
        </w:rPr>
        <w:t> 63 (Bruit émis par les cyclomoteurs)</w:t>
      </w:r>
    </w:p>
    <w:p w:rsidR="002D615C" w:rsidRPr="002D615C" w:rsidRDefault="002D615C" w:rsidP="002D615C">
      <w:pPr>
        <w:pStyle w:val="H1G"/>
        <w:rPr>
          <w:lang w:val="fr-FR"/>
        </w:rPr>
      </w:pPr>
      <w:r w:rsidRPr="002D615C">
        <w:rPr>
          <w:lang w:val="fr-FR"/>
        </w:rPr>
        <w:tab/>
      </w:r>
      <w:r w:rsidRPr="002D615C">
        <w:rPr>
          <w:lang w:val="fr-FR"/>
        </w:rPr>
        <w:tab/>
        <w:t>Communication</w:t>
      </w:r>
      <w:r w:rsidR="00EB4D6B">
        <w:rPr>
          <w:lang w:val="fr-FR"/>
        </w:rPr>
        <w:t xml:space="preserve"> </w:t>
      </w:r>
      <w:r w:rsidRPr="002D615C">
        <w:t>du Groupe de travail du bruit</w:t>
      </w:r>
      <w:r w:rsidRPr="002D615C">
        <w:rPr>
          <w:rStyle w:val="FootnoteReference"/>
          <w:b w:val="0"/>
          <w:vertAlign w:val="baseline"/>
        </w:rPr>
        <w:footnoteReference w:customMarkFollows="1" w:id="2"/>
        <w:t>*</w:t>
      </w:r>
    </w:p>
    <w:p w:rsidR="002D615C" w:rsidRDefault="002D615C" w:rsidP="002D615C">
      <w:pPr>
        <w:pStyle w:val="SingleTxtG"/>
        <w:ind w:firstLine="567"/>
        <w:rPr>
          <w:lang w:val="fr-FR"/>
        </w:rPr>
      </w:pPr>
      <w:r w:rsidRPr="002D615C">
        <w:rPr>
          <w:lang w:val="fr-FR"/>
        </w:rPr>
        <w:t xml:space="preserve">Le texte ci-après a été adopté par le Groupe de travail du bruit (GRB) à sa soixante-quatrième session </w:t>
      </w:r>
      <w:r>
        <w:rPr>
          <w:lang w:val="fr-FR"/>
        </w:rPr>
        <w:t>(ECE/TRANS/WP.29/GRB/62, par. </w:t>
      </w:r>
      <w:r w:rsidRPr="002D615C">
        <w:rPr>
          <w:lang w:val="fr-FR"/>
        </w:rPr>
        <w:t>16). Il est fondé sur le document ECE/TRANS/WP.29/GRB/2016/7 tel que modifié pa</w:t>
      </w:r>
      <w:r>
        <w:rPr>
          <w:lang w:val="fr-FR"/>
        </w:rPr>
        <w:t>r le paragraphe </w:t>
      </w:r>
      <w:r w:rsidRPr="002D615C">
        <w:rPr>
          <w:lang w:val="fr-FR"/>
        </w:rPr>
        <w:t>15 du rapport. Il est soumis au Forum mondial de l’harmonisation des Règlements concernant les véhicules (WP.29) et au Comité d’administration de l’Accord de 1958 (AC.1) pour examen à leurs sessions de mars 2017.</w:t>
      </w:r>
    </w:p>
    <w:p w:rsidR="002D615C" w:rsidRPr="002D615C" w:rsidRDefault="002D615C" w:rsidP="002D615C">
      <w:pPr>
        <w:pStyle w:val="HChG"/>
        <w:rPr>
          <w:lang w:val="fr-FR"/>
        </w:rPr>
      </w:pPr>
      <w:r>
        <w:rPr>
          <w:lang w:val="fr-FR"/>
        </w:rPr>
        <w:br w:type="page"/>
      </w:r>
      <w:r>
        <w:rPr>
          <w:lang w:val="fr-FR"/>
        </w:rPr>
        <w:lastRenderedPageBreak/>
        <w:tab/>
      </w:r>
      <w:r>
        <w:rPr>
          <w:lang w:val="fr-FR"/>
        </w:rPr>
        <w:tab/>
      </w:r>
      <w:r w:rsidRPr="002D615C">
        <w:rPr>
          <w:lang w:val="fr-FR"/>
        </w:rPr>
        <w:t>Complément</w:t>
      </w:r>
      <w:r>
        <w:rPr>
          <w:lang w:val="fr-FR"/>
        </w:rPr>
        <w:t> 3 à la série </w:t>
      </w:r>
      <w:r w:rsidRPr="002D615C">
        <w:rPr>
          <w:lang w:val="fr-FR"/>
        </w:rPr>
        <w:t xml:space="preserve">02 d’amendements </w:t>
      </w:r>
      <w:r>
        <w:rPr>
          <w:lang w:val="fr-FR"/>
        </w:rPr>
        <w:br/>
      </w:r>
      <w:r w:rsidRPr="002D615C">
        <w:rPr>
          <w:lang w:val="fr-FR"/>
        </w:rPr>
        <w:t xml:space="preserve">au Règlement </w:t>
      </w:r>
      <w:r w:rsidRPr="002D615C">
        <w:rPr>
          <w:rFonts w:eastAsia="MS Mincho"/>
          <w:szCs w:val="22"/>
          <w:lang w:val="fr-FR"/>
        </w:rPr>
        <w:t>n</w:t>
      </w:r>
      <w:r w:rsidRPr="002D615C">
        <w:rPr>
          <w:rFonts w:eastAsia="MS Mincho"/>
          <w:szCs w:val="22"/>
          <w:vertAlign w:val="superscript"/>
          <w:lang w:val="fr-FR"/>
        </w:rPr>
        <w:t>o</w:t>
      </w:r>
      <w:r>
        <w:rPr>
          <w:lang w:val="fr-FR"/>
        </w:rPr>
        <w:t> </w:t>
      </w:r>
      <w:r w:rsidRPr="002D615C">
        <w:rPr>
          <w:lang w:val="fr-FR"/>
        </w:rPr>
        <w:t xml:space="preserve">63 (Bruit émis par les cyclomoteurs) </w:t>
      </w:r>
    </w:p>
    <w:p w:rsidR="002D615C" w:rsidRPr="002D615C" w:rsidRDefault="002D615C" w:rsidP="002D615C">
      <w:pPr>
        <w:pStyle w:val="SingleTxtG"/>
        <w:rPr>
          <w:lang w:val="fr-FR"/>
        </w:rPr>
      </w:pPr>
      <w:r w:rsidRPr="002D615C">
        <w:rPr>
          <w:lang w:val="fr-FR"/>
        </w:rPr>
        <w:t xml:space="preserve">Règlement </w:t>
      </w:r>
      <w:r w:rsidRPr="002D615C">
        <w:rPr>
          <w:rFonts w:eastAsia="MS Mincho"/>
          <w:szCs w:val="22"/>
          <w:lang w:val="fr-FR"/>
        </w:rPr>
        <w:t>n</w:t>
      </w:r>
      <w:r w:rsidRPr="002D615C">
        <w:rPr>
          <w:rFonts w:eastAsia="MS Mincho"/>
          <w:szCs w:val="22"/>
          <w:vertAlign w:val="superscript"/>
          <w:lang w:val="fr-FR"/>
        </w:rPr>
        <w:t>o</w:t>
      </w:r>
      <w:r>
        <w:rPr>
          <w:lang w:val="fr-FR"/>
        </w:rPr>
        <w:t> </w:t>
      </w:r>
      <w:r w:rsidRPr="002D615C">
        <w:rPr>
          <w:lang w:val="fr-FR"/>
        </w:rPr>
        <w:t>63, modifier comme suit :</w:t>
      </w:r>
    </w:p>
    <w:p w:rsidR="006C05D2" w:rsidRDefault="002D615C" w:rsidP="002D615C">
      <w:pPr>
        <w:pStyle w:val="HChG"/>
        <w:rPr>
          <w:lang w:val="fr-FR"/>
        </w:rPr>
      </w:pPr>
      <w:r w:rsidRPr="002D615C">
        <w:rPr>
          <w:lang w:val="fr-FR"/>
        </w:rPr>
        <w:tab/>
      </w:r>
      <w:r w:rsidRPr="002D615C">
        <w:rPr>
          <w:lang w:val="fr-FR"/>
        </w:rPr>
        <w:tab/>
      </w:r>
      <w:r w:rsidRPr="002D615C">
        <w:rPr>
          <w:b w:val="0"/>
          <w:sz w:val="20"/>
          <w:lang w:val="fr-FR"/>
        </w:rPr>
        <w:t>« </w:t>
      </w:r>
      <w:r w:rsidRPr="002D615C">
        <w:rPr>
          <w:lang w:val="fr-FR"/>
        </w:rPr>
        <w:t xml:space="preserve">Prescriptions uniformes relatives à l’homologation </w:t>
      </w:r>
      <w:r w:rsidRPr="002D615C">
        <w:rPr>
          <w:lang w:val="fr-FR"/>
        </w:rPr>
        <w:br/>
        <w:t xml:space="preserve">des </w:t>
      </w:r>
      <w:r>
        <w:rPr>
          <w:lang w:val="fr-FR"/>
        </w:rPr>
        <w:t>véhicules de la catégorie </w:t>
      </w:r>
      <w:r w:rsidRPr="002D615C">
        <w:rPr>
          <w:lang w:val="fr-FR"/>
        </w:rPr>
        <w:t>L</w:t>
      </w:r>
      <w:r w:rsidRPr="002D615C">
        <w:rPr>
          <w:vertAlign w:val="subscript"/>
          <w:lang w:val="fr-FR"/>
        </w:rPr>
        <w:t>1</w:t>
      </w:r>
      <w:r w:rsidRPr="002D615C">
        <w:rPr>
          <w:lang w:val="fr-FR"/>
        </w:rPr>
        <w:t xml:space="preserve"> en ce qui concerne </w:t>
      </w:r>
      <w:r w:rsidR="00E402F4">
        <w:rPr>
          <w:lang w:val="fr-FR"/>
        </w:rPr>
        <w:br/>
      </w:r>
      <w:r w:rsidRPr="002D615C">
        <w:rPr>
          <w:lang w:val="fr-FR"/>
        </w:rPr>
        <w:t>les émissions sonores</w:t>
      </w:r>
    </w:p>
    <w:p w:rsidR="00E402F4" w:rsidRPr="00E402F4" w:rsidRDefault="00E402F4" w:rsidP="00E402F4">
      <w:pPr>
        <w:spacing w:after="120"/>
        <w:rPr>
          <w:sz w:val="28"/>
        </w:rPr>
      </w:pPr>
      <w:r w:rsidRPr="00E402F4">
        <w:rPr>
          <w:sz w:val="28"/>
        </w:rPr>
        <w:t>Table des matières</w:t>
      </w:r>
    </w:p>
    <w:p w:rsidR="00E402F4" w:rsidRPr="00E402F4" w:rsidRDefault="00E402F4" w:rsidP="00E402F4">
      <w:pPr>
        <w:tabs>
          <w:tab w:val="right" w:pos="9638"/>
        </w:tabs>
        <w:spacing w:after="120"/>
        <w:ind w:left="283"/>
        <w:rPr>
          <w:sz w:val="18"/>
        </w:rPr>
      </w:pPr>
      <w:r w:rsidRPr="008933B9">
        <w:rPr>
          <w:lang w:val="fr-FR"/>
        </w:rPr>
        <w:t>Règlement</w:t>
      </w:r>
      <w:r w:rsidRPr="00E402F4">
        <w:rPr>
          <w:i/>
          <w:sz w:val="18"/>
        </w:rPr>
        <w:tab/>
        <w:t>Page</w:t>
      </w:r>
      <w:r w:rsidRPr="00E402F4">
        <w:rPr>
          <w:sz w:val="18"/>
        </w:rPr>
        <w:footnoteReference w:customMarkFollows="1" w:id="3"/>
        <w:t>**</w:t>
      </w:r>
    </w:p>
    <w:p w:rsidR="00E402F4" w:rsidRPr="008933B9" w:rsidRDefault="00E402F4" w:rsidP="00E402F4">
      <w:pPr>
        <w:tabs>
          <w:tab w:val="right" w:pos="850"/>
          <w:tab w:val="right" w:leader="dot" w:pos="8787"/>
          <w:tab w:val="right" w:pos="9638"/>
        </w:tabs>
        <w:spacing w:after="120"/>
        <w:ind w:left="1134" w:hanging="1134"/>
        <w:rPr>
          <w:lang w:val="fr-FR"/>
        </w:rPr>
      </w:pPr>
      <w:r>
        <w:rPr>
          <w:lang w:val="fr-FR"/>
        </w:rPr>
        <w:tab/>
      </w:r>
      <w:r w:rsidRPr="008933B9">
        <w:rPr>
          <w:lang w:val="fr-FR"/>
        </w:rPr>
        <w:t>1.</w:t>
      </w:r>
      <w:r w:rsidRPr="008933B9">
        <w:rPr>
          <w:lang w:val="fr-FR"/>
        </w:rPr>
        <w:tab/>
        <w:t>Domaine d</w:t>
      </w:r>
      <w:r>
        <w:rPr>
          <w:lang w:val="fr-FR"/>
        </w:rPr>
        <w:t>’application</w:t>
      </w:r>
      <w:r>
        <w:rPr>
          <w:lang w:val="fr-FR"/>
        </w:rPr>
        <w:tab/>
      </w:r>
      <w:r>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2.</w:t>
      </w:r>
      <w:r w:rsidRPr="008933B9">
        <w:rPr>
          <w:lang w:val="fr-FR"/>
        </w:rPr>
        <w:tab/>
        <w:t xml:space="preserve">Définitions </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3.</w:t>
      </w:r>
      <w:r w:rsidRPr="008933B9">
        <w:rPr>
          <w:lang w:val="fr-FR"/>
        </w:rPr>
        <w:tab/>
        <w:t>Demande d</w:t>
      </w:r>
      <w:r>
        <w:rPr>
          <w:lang w:val="fr-FR"/>
        </w:rPr>
        <w:t>’</w:t>
      </w:r>
      <w:r w:rsidRPr="008933B9">
        <w:rPr>
          <w:lang w:val="fr-FR"/>
        </w:rPr>
        <w:t>homologation</w:t>
      </w:r>
      <w:r w:rsidRPr="008933B9">
        <w:rPr>
          <w:lang w:val="fr-FR"/>
        </w:rPr>
        <w:tab/>
      </w:r>
      <w:r w:rsidRPr="008933B9">
        <w:rPr>
          <w:lang w:val="fr-FR"/>
        </w:rPr>
        <w:tab/>
      </w:r>
    </w:p>
    <w:p w:rsidR="00E402F4" w:rsidRDefault="00E402F4" w:rsidP="00E402F4">
      <w:pPr>
        <w:tabs>
          <w:tab w:val="right" w:pos="850"/>
          <w:tab w:val="right" w:leader="dot" w:pos="8787"/>
          <w:tab w:val="right" w:pos="9638"/>
        </w:tabs>
        <w:spacing w:after="120"/>
        <w:ind w:left="1134" w:hanging="1134"/>
        <w:rPr>
          <w:lang w:val="fr-FR"/>
        </w:rPr>
      </w:pPr>
      <w:r w:rsidRPr="008933B9">
        <w:rPr>
          <w:lang w:val="fr-FR"/>
        </w:rPr>
        <w:tab/>
        <w:t>4.</w:t>
      </w:r>
      <w:r w:rsidRPr="008933B9">
        <w:rPr>
          <w:lang w:val="fr-FR"/>
        </w:rPr>
        <w:tab/>
        <w:t>Inscriptions</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 xml:space="preserve">5. </w:t>
      </w:r>
      <w:r w:rsidRPr="008933B9">
        <w:rPr>
          <w:lang w:val="fr-FR"/>
        </w:rPr>
        <w:tab/>
        <w:t>Homologation</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6.</w:t>
      </w:r>
      <w:r w:rsidRPr="008933B9">
        <w:rPr>
          <w:lang w:val="fr-FR"/>
        </w:rPr>
        <w:tab/>
        <w:t>Spécifications</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7.</w:t>
      </w:r>
      <w:r w:rsidRPr="008933B9">
        <w:rPr>
          <w:lang w:val="fr-FR"/>
        </w:rPr>
        <w:tab/>
        <w:t>Modification et extension de l</w:t>
      </w:r>
      <w:r>
        <w:rPr>
          <w:lang w:val="fr-FR"/>
        </w:rPr>
        <w:t>’</w:t>
      </w:r>
      <w:r w:rsidRPr="008933B9">
        <w:rPr>
          <w:lang w:val="fr-FR"/>
        </w:rPr>
        <w:t>homologation du type de</w:t>
      </w:r>
      <w:r w:rsidR="00EB4D6B">
        <w:rPr>
          <w:lang w:val="fr-FR"/>
        </w:rPr>
        <w:t xml:space="preserve"> </w:t>
      </w:r>
      <w:r w:rsidRPr="005F6415">
        <w:rPr>
          <w:lang w:val="fr-FR"/>
        </w:rPr>
        <w:t>véhicule</w:t>
      </w:r>
      <w:r w:rsidRPr="008933B9">
        <w:rPr>
          <w:lang w:val="fr-FR"/>
        </w:rPr>
        <w:t xml:space="preserve"> ou du type </w:t>
      </w:r>
      <w:r>
        <w:rPr>
          <w:lang w:val="fr-FR"/>
        </w:rPr>
        <w:br/>
      </w:r>
      <w:r w:rsidRPr="008933B9">
        <w:rPr>
          <w:lang w:val="fr-FR"/>
        </w:rPr>
        <w:t>de dispositif d</w:t>
      </w:r>
      <w:r>
        <w:rPr>
          <w:lang w:val="fr-FR"/>
        </w:rPr>
        <w:t>’</w:t>
      </w:r>
      <w:r w:rsidRPr="008933B9">
        <w:rPr>
          <w:lang w:val="fr-FR"/>
        </w:rPr>
        <w:t>échappement ou de silencieux</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8.</w:t>
      </w:r>
      <w:r w:rsidRPr="008933B9">
        <w:rPr>
          <w:lang w:val="fr-FR"/>
        </w:rPr>
        <w:tab/>
        <w:t>Conformité de la production</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9.</w:t>
      </w:r>
      <w:r w:rsidRPr="008933B9">
        <w:rPr>
          <w:lang w:val="fr-FR"/>
        </w:rPr>
        <w:tab/>
        <w:t>Sanctions pour non-conformité de la production</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10.</w:t>
      </w:r>
      <w:r w:rsidRPr="008933B9">
        <w:rPr>
          <w:lang w:val="fr-FR"/>
        </w:rPr>
        <w:tab/>
        <w:t>Dispositions transitoires</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11.</w:t>
      </w:r>
      <w:r w:rsidRPr="008933B9">
        <w:rPr>
          <w:lang w:val="fr-FR"/>
        </w:rPr>
        <w:tab/>
        <w:t>Arrêt définitif de la production</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sidRPr="008933B9">
        <w:rPr>
          <w:lang w:val="fr-FR"/>
        </w:rPr>
        <w:tab/>
        <w:t>12.</w:t>
      </w:r>
      <w:r w:rsidRPr="008933B9">
        <w:rPr>
          <w:lang w:val="fr-FR"/>
        </w:rPr>
        <w:tab/>
        <w:t>Noms et adresses des services techniques chargés des essais d</w:t>
      </w:r>
      <w:r>
        <w:rPr>
          <w:lang w:val="fr-FR"/>
        </w:rPr>
        <w:t>’</w:t>
      </w:r>
      <w:r w:rsidRPr="008933B9">
        <w:rPr>
          <w:lang w:val="fr-FR"/>
        </w:rPr>
        <w:t>homologation</w:t>
      </w:r>
      <w:r>
        <w:rPr>
          <w:lang w:val="fr-FR"/>
        </w:rPr>
        <w:t xml:space="preserve"> </w:t>
      </w:r>
      <w:r w:rsidRPr="008933B9">
        <w:rPr>
          <w:lang w:val="fr-FR"/>
        </w:rPr>
        <w:br/>
        <w:t>et des autorités d</w:t>
      </w:r>
      <w:r>
        <w:rPr>
          <w:lang w:val="fr-FR"/>
        </w:rPr>
        <w:t>’</w:t>
      </w:r>
      <w:r w:rsidRPr="008933B9">
        <w:rPr>
          <w:lang w:val="fr-FR"/>
        </w:rPr>
        <w:t>homologation de type</w:t>
      </w:r>
      <w:r w:rsidRPr="008933B9">
        <w:rPr>
          <w:lang w:val="fr-FR"/>
        </w:rPr>
        <w:tab/>
      </w:r>
      <w:r w:rsidRPr="008933B9">
        <w:rPr>
          <w:lang w:val="fr-FR"/>
        </w:rPr>
        <w:tab/>
      </w:r>
    </w:p>
    <w:p w:rsidR="00E402F4" w:rsidRPr="008933B9" w:rsidRDefault="00E402F4" w:rsidP="00E402F4">
      <w:pPr>
        <w:tabs>
          <w:tab w:val="right" w:pos="850"/>
        </w:tabs>
        <w:spacing w:after="120"/>
        <w:rPr>
          <w:lang w:val="fr-FR"/>
        </w:rPr>
      </w:pPr>
      <w:r w:rsidRPr="008933B9">
        <w:rPr>
          <w:lang w:val="fr-FR"/>
        </w:rPr>
        <w:t>Annexes</w:t>
      </w:r>
    </w:p>
    <w:p w:rsidR="00E402F4" w:rsidRPr="008933B9" w:rsidRDefault="00E402F4" w:rsidP="00E402F4">
      <w:pPr>
        <w:tabs>
          <w:tab w:val="right" w:pos="850"/>
          <w:tab w:val="right" w:leader="dot" w:pos="8787"/>
          <w:tab w:val="right" w:pos="9638"/>
        </w:tabs>
        <w:spacing w:after="120"/>
        <w:ind w:left="1134" w:hanging="1134"/>
        <w:rPr>
          <w:lang w:val="fr-FR"/>
        </w:rPr>
      </w:pPr>
      <w:r>
        <w:rPr>
          <w:lang w:val="fr-FR"/>
        </w:rPr>
        <w:tab/>
      </w:r>
      <w:r w:rsidRPr="008933B9">
        <w:rPr>
          <w:lang w:val="fr-FR"/>
        </w:rPr>
        <w:t>1</w:t>
      </w:r>
      <w:r w:rsidRPr="008933B9">
        <w:rPr>
          <w:lang w:val="fr-FR"/>
        </w:rPr>
        <w:tab/>
        <w:t>Communication</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Pr>
          <w:lang w:val="fr-FR"/>
        </w:rPr>
        <w:tab/>
      </w:r>
      <w:r w:rsidRPr="008933B9">
        <w:rPr>
          <w:lang w:val="fr-FR"/>
        </w:rPr>
        <w:t>2</w:t>
      </w:r>
      <w:r w:rsidRPr="008933B9">
        <w:rPr>
          <w:lang w:val="fr-FR"/>
        </w:rPr>
        <w:tab/>
        <w:t>Exemples de marques d</w:t>
      </w:r>
      <w:r>
        <w:rPr>
          <w:lang w:val="fr-FR"/>
        </w:rPr>
        <w:t>’</w:t>
      </w:r>
      <w:r w:rsidRPr="008933B9">
        <w:rPr>
          <w:lang w:val="fr-FR"/>
        </w:rPr>
        <w:t xml:space="preserve">homologation </w:t>
      </w:r>
      <w:r w:rsidRPr="008933B9">
        <w:rPr>
          <w:lang w:val="fr-FR"/>
        </w:rPr>
        <w:tab/>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lang w:val="fr-FR"/>
        </w:rPr>
      </w:pPr>
      <w:r>
        <w:rPr>
          <w:lang w:val="fr-FR"/>
        </w:rPr>
        <w:tab/>
      </w:r>
      <w:r w:rsidRPr="008933B9">
        <w:rPr>
          <w:lang w:val="fr-FR"/>
        </w:rPr>
        <w:t>3</w:t>
      </w:r>
      <w:r w:rsidRPr="008933B9">
        <w:rPr>
          <w:lang w:val="fr-FR"/>
        </w:rPr>
        <w:tab/>
        <w:t xml:space="preserve">Méthodes et appareils de mesure </w:t>
      </w:r>
      <w:r w:rsidRPr="005F6415">
        <w:rPr>
          <w:lang w:val="fr-FR"/>
        </w:rPr>
        <w:t>des émissions sonores des</w:t>
      </w:r>
      <w:r w:rsidRPr="00FC6503">
        <w:rPr>
          <w:lang w:val="fr-FR"/>
        </w:rPr>
        <w:t xml:space="preserve"> </w:t>
      </w:r>
      <w:r w:rsidR="005D74E7">
        <w:rPr>
          <w:lang w:val="fr-FR"/>
        </w:rPr>
        <w:t>véhicules de la catégorie </w:t>
      </w:r>
      <w:r w:rsidRPr="005F6415">
        <w:rPr>
          <w:lang w:val="fr-FR"/>
        </w:rPr>
        <w:t>L</w:t>
      </w:r>
      <w:r w:rsidRPr="005F6415">
        <w:rPr>
          <w:vertAlign w:val="subscript"/>
          <w:lang w:val="fr-FR"/>
        </w:rPr>
        <w:t>1</w:t>
      </w:r>
      <w:r w:rsidRPr="008933B9">
        <w:rPr>
          <w:lang w:val="fr-FR"/>
        </w:rPr>
        <w:tab/>
      </w:r>
      <w:r w:rsidRPr="008933B9">
        <w:rPr>
          <w:lang w:val="fr-FR"/>
        </w:rPr>
        <w:tab/>
      </w:r>
    </w:p>
    <w:p w:rsidR="00E402F4" w:rsidRPr="008933B9" w:rsidRDefault="00E402F4" w:rsidP="00E402F4">
      <w:pPr>
        <w:tabs>
          <w:tab w:val="right" w:pos="850"/>
          <w:tab w:val="right" w:leader="dot" w:pos="8787"/>
          <w:tab w:val="right" w:pos="9638"/>
        </w:tabs>
        <w:spacing w:after="120"/>
        <w:ind w:left="1134" w:hanging="1134"/>
        <w:rPr>
          <w:strike/>
          <w:lang w:val="fr-FR"/>
        </w:rPr>
      </w:pPr>
      <w:r>
        <w:rPr>
          <w:lang w:val="fr-FR"/>
        </w:rPr>
        <w:tab/>
      </w:r>
      <w:r w:rsidRPr="008933B9">
        <w:rPr>
          <w:lang w:val="fr-FR"/>
        </w:rPr>
        <w:t>4</w:t>
      </w:r>
      <w:r w:rsidRPr="008933B9">
        <w:rPr>
          <w:lang w:val="fr-FR"/>
        </w:rPr>
        <w:tab/>
        <w:t xml:space="preserve">Limites maximales du niveau sonore ( </w:t>
      </w:r>
      <w:r w:rsidRPr="005F6415">
        <w:rPr>
          <w:lang w:val="fr-FR"/>
        </w:rPr>
        <w:t>véhicules</w:t>
      </w:r>
      <w:r w:rsidRPr="008933B9">
        <w:rPr>
          <w:lang w:val="fr-FR"/>
        </w:rPr>
        <w:t xml:space="preserve"> neufs)</w:t>
      </w:r>
      <w:r w:rsidRPr="008933B9">
        <w:rPr>
          <w:lang w:val="fr-FR"/>
        </w:rPr>
        <w:tab/>
      </w:r>
      <w:r w:rsidRPr="008933B9">
        <w:rPr>
          <w:lang w:val="fr-FR"/>
        </w:rPr>
        <w:tab/>
      </w:r>
    </w:p>
    <w:p w:rsidR="00E402F4" w:rsidRDefault="00E402F4" w:rsidP="00E402F4">
      <w:pPr>
        <w:tabs>
          <w:tab w:val="right" w:pos="850"/>
          <w:tab w:val="right" w:leader="dot" w:pos="8787"/>
          <w:tab w:val="right" w:pos="9638"/>
        </w:tabs>
        <w:spacing w:after="120"/>
        <w:ind w:left="1134" w:hanging="1134"/>
        <w:rPr>
          <w:lang w:val="fr-FR"/>
        </w:rPr>
      </w:pPr>
      <w:r>
        <w:rPr>
          <w:lang w:val="fr-FR"/>
        </w:rPr>
        <w:tab/>
      </w:r>
      <w:r w:rsidRPr="008933B9">
        <w:rPr>
          <w:lang w:val="fr-FR"/>
        </w:rPr>
        <w:t>5</w:t>
      </w:r>
      <w:r w:rsidRPr="008933B9">
        <w:rPr>
          <w:lang w:val="fr-FR"/>
        </w:rPr>
        <w:tab/>
        <w:t xml:space="preserve">Caractéristiques </w:t>
      </w:r>
      <w:r>
        <w:rPr>
          <w:lang w:val="fr-FR"/>
        </w:rPr>
        <w:t xml:space="preserve">du terrain </w:t>
      </w:r>
      <w:r w:rsidRPr="008933B9">
        <w:rPr>
          <w:lang w:val="fr-FR"/>
        </w:rPr>
        <w:t>d</w:t>
      </w:r>
      <w:r>
        <w:rPr>
          <w:lang w:val="fr-FR"/>
        </w:rPr>
        <w:t>’</w:t>
      </w:r>
      <w:r w:rsidRPr="008933B9">
        <w:rPr>
          <w:lang w:val="fr-FR"/>
        </w:rPr>
        <w:t>essai</w:t>
      </w:r>
      <w:r w:rsidRPr="008933B9">
        <w:rPr>
          <w:lang w:val="fr-FR"/>
        </w:rPr>
        <w:tab/>
      </w:r>
      <w:r>
        <w:rPr>
          <w:lang w:val="fr-FR"/>
        </w:rPr>
        <w:tab/>
      </w:r>
    </w:p>
    <w:p w:rsidR="00364B14" w:rsidRPr="00364B14" w:rsidRDefault="00364B14" w:rsidP="00B17C2C">
      <w:pPr>
        <w:pStyle w:val="HChG"/>
        <w:ind w:left="2268"/>
        <w:rPr>
          <w:lang w:val="fr-FR"/>
        </w:rPr>
      </w:pPr>
      <w:r>
        <w:rPr>
          <w:lang w:val="fr-FR"/>
        </w:rPr>
        <w:br w:type="page"/>
      </w:r>
      <w:r w:rsidRPr="00364B14">
        <w:rPr>
          <w:lang w:val="fr-FR"/>
        </w:rPr>
        <w:lastRenderedPageBreak/>
        <w:t>1.</w:t>
      </w:r>
      <w:r w:rsidRPr="00364B14">
        <w:rPr>
          <w:lang w:val="fr-FR"/>
        </w:rPr>
        <w:tab/>
      </w:r>
      <w:r w:rsidR="00B17C2C">
        <w:rPr>
          <w:lang w:val="fr-FR"/>
        </w:rPr>
        <w:tab/>
      </w:r>
      <w:r w:rsidRPr="00364B14">
        <w:rPr>
          <w:lang w:val="fr-FR"/>
        </w:rPr>
        <w:t>Domaine d’application</w:t>
      </w:r>
    </w:p>
    <w:p w:rsidR="00364B14" w:rsidRPr="00364B14" w:rsidRDefault="00364B14" w:rsidP="00B17C2C">
      <w:pPr>
        <w:pStyle w:val="SingleTxtG"/>
        <w:ind w:left="2268"/>
        <w:rPr>
          <w:lang w:val="fr-FR"/>
        </w:rPr>
      </w:pPr>
      <w:r w:rsidRPr="00364B14">
        <w:rPr>
          <w:lang w:val="fr-FR"/>
        </w:rPr>
        <w:t>Le présent Règlement s’applique</w:t>
      </w:r>
      <w:r w:rsidR="00EB4D6B">
        <w:rPr>
          <w:lang w:val="fr-FR"/>
        </w:rPr>
        <w:t xml:space="preserve"> </w:t>
      </w:r>
      <w:r w:rsidRPr="00364B14">
        <w:rPr>
          <w:lang w:val="fr-FR"/>
        </w:rPr>
        <w:t>aux émissions sonores des</w:t>
      </w:r>
      <w:r w:rsidRPr="00364B14">
        <w:rPr>
          <w:b/>
          <w:lang w:val="fr-FR"/>
        </w:rPr>
        <w:t xml:space="preserve"> </w:t>
      </w:r>
      <w:r w:rsidR="005D74E7">
        <w:rPr>
          <w:lang w:val="fr-FR"/>
        </w:rPr>
        <w:t>véhicules de la </w:t>
      </w:r>
      <w:r w:rsidRPr="00364B14">
        <w:rPr>
          <w:lang w:val="fr-FR"/>
        </w:rPr>
        <w:t>catégorie L</w:t>
      </w:r>
      <w:r w:rsidRPr="00364B14">
        <w:rPr>
          <w:vertAlign w:val="subscript"/>
          <w:lang w:val="fr-FR"/>
        </w:rPr>
        <w:t>1</w:t>
      </w:r>
      <w:r w:rsidRPr="001F2BDA">
        <w:rPr>
          <w:rStyle w:val="FootnoteReference"/>
        </w:rPr>
        <w:footnoteReference w:id="4"/>
      </w:r>
      <w:r w:rsidRPr="00364B14">
        <w:rPr>
          <w:lang w:val="fr-FR"/>
        </w:rPr>
        <w:t>.</w:t>
      </w:r>
    </w:p>
    <w:p w:rsidR="00364B14" w:rsidRPr="00364B14" w:rsidRDefault="00364B14" w:rsidP="00B17C2C">
      <w:pPr>
        <w:pStyle w:val="HChG"/>
        <w:ind w:left="2268"/>
        <w:rPr>
          <w:b w:val="0"/>
          <w:lang w:val="fr-FR"/>
        </w:rPr>
      </w:pPr>
      <w:r w:rsidRPr="00364B14">
        <w:rPr>
          <w:lang w:val="fr-FR"/>
        </w:rPr>
        <w:t>2.</w:t>
      </w:r>
      <w:r w:rsidRPr="00364B14">
        <w:rPr>
          <w:lang w:val="fr-FR"/>
        </w:rPr>
        <w:tab/>
        <w:t>Définitions</w:t>
      </w:r>
    </w:p>
    <w:p w:rsidR="00364B14" w:rsidRPr="00364B14" w:rsidRDefault="00364B14" w:rsidP="005D74E7">
      <w:pPr>
        <w:pStyle w:val="SingleTxtG"/>
        <w:keepNext/>
        <w:keepLines/>
        <w:ind w:left="3402" w:hanging="1134"/>
        <w:rPr>
          <w:lang w:val="fr-FR"/>
        </w:rPr>
      </w:pPr>
      <w:r w:rsidRPr="00364B14">
        <w:rPr>
          <w:lang w:val="fr-FR"/>
        </w:rPr>
        <w:t>Au sens du présent Règlement, on entend par :</w:t>
      </w:r>
    </w:p>
    <w:p w:rsidR="00364B14" w:rsidRPr="00364B14" w:rsidRDefault="00364B14" w:rsidP="00B17C2C">
      <w:pPr>
        <w:pStyle w:val="SingleTxtG"/>
        <w:ind w:left="2268" w:hanging="1134"/>
        <w:rPr>
          <w:lang w:val="fr-FR"/>
        </w:rPr>
      </w:pPr>
      <w:r w:rsidRPr="00364B14">
        <w:rPr>
          <w:lang w:val="fr-FR"/>
        </w:rPr>
        <w:t>2.1</w:t>
      </w:r>
      <w:r w:rsidRPr="00364B14">
        <w:rPr>
          <w:lang w:val="fr-FR"/>
        </w:rPr>
        <w:tab/>
      </w:r>
      <w:r w:rsidRPr="00364B14">
        <w:t>“</w:t>
      </w:r>
      <w:r w:rsidRPr="00364B14">
        <w:rPr>
          <w:i/>
          <w:iCs/>
          <w:lang w:val="fr-FR"/>
        </w:rPr>
        <w:t>Homologation d’un véhicule r</w:t>
      </w:r>
      <w:r w:rsidRPr="00364B14">
        <w:t>”</w:t>
      </w:r>
      <w:r w:rsidRPr="00364B14">
        <w:rPr>
          <w:lang w:val="fr-FR"/>
        </w:rPr>
        <w:t>, l’homologation d’un type de</w:t>
      </w:r>
      <w:r w:rsidR="00EB4D6B">
        <w:rPr>
          <w:lang w:val="fr-FR"/>
        </w:rPr>
        <w:t xml:space="preserve"> </w:t>
      </w:r>
      <w:r w:rsidRPr="00364B14">
        <w:rPr>
          <w:lang w:val="fr-FR"/>
        </w:rPr>
        <w:t>véhicule en ce qui concerne les émissions sonores</w:t>
      </w:r>
      <w:r w:rsidR="00EB4D6B">
        <w:rPr>
          <w:lang w:val="fr-FR"/>
        </w:rPr>
        <w:t xml:space="preserve"> </w:t>
      </w:r>
      <w:r w:rsidRPr="00364B14">
        <w:rPr>
          <w:lang w:val="fr-FR"/>
        </w:rPr>
        <w:t>et le dispositif d’échappement d’origine en tant qu’entité technique d’un</w:t>
      </w:r>
      <w:r w:rsidR="005D74E7">
        <w:rPr>
          <w:lang w:val="fr-FR"/>
        </w:rPr>
        <w:t xml:space="preserve"> type de véhicule à deux roues.</w:t>
      </w:r>
    </w:p>
    <w:p w:rsidR="00364B14" w:rsidRPr="00364B14" w:rsidRDefault="00364B14" w:rsidP="00B17C2C">
      <w:pPr>
        <w:pStyle w:val="SingleTxtG"/>
        <w:ind w:left="2268" w:hanging="1134"/>
        <w:rPr>
          <w:lang w:val="fr-FR"/>
        </w:rPr>
      </w:pPr>
      <w:r w:rsidRPr="00364B14">
        <w:rPr>
          <w:lang w:val="fr-FR"/>
        </w:rPr>
        <w:t>2.2</w:t>
      </w:r>
      <w:r w:rsidRPr="00364B14">
        <w:rPr>
          <w:lang w:val="fr-FR"/>
        </w:rPr>
        <w:tab/>
      </w:r>
      <w:r w:rsidRPr="00364B14">
        <w:t>“</w:t>
      </w:r>
      <w:r w:rsidRPr="00364B14">
        <w:rPr>
          <w:i/>
          <w:lang w:val="fr-FR"/>
        </w:rPr>
        <w:t>Type de</w:t>
      </w:r>
      <w:r w:rsidR="00EB4D6B">
        <w:rPr>
          <w:i/>
          <w:lang w:val="fr-FR"/>
        </w:rPr>
        <w:t xml:space="preserve"> </w:t>
      </w:r>
      <w:r w:rsidRPr="00364B14">
        <w:rPr>
          <w:i/>
          <w:lang w:val="fr-FR"/>
        </w:rPr>
        <w:t>véhicule</w:t>
      </w:r>
      <w:r w:rsidRPr="00364B14">
        <w:t>”,</w:t>
      </w:r>
      <w:r w:rsidRPr="00364B14">
        <w:rPr>
          <w:lang w:val="fr-FR"/>
        </w:rPr>
        <w:t xml:space="preserve"> les</w:t>
      </w:r>
      <w:r w:rsidR="00EB4D6B">
        <w:rPr>
          <w:lang w:val="fr-FR"/>
        </w:rPr>
        <w:t xml:space="preserve"> </w:t>
      </w:r>
      <w:r w:rsidRPr="00364B14">
        <w:rPr>
          <w:lang w:val="fr-FR"/>
        </w:rPr>
        <w:t>véhicules</w:t>
      </w:r>
      <w:r w:rsidRPr="00364B14">
        <w:rPr>
          <w:b/>
          <w:lang w:val="fr-FR"/>
        </w:rPr>
        <w:t xml:space="preserve"> </w:t>
      </w:r>
      <w:r w:rsidRPr="00364B14">
        <w:rPr>
          <w:lang w:val="fr-FR"/>
        </w:rPr>
        <w:t>ne présentant pas entre eux de différences essentielles, ces différences pouvant porter, notamment, sur les points suivants :</w:t>
      </w:r>
    </w:p>
    <w:p w:rsidR="00364B14" w:rsidRPr="00364B14" w:rsidRDefault="00364B14" w:rsidP="00B17C2C">
      <w:pPr>
        <w:pStyle w:val="SingleTxtG"/>
        <w:ind w:left="2268" w:hanging="1134"/>
        <w:rPr>
          <w:lang w:val="fr-FR"/>
        </w:rPr>
      </w:pPr>
      <w:r w:rsidRPr="00364B14">
        <w:rPr>
          <w:lang w:val="fr-FR"/>
        </w:rPr>
        <w:t>2.2.1</w:t>
      </w:r>
      <w:r w:rsidRPr="00364B14">
        <w:rPr>
          <w:lang w:val="fr-FR"/>
        </w:rPr>
        <w:tab/>
        <w:t>Le type du moteur (deux temps ou quatre temps, à piston alternatif ou rotatif, nombre et volume des cylindres, nombre et type de carburateurs ou type du système d’injection, disposition des soupapes, puissance nette maximale nominale</w:t>
      </w:r>
      <w:r w:rsidRPr="00364B14">
        <w:rPr>
          <w:b/>
          <w:lang w:val="fr-FR"/>
        </w:rPr>
        <w:t xml:space="preserve"> </w:t>
      </w:r>
      <w:r w:rsidRPr="00364B14">
        <w:rPr>
          <w:lang w:val="fr-FR"/>
        </w:rPr>
        <w:t>et régime</w:t>
      </w:r>
      <w:r w:rsidR="00EB4D6B">
        <w:rPr>
          <w:lang w:val="fr-FR"/>
        </w:rPr>
        <w:t xml:space="preserve"> </w:t>
      </w:r>
      <w:r w:rsidRPr="006039F2">
        <w:rPr>
          <w:lang w:val="fr-FR"/>
        </w:rPr>
        <w:t>nominal</w:t>
      </w:r>
      <w:r w:rsidR="005D74E7" w:rsidRPr="006039F2">
        <w:rPr>
          <w:lang w:val="fr-FR"/>
        </w:rPr>
        <w:t>)</w:t>
      </w:r>
      <w:r w:rsidR="005D74E7">
        <w:rPr>
          <w:lang w:val="fr-FR"/>
        </w:rPr>
        <w:t> ;</w:t>
      </w:r>
    </w:p>
    <w:p w:rsidR="00364B14" w:rsidRPr="00364B14" w:rsidRDefault="00B17C2C" w:rsidP="00B17C2C">
      <w:pPr>
        <w:pStyle w:val="SingleTxtG"/>
        <w:ind w:left="2268" w:hanging="1134"/>
        <w:rPr>
          <w:lang w:val="fr-FR"/>
        </w:rPr>
      </w:pPr>
      <w:r>
        <w:rPr>
          <w:lang w:val="fr-FR"/>
        </w:rPr>
        <w:tab/>
      </w:r>
      <w:r w:rsidR="00364B14" w:rsidRPr="00364B14">
        <w:rPr>
          <w:lang w:val="fr-FR"/>
        </w:rPr>
        <w:t>Pour les moteurs à piston rotatif, la cylindrée à considérer est de deux fois le volume de la chambre de combustion ;</w:t>
      </w:r>
    </w:p>
    <w:p w:rsidR="00364B14" w:rsidRPr="00364B14" w:rsidRDefault="00364B14" w:rsidP="00B17C2C">
      <w:pPr>
        <w:pStyle w:val="SingleTxtG"/>
        <w:ind w:left="2268" w:hanging="1134"/>
        <w:rPr>
          <w:lang w:val="fr-FR"/>
        </w:rPr>
      </w:pPr>
      <w:r w:rsidRPr="00364B14">
        <w:rPr>
          <w:lang w:val="fr-FR"/>
        </w:rPr>
        <w:t>2.2.2</w:t>
      </w:r>
      <w:r w:rsidRPr="00364B14">
        <w:rPr>
          <w:lang w:val="fr-FR"/>
        </w:rPr>
        <w:tab/>
        <w:t>Le groupe motopropulseur, en particulier le</w:t>
      </w:r>
      <w:r w:rsidRPr="00364B14">
        <w:rPr>
          <w:b/>
          <w:lang w:val="fr-FR"/>
        </w:rPr>
        <w:t xml:space="preserve"> </w:t>
      </w:r>
      <w:r w:rsidRPr="00364B14">
        <w:rPr>
          <w:lang w:val="fr-FR"/>
        </w:rPr>
        <w:t>nombre des rapports et leur démultiplication</w:t>
      </w:r>
      <w:r w:rsidRPr="00364B14">
        <w:rPr>
          <w:b/>
          <w:lang w:val="fr-FR"/>
        </w:rPr>
        <w:t xml:space="preserve"> </w:t>
      </w:r>
      <w:r w:rsidRPr="00364B14">
        <w:rPr>
          <w:lang w:val="fr-FR"/>
        </w:rPr>
        <w:t>et le rapport global de transmission ;</w:t>
      </w:r>
    </w:p>
    <w:p w:rsidR="00364B14" w:rsidRPr="00364B14" w:rsidRDefault="00364B14" w:rsidP="00B17C2C">
      <w:pPr>
        <w:pStyle w:val="SingleTxtG"/>
        <w:ind w:left="2268" w:hanging="1134"/>
        <w:rPr>
          <w:lang w:val="fr-FR"/>
        </w:rPr>
      </w:pPr>
      <w:r w:rsidRPr="00364B14">
        <w:rPr>
          <w:lang w:val="fr-FR"/>
        </w:rPr>
        <w:t>2.2.3</w:t>
      </w:r>
      <w:r w:rsidRPr="00364B14">
        <w:rPr>
          <w:lang w:val="fr-FR"/>
        </w:rPr>
        <w:tab/>
        <w:t>Le nombre, le type et la disposition</w:t>
      </w:r>
      <w:r w:rsidR="005D74E7">
        <w:rPr>
          <w:lang w:val="fr-FR"/>
        </w:rPr>
        <w:t xml:space="preserve"> des dispositifs d’échappement.</w:t>
      </w:r>
    </w:p>
    <w:p w:rsidR="00364B14" w:rsidRPr="00364B14" w:rsidRDefault="00364B14" w:rsidP="00B17C2C">
      <w:pPr>
        <w:pStyle w:val="SingleTxtG"/>
        <w:ind w:left="2268" w:hanging="1134"/>
        <w:rPr>
          <w:lang w:val="fr-FR"/>
        </w:rPr>
      </w:pPr>
      <w:r w:rsidRPr="00364B14">
        <w:rPr>
          <w:lang w:val="fr-FR"/>
        </w:rPr>
        <w:t>2.3</w:t>
      </w:r>
      <w:r w:rsidRPr="00364B14">
        <w:rPr>
          <w:lang w:val="fr-FR"/>
        </w:rPr>
        <w:tab/>
      </w:r>
      <w:r w:rsidRPr="00364B14">
        <w:t>“</w:t>
      </w:r>
      <w:r w:rsidRPr="00364B14">
        <w:rPr>
          <w:i/>
          <w:lang w:val="fr-FR"/>
        </w:rPr>
        <w:t>Dispositif d’échappement ou silencieux</w:t>
      </w:r>
      <w:r w:rsidRPr="00364B14">
        <w:t>”</w:t>
      </w:r>
      <w:r w:rsidRPr="00364B14">
        <w:rPr>
          <w:lang w:val="fr-FR"/>
        </w:rPr>
        <w:t>, un jeu complet d’éléments nécessaires pour atténuer</w:t>
      </w:r>
      <w:r w:rsidR="00EB4D6B">
        <w:rPr>
          <w:lang w:val="fr-FR"/>
        </w:rPr>
        <w:t xml:space="preserve"> </w:t>
      </w:r>
      <w:r w:rsidRPr="00364B14">
        <w:rPr>
          <w:lang w:val="fr-FR"/>
        </w:rPr>
        <w:t>les émissions sonores du moteur du véhicule</w:t>
      </w:r>
      <w:r w:rsidRPr="00364B14">
        <w:rPr>
          <w:b/>
          <w:lang w:val="fr-FR"/>
        </w:rPr>
        <w:t xml:space="preserve"> </w:t>
      </w:r>
      <w:r w:rsidRPr="00364B14">
        <w:rPr>
          <w:lang w:val="fr-FR"/>
        </w:rPr>
        <w:t>et</w:t>
      </w:r>
      <w:r w:rsidR="00EB4D6B">
        <w:rPr>
          <w:lang w:val="fr-FR"/>
        </w:rPr>
        <w:t xml:space="preserve"> </w:t>
      </w:r>
      <w:r w:rsidRPr="00364B14">
        <w:rPr>
          <w:lang w:val="fr-FR"/>
        </w:rPr>
        <w:t>de</w:t>
      </w:r>
      <w:r w:rsidRPr="00364B14">
        <w:rPr>
          <w:b/>
          <w:lang w:val="fr-FR"/>
        </w:rPr>
        <w:t xml:space="preserve"> </w:t>
      </w:r>
      <w:r w:rsidR="005D74E7">
        <w:rPr>
          <w:lang w:val="fr-FR"/>
        </w:rPr>
        <w:t>son échappement.</w:t>
      </w:r>
    </w:p>
    <w:p w:rsidR="00364B14" w:rsidRPr="00364B14" w:rsidRDefault="00364B14" w:rsidP="00B17C2C">
      <w:pPr>
        <w:pStyle w:val="SingleTxtG"/>
        <w:ind w:left="2268" w:hanging="1134"/>
        <w:rPr>
          <w:lang w:val="fr-FR"/>
        </w:rPr>
      </w:pPr>
      <w:r w:rsidRPr="00364B14">
        <w:rPr>
          <w:lang w:val="fr-FR"/>
        </w:rPr>
        <w:t>2.4</w:t>
      </w:r>
      <w:r w:rsidRPr="00364B14">
        <w:rPr>
          <w:lang w:val="fr-FR"/>
        </w:rPr>
        <w:tab/>
      </w:r>
      <w:r w:rsidRPr="00364B14">
        <w:t>“</w:t>
      </w:r>
      <w:r w:rsidRPr="00364B14">
        <w:rPr>
          <w:i/>
          <w:lang w:val="fr-FR"/>
        </w:rPr>
        <w:t>Dispositif d’échappement ou silencieux d’origine</w:t>
      </w:r>
      <w:r w:rsidRPr="00364B14">
        <w:t>”</w:t>
      </w:r>
      <w:r w:rsidRPr="00364B14">
        <w:rPr>
          <w:lang w:val="fr-FR"/>
        </w:rPr>
        <w:t>, un dispositif du même type que celui qui équipait le véhicule lors de son homologation ou de l’extension de son homologation. Il peut être soit de premiè</w:t>
      </w:r>
      <w:r w:rsidR="005D74E7">
        <w:rPr>
          <w:lang w:val="fr-FR"/>
        </w:rPr>
        <w:t>re monte, soit de remplacement.</w:t>
      </w:r>
    </w:p>
    <w:p w:rsidR="00364B14" w:rsidRPr="00364B14" w:rsidRDefault="00364B14" w:rsidP="00B17C2C">
      <w:pPr>
        <w:pStyle w:val="SingleTxtG"/>
        <w:ind w:left="2268" w:hanging="1134"/>
        <w:rPr>
          <w:lang w:val="fr-FR"/>
        </w:rPr>
      </w:pPr>
      <w:r w:rsidRPr="00364B14">
        <w:rPr>
          <w:lang w:val="fr-FR"/>
        </w:rPr>
        <w:t>2.5</w:t>
      </w:r>
      <w:r w:rsidRPr="00364B14">
        <w:rPr>
          <w:lang w:val="fr-FR"/>
        </w:rPr>
        <w:tab/>
      </w:r>
      <w:r w:rsidRPr="00364B14">
        <w:t>“</w:t>
      </w:r>
      <w:r w:rsidRPr="00364B14">
        <w:rPr>
          <w:i/>
          <w:lang w:val="fr-FR"/>
        </w:rPr>
        <w:t>Dispositif d’échappement ou silencieux non d’origine</w:t>
      </w:r>
      <w:r w:rsidRPr="00364B14">
        <w:t>”</w:t>
      </w:r>
      <w:r w:rsidRPr="00364B14">
        <w:rPr>
          <w:lang w:val="fr-FR"/>
        </w:rPr>
        <w:t>, un dispositif d’un type différent de celui qui équipait le véhicule lors de son homologation ou de l’extension de son homologation. Il ne peut être utilisé</w:t>
      </w:r>
      <w:r w:rsidR="00EB4D6B">
        <w:rPr>
          <w:lang w:val="fr-FR"/>
        </w:rPr>
        <w:t xml:space="preserve"> </w:t>
      </w:r>
      <w:r w:rsidRPr="00364B14">
        <w:rPr>
          <w:lang w:val="fr-FR"/>
        </w:rPr>
        <w:t>que comme dispositif d’échappement ou silencieux de remplac</w:t>
      </w:r>
      <w:r w:rsidR="005D74E7">
        <w:rPr>
          <w:lang w:val="fr-FR"/>
        </w:rPr>
        <w:t>ement.</w:t>
      </w:r>
    </w:p>
    <w:p w:rsidR="00364B14" w:rsidRPr="00364B14" w:rsidRDefault="00364B14" w:rsidP="005D74E7">
      <w:pPr>
        <w:pStyle w:val="SingleTxtG"/>
        <w:keepNext/>
        <w:keepLines/>
        <w:ind w:left="2268" w:hanging="1134"/>
        <w:rPr>
          <w:lang w:val="fr-FR"/>
        </w:rPr>
      </w:pPr>
      <w:r w:rsidRPr="00364B14">
        <w:rPr>
          <w:lang w:val="fr-FR"/>
        </w:rPr>
        <w:t>2.6</w:t>
      </w:r>
      <w:r w:rsidRPr="00364B14">
        <w:rPr>
          <w:b/>
          <w:lang w:val="fr-FR"/>
        </w:rPr>
        <w:tab/>
      </w:r>
      <w:r w:rsidRPr="00364B14">
        <w:t>“</w:t>
      </w:r>
      <w:r w:rsidRPr="00364B14">
        <w:rPr>
          <w:i/>
          <w:lang w:val="fr-FR"/>
        </w:rPr>
        <w:t>Puissance nette maximale nominale</w:t>
      </w:r>
      <w:r w:rsidRPr="00364B14">
        <w:t>”</w:t>
      </w:r>
    </w:p>
    <w:p w:rsidR="00364B14" w:rsidRPr="00364B14" w:rsidRDefault="00B17C2C" w:rsidP="00B17C2C">
      <w:pPr>
        <w:pStyle w:val="SingleTxtG"/>
        <w:ind w:left="2268" w:hanging="1134"/>
        <w:rPr>
          <w:lang w:val="fr-FR"/>
        </w:rPr>
      </w:pPr>
      <w:r>
        <w:rPr>
          <w:lang w:val="fr-FR"/>
        </w:rPr>
        <w:tab/>
      </w:r>
      <w:r w:rsidR="00364B14" w:rsidRPr="00364B14">
        <w:rPr>
          <w:lang w:val="fr-FR"/>
        </w:rPr>
        <w:t>Pour les véhicules équipés d’un moteur à combustion interne, la puissance nominale du moteur tell</w:t>
      </w:r>
      <w:r w:rsidR="005D74E7">
        <w:rPr>
          <w:lang w:val="fr-FR"/>
        </w:rPr>
        <w:t>e que définie dans la norme ISO 4106:2012.</w:t>
      </w:r>
    </w:p>
    <w:p w:rsidR="00364B14" w:rsidRPr="00364B14" w:rsidRDefault="00B17C2C" w:rsidP="00B17C2C">
      <w:pPr>
        <w:pStyle w:val="SingleTxtG"/>
        <w:ind w:left="2268" w:hanging="1134"/>
        <w:rPr>
          <w:lang w:val="fr-FR"/>
        </w:rPr>
      </w:pPr>
      <w:r>
        <w:rPr>
          <w:lang w:val="fr-FR"/>
        </w:rPr>
        <w:tab/>
      </w:r>
      <w:r w:rsidR="005D74E7">
        <w:rPr>
          <w:lang w:val="fr-FR"/>
        </w:rPr>
        <w:t>Le symbole </w:t>
      </w:r>
      <w:r w:rsidR="00364B14" w:rsidRPr="00364B14">
        <w:rPr>
          <w:lang w:val="fr-FR"/>
        </w:rPr>
        <w:t>P</w:t>
      </w:r>
      <w:r w:rsidR="00364B14" w:rsidRPr="00364B14">
        <w:rPr>
          <w:vertAlign w:val="subscript"/>
          <w:lang w:val="fr-FR"/>
        </w:rPr>
        <w:t>n</w:t>
      </w:r>
      <w:r w:rsidR="00364B14" w:rsidRPr="00364B14">
        <w:rPr>
          <w:lang w:val="fr-FR"/>
        </w:rPr>
        <w:t xml:space="preserve"> représente la valeur numérique de la puissance nette ma</w:t>
      </w:r>
      <w:r w:rsidR="005D74E7">
        <w:rPr>
          <w:lang w:val="fr-FR"/>
        </w:rPr>
        <w:t>ximale nominale exprimée en kW.</w:t>
      </w:r>
    </w:p>
    <w:p w:rsidR="00364B14" w:rsidRPr="00364B14" w:rsidRDefault="00364B14" w:rsidP="00B17C2C">
      <w:pPr>
        <w:pStyle w:val="SingleTxtG"/>
        <w:ind w:left="2268" w:hanging="1134"/>
        <w:rPr>
          <w:b/>
          <w:lang w:val="fr-FR"/>
        </w:rPr>
      </w:pPr>
      <w:r w:rsidRPr="00364B14">
        <w:rPr>
          <w:lang w:val="fr-FR"/>
        </w:rPr>
        <w:t>2.7</w:t>
      </w:r>
      <w:r w:rsidRPr="00364B14">
        <w:rPr>
          <w:b/>
          <w:lang w:val="fr-FR"/>
        </w:rPr>
        <w:tab/>
      </w:r>
      <w:r w:rsidRPr="00364B14">
        <w:t>“</w:t>
      </w:r>
      <w:r w:rsidRPr="00364B14">
        <w:rPr>
          <w:i/>
          <w:lang w:val="fr-FR"/>
        </w:rPr>
        <w:t>Régime nominal</w:t>
      </w:r>
      <w:r w:rsidRPr="00364B14">
        <w:t>”</w:t>
      </w:r>
      <w:r w:rsidRPr="00364B14">
        <w:rPr>
          <w:lang w:val="fr-FR"/>
        </w:rPr>
        <w:t>, le régime auquel le moteur développe sa puissance maximale nette nominale, tel qu’indiqué par le constructeur</w:t>
      </w:r>
      <w:r w:rsidRPr="001F2BDA">
        <w:rPr>
          <w:rStyle w:val="FootnoteReference"/>
        </w:rPr>
        <w:footnoteReference w:id="5"/>
      </w:r>
      <w:r w:rsidRPr="00364B14">
        <w:rPr>
          <w:lang w:val="fr-FR"/>
        </w:rPr>
        <w:t>.</w:t>
      </w:r>
    </w:p>
    <w:p w:rsidR="00364B14" w:rsidRPr="005D74E7" w:rsidRDefault="00B17C2C" w:rsidP="00B17C2C">
      <w:pPr>
        <w:pStyle w:val="SingleTxtG"/>
        <w:ind w:left="2268" w:hanging="1134"/>
      </w:pPr>
      <w:r>
        <w:rPr>
          <w:lang w:val="fr-FR"/>
        </w:rPr>
        <w:tab/>
      </w:r>
      <w:r w:rsidR="00364B14" w:rsidRPr="00364B14">
        <w:rPr>
          <w:lang w:val="fr-FR"/>
        </w:rPr>
        <w:t>Le symbole n</w:t>
      </w:r>
      <w:r w:rsidR="00364B14" w:rsidRPr="00364B14">
        <w:rPr>
          <w:vertAlign w:val="subscript"/>
          <w:lang w:val="fr-FR"/>
        </w:rPr>
        <w:t>rated</w:t>
      </w:r>
      <w:r w:rsidR="00364B14" w:rsidRPr="00364B14">
        <w:rPr>
          <w:lang w:val="fr-FR"/>
        </w:rPr>
        <w:t xml:space="preserve"> représente la valeur numérique du régime nominal exprimée en min</w:t>
      </w:r>
      <w:r w:rsidR="00364B14" w:rsidRPr="00364B14">
        <w:rPr>
          <w:vertAlign w:val="superscript"/>
          <w:lang w:val="fr-FR"/>
        </w:rPr>
        <w:t>-1</w:t>
      </w:r>
      <w:r w:rsidR="005D74E7">
        <w:t>.</w:t>
      </w:r>
    </w:p>
    <w:p w:rsidR="00364B14" w:rsidRPr="00364B14" w:rsidRDefault="00364B14" w:rsidP="005D74E7">
      <w:pPr>
        <w:pStyle w:val="SingleTxtG"/>
        <w:keepNext/>
        <w:keepLines/>
        <w:ind w:left="2268" w:hanging="1134"/>
        <w:rPr>
          <w:lang w:val="fr-FR"/>
        </w:rPr>
      </w:pPr>
      <w:r w:rsidRPr="00364B14">
        <w:rPr>
          <w:lang w:val="fr-FR"/>
        </w:rPr>
        <w:lastRenderedPageBreak/>
        <w:t>2.8</w:t>
      </w:r>
      <w:r w:rsidRPr="00364B14">
        <w:rPr>
          <w:lang w:val="fr-FR"/>
        </w:rPr>
        <w:tab/>
      </w:r>
      <w:r w:rsidRPr="00364B14">
        <w:t>“</w:t>
      </w:r>
      <w:r w:rsidRPr="00364B14">
        <w:rPr>
          <w:i/>
          <w:lang w:val="fr-FR"/>
        </w:rPr>
        <w:t>Silencieux de types différents</w:t>
      </w:r>
      <w:r w:rsidRPr="00364B14">
        <w:t>”</w:t>
      </w:r>
      <w:r w:rsidRPr="00364B14">
        <w:rPr>
          <w:lang w:val="fr-FR"/>
        </w:rPr>
        <w:t>, des dispositifs présentant entre eux des différences essentielles, ces différences pouvant porter, notamment, sur les points suivants :</w:t>
      </w:r>
    </w:p>
    <w:p w:rsidR="00364B14" w:rsidRPr="00364B14" w:rsidRDefault="00364B14" w:rsidP="00B17C2C">
      <w:pPr>
        <w:pStyle w:val="SingleTxtG"/>
        <w:ind w:left="2268" w:hanging="1134"/>
        <w:rPr>
          <w:lang w:val="fr-FR"/>
        </w:rPr>
      </w:pPr>
      <w:r w:rsidRPr="00364B14">
        <w:rPr>
          <w:lang w:val="fr-FR"/>
        </w:rPr>
        <w:t>2.8.1</w:t>
      </w:r>
      <w:r w:rsidRPr="00364B14">
        <w:rPr>
          <w:lang w:val="fr-FR"/>
        </w:rPr>
        <w:tab/>
        <w:t>Dispositifs dont les éléments portent des marques de fabri</w:t>
      </w:r>
      <w:r w:rsidR="005D74E7">
        <w:rPr>
          <w:lang w:val="fr-FR"/>
        </w:rPr>
        <w:t>que ou de comme</w:t>
      </w:r>
      <w:r w:rsidR="00916F2A">
        <w:rPr>
          <w:lang w:val="fr-FR"/>
        </w:rPr>
        <w:t>rce différentes ;</w:t>
      </w:r>
    </w:p>
    <w:p w:rsidR="00364B14" w:rsidRPr="00364B14" w:rsidRDefault="00364B14" w:rsidP="00B17C2C">
      <w:pPr>
        <w:pStyle w:val="SingleTxtG"/>
        <w:ind w:left="2268" w:hanging="1134"/>
        <w:rPr>
          <w:lang w:val="fr-FR"/>
        </w:rPr>
      </w:pPr>
      <w:r w:rsidRPr="00364B14">
        <w:rPr>
          <w:lang w:val="fr-FR"/>
        </w:rPr>
        <w:t>2.8.2</w:t>
      </w:r>
      <w:r w:rsidRPr="00364B14">
        <w:rPr>
          <w:lang w:val="fr-FR"/>
        </w:rPr>
        <w:tab/>
        <w:t xml:space="preserve">Dispositifs pour lesquels les caractéristiques des matériaux constituant un élément quelconque sont différentes ou dont les éléments ont une </w:t>
      </w:r>
      <w:r w:rsidR="00916F2A">
        <w:rPr>
          <w:lang w:val="fr-FR"/>
        </w:rPr>
        <w:t>forme ou une taille différente ;</w:t>
      </w:r>
    </w:p>
    <w:p w:rsidR="00364B14" w:rsidRPr="00364B14" w:rsidRDefault="00364B14" w:rsidP="00B17C2C">
      <w:pPr>
        <w:pStyle w:val="SingleTxtG"/>
        <w:ind w:left="2268" w:hanging="1134"/>
        <w:rPr>
          <w:lang w:val="fr-FR"/>
        </w:rPr>
      </w:pPr>
      <w:r w:rsidRPr="00364B14">
        <w:rPr>
          <w:lang w:val="fr-FR"/>
        </w:rPr>
        <w:t>2.8.3</w:t>
      </w:r>
      <w:r w:rsidRPr="00364B14">
        <w:rPr>
          <w:lang w:val="fr-FR"/>
        </w:rPr>
        <w:tab/>
        <w:t>Dispositifs pour lesquels les principes de fonctionnement d’un él</w:t>
      </w:r>
      <w:r w:rsidR="00916F2A">
        <w:rPr>
          <w:lang w:val="fr-FR"/>
        </w:rPr>
        <w:t>ément au moins sont différents ;</w:t>
      </w:r>
    </w:p>
    <w:p w:rsidR="00364B14" w:rsidRPr="00364B14" w:rsidRDefault="00364B14" w:rsidP="00B17C2C">
      <w:pPr>
        <w:pStyle w:val="SingleTxtG"/>
        <w:ind w:left="2268" w:hanging="1134"/>
        <w:rPr>
          <w:lang w:val="fr-FR"/>
        </w:rPr>
      </w:pPr>
      <w:r w:rsidRPr="00364B14">
        <w:rPr>
          <w:lang w:val="fr-FR"/>
        </w:rPr>
        <w:t>2.8.4</w:t>
      </w:r>
      <w:r w:rsidRPr="00364B14">
        <w:rPr>
          <w:lang w:val="fr-FR"/>
        </w:rPr>
        <w:tab/>
        <w:t>Dispositifs dont les éléme</w:t>
      </w:r>
      <w:r w:rsidR="005D74E7">
        <w:rPr>
          <w:lang w:val="fr-FR"/>
        </w:rPr>
        <w:t>nts sont combinés différemment.</w:t>
      </w:r>
    </w:p>
    <w:p w:rsidR="00364B14" w:rsidRPr="00364B14" w:rsidRDefault="00364B14" w:rsidP="005D74E7">
      <w:pPr>
        <w:pStyle w:val="SingleTxtG"/>
        <w:keepNext/>
        <w:keepLines/>
        <w:ind w:left="2268" w:hanging="1134"/>
        <w:rPr>
          <w:lang w:val="fr-FR"/>
        </w:rPr>
      </w:pPr>
      <w:r w:rsidRPr="00364B14">
        <w:rPr>
          <w:lang w:val="fr-FR"/>
        </w:rPr>
        <w:t>2.9</w:t>
      </w:r>
      <w:r w:rsidRPr="00364B14">
        <w:rPr>
          <w:lang w:val="fr-FR"/>
        </w:rPr>
        <w:tab/>
      </w:r>
      <w:r w:rsidRPr="00364B14">
        <w:t>“</w:t>
      </w:r>
      <w:r w:rsidRPr="00364B14">
        <w:rPr>
          <w:i/>
          <w:lang w:val="fr-FR"/>
        </w:rPr>
        <w:t>Élément d’un dispositif d’échappement</w:t>
      </w:r>
      <w:r w:rsidRPr="00364B14">
        <w:t>”</w:t>
      </w:r>
      <w:r w:rsidRPr="00364B14">
        <w:rPr>
          <w:lang w:val="fr-FR"/>
        </w:rPr>
        <w:t>, un des composants isolés dont l’ensemble forme le dispositif d’échappement (par exemple, tuyau d’échappement ou silencieux) et, le cas échéant, le dispositif d’admission (filtre à air).</w:t>
      </w:r>
    </w:p>
    <w:p w:rsidR="00364B14" w:rsidRPr="00364B14" w:rsidRDefault="00B17C2C" w:rsidP="00B17C2C">
      <w:pPr>
        <w:pStyle w:val="SingleTxtG"/>
        <w:ind w:left="2268" w:hanging="1134"/>
        <w:rPr>
          <w:lang w:val="fr-FR"/>
        </w:rPr>
      </w:pPr>
      <w:r>
        <w:rPr>
          <w:lang w:val="fr-FR"/>
        </w:rPr>
        <w:tab/>
      </w:r>
      <w:r w:rsidR="00364B14" w:rsidRPr="00364B14">
        <w:rPr>
          <w:lang w:val="fr-FR"/>
        </w:rPr>
        <w:t>Si le moteur est équipé d’un dispositif d’admission (filtre à air et/ou silencieux d’admission indispensable pour respecter les valeurs limites du niveau sonore), celui-ci doit être considéré comme un élément ayant la même importance que le dispositif d’échappement proprement dit, figurer sur la</w:t>
      </w:r>
      <w:r w:rsidR="005D74E7">
        <w:rPr>
          <w:lang w:val="fr-FR"/>
        </w:rPr>
        <w:t xml:space="preserve"> liste mentionnée au paragraphe </w:t>
      </w:r>
      <w:r w:rsidR="00364B14" w:rsidRPr="00364B14">
        <w:rPr>
          <w:lang w:val="fr-FR"/>
        </w:rPr>
        <w:t>3.2.2 ci-dessous et porter les</w:t>
      </w:r>
      <w:r w:rsidR="00EB4D6B">
        <w:rPr>
          <w:lang w:val="fr-FR"/>
        </w:rPr>
        <w:t xml:space="preserve"> </w:t>
      </w:r>
      <w:r w:rsidR="00364B14" w:rsidRPr="00364B14">
        <w:rPr>
          <w:lang w:val="fr-FR"/>
        </w:rPr>
        <w:t>inscriptions p</w:t>
      </w:r>
      <w:r w:rsidR="005D74E7">
        <w:rPr>
          <w:lang w:val="fr-FR"/>
        </w:rPr>
        <w:t>rescrites au paragraphe 4.1 ci-dessous.</w:t>
      </w:r>
    </w:p>
    <w:p w:rsidR="00364B14" w:rsidRPr="00364B14" w:rsidRDefault="00364B14" w:rsidP="005D74E7">
      <w:pPr>
        <w:pStyle w:val="SingleTxtG"/>
        <w:keepNext/>
        <w:keepLines/>
        <w:ind w:left="2268" w:hanging="1134"/>
        <w:rPr>
          <w:lang w:val="fr-FR"/>
        </w:rPr>
      </w:pPr>
      <w:r w:rsidRPr="00364B14">
        <w:rPr>
          <w:lang w:val="fr-FR"/>
        </w:rPr>
        <w:t>2.10</w:t>
      </w:r>
      <w:r w:rsidRPr="00364B14">
        <w:rPr>
          <w:lang w:val="fr-FR"/>
        </w:rPr>
        <w:tab/>
        <w:t>Masse de référence</w:t>
      </w:r>
    </w:p>
    <w:p w:rsidR="00364B14" w:rsidRPr="00364B14" w:rsidRDefault="00364B14" w:rsidP="005D74E7">
      <w:pPr>
        <w:pStyle w:val="SingleTxtG"/>
        <w:keepNext/>
        <w:keepLines/>
        <w:ind w:left="2268" w:hanging="1134"/>
        <w:rPr>
          <w:lang w:val="fr-FR"/>
        </w:rPr>
      </w:pPr>
      <w:r w:rsidRPr="00364B14">
        <w:rPr>
          <w:lang w:val="fr-FR"/>
        </w:rPr>
        <w:t>2.10.1</w:t>
      </w:r>
      <w:r w:rsidRPr="00364B14">
        <w:rPr>
          <w:lang w:val="fr-FR"/>
        </w:rPr>
        <w:tab/>
        <w:t>La masse de référence d’un véhicule de la catégorie L</w:t>
      </w:r>
      <w:r w:rsidRPr="00364B14">
        <w:rPr>
          <w:vertAlign w:val="subscript"/>
          <w:lang w:val="fr-FR"/>
        </w:rPr>
        <w:t>1</w:t>
      </w:r>
      <w:r w:rsidRPr="00364B14">
        <w:rPr>
          <w:lang w:val="fr-FR"/>
        </w:rPr>
        <w:t xml:space="preserve"> est déterminée par la mesure de la masse du véhicule à vide prêt pour un usage normal et elle inclut la masse :</w:t>
      </w:r>
    </w:p>
    <w:p w:rsidR="00364B14" w:rsidRPr="00364B14" w:rsidRDefault="00B17C2C" w:rsidP="00B17C2C">
      <w:pPr>
        <w:pStyle w:val="SingleTxtG"/>
        <w:ind w:left="2268" w:hanging="1134"/>
        <w:rPr>
          <w:lang w:val="fr-FR"/>
        </w:rPr>
      </w:pPr>
      <w:r>
        <w:rPr>
          <w:lang w:val="fr-FR"/>
        </w:rPr>
        <w:tab/>
      </w:r>
      <w:r w:rsidR="00364B14" w:rsidRPr="00364B14">
        <w:rPr>
          <w:lang w:val="fr-FR"/>
        </w:rPr>
        <w:t>a)</w:t>
      </w:r>
      <w:r w:rsidR="00364B14" w:rsidRPr="00364B14">
        <w:rPr>
          <w:lang w:val="fr-FR"/>
        </w:rPr>
        <w:tab/>
        <w:t>Des liquides ;</w:t>
      </w:r>
    </w:p>
    <w:p w:rsidR="00364B14" w:rsidRPr="00364B14" w:rsidRDefault="00364B14" w:rsidP="00B17C2C">
      <w:pPr>
        <w:pStyle w:val="SingleTxtG"/>
        <w:ind w:left="2835" w:hanging="567"/>
        <w:rPr>
          <w:lang w:val="fr-FR"/>
        </w:rPr>
      </w:pPr>
      <w:r w:rsidRPr="00364B14">
        <w:rPr>
          <w:lang w:val="fr-FR"/>
        </w:rPr>
        <w:t>b)</w:t>
      </w:r>
      <w:r w:rsidRPr="00364B14">
        <w:rPr>
          <w:lang w:val="fr-FR"/>
        </w:rPr>
        <w:tab/>
        <w:t>Des équipements standard conformément aux spécifications du constructeur ;</w:t>
      </w:r>
    </w:p>
    <w:p w:rsidR="00364B14" w:rsidRPr="00364B14" w:rsidRDefault="00364B14" w:rsidP="00B17C2C">
      <w:pPr>
        <w:pStyle w:val="SingleTxtG"/>
        <w:ind w:left="2835" w:hanging="567"/>
        <w:rPr>
          <w:lang w:val="fr-FR"/>
        </w:rPr>
      </w:pPr>
      <w:r w:rsidRPr="00364B14">
        <w:rPr>
          <w:lang w:val="fr-FR"/>
        </w:rPr>
        <w:t>c)</w:t>
      </w:r>
      <w:r w:rsidRPr="00364B14">
        <w:rPr>
          <w:lang w:val="fr-FR"/>
        </w:rPr>
        <w:tab/>
        <w:t xml:space="preserve">Du </w:t>
      </w:r>
      <w:r w:rsidRPr="00364B14">
        <w:t>“</w:t>
      </w:r>
      <w:r w:rsidRPr="00364B14">
        <w:rPr>
          <w:lang w:val="fr-FR"/>
        </w:rPr>
        <w:t>carburant</w:t>
      </w:r>
      <w:r w:rsidRPr="00364B14">
        <w:t>”</w:t>
      </w:r>
      <w:r w:rsidRPr="00364B14">
        <w:rPr>
          <w:lang w:val="fr-FR"/>
        </w:rPr>
        <w:t xml:space="preserve"> présent dans les réservoirs qui sont remplis à</w:t>
      </w:r>
      <w:r w:rsidR="00347903">
        <w:rPr>
          <w:lang w:val="fr-FR"/>
        </w:rPr>
        <w:t xml:space="preserve"> au moins 90 % de leur capacité ;</w:t>
      </w:r>
    </w:p>
    <w:p w:rsidR="00364B14" w:rsidRPr="00364B14" w:rsidRDefault="00364B14" w:rsidP="00B17C2C">
      <w:pPr>
        <w:pStyle w:val="SingleTxtG"/>
        <w:ind w:left="3402" w:hanging="567"/>
        <w:rPr>
          <w:lang w:val="fr-FR"/>
        </w:rPr>
      </w:pPr>
      <w:r w:rsidRPr="00364B14">
        <w:rPr>
          <w:lang w:val="fr-FR"/>
        </w:rPr>
        <w:t>Aux fins du présent point :</w:t>
      </w:r>
    </w:p>
    <w:p w:rsidR="00364B14" w:rsidRPr="00364B14" w:rsidRDefault="00364B14" w:rsidP="00B17C2C">
      <w:pPr>
        <w:pStyle w:val="SingleTxtG"/>
        <w:ind w:left="3402" w:hanging="567"/>
        <w:rPr>
          <w:lang w:val="fr-FR"/>
        </w:rPr>
      </w:pPr>
      <w:r w:rsidRPr="00364B14">
        <w:rPr>
          <w:lang w:val="fr-FR"/>
        </w:rPr>
        <w:t>i)</w:t>
      </w:r>
      <w:r w:rsidRPr="00364B14">
        <w:rPr>
          <w:lang w:val="fr-FR"/>
        </w:rPr>
        <w:tab/>
        <w:t xml:space="preserve">Si la propulsion du véhicule est assurée par un </w:t>
      </w:r>
      <w:r w:rsidRPr="00364B14">
        <w:t>“</w:t>
      </w:r>
      <w:r w:rsidRPr="00364B14">
        <w:rPr>
          <w:lang w:val="fr-FR"/>
        </w:rPr>
        <w:t>carburant liquide</w:t>
      </w:r>
      <w:r w:rsidRPr="00364B14">
        <w:t>”</w:t>
      </w:r>
      <w:r w:rsidRPr="00364B14">
        <w:rPr>
          <w:lang w:val="fr-FR"/>
        </w:rPr>
        <w:t xml:space="preserve">, ce dernier est considéré comme un </w:t>
      </w:r>
      <w:r w:rsidRPr="00364B14">
        <w:t>“</w:t>
      </w:r>
      <w:r w:rsidRPr="00364B14">
        <w:rPr>
          <w:lang w:val="fr-FR"/>
        </w:rPr>
        <w:t>carburant</w:t>
      </w:r>
      <w:r w:rsidRPr="00364B14">
        <w:t>”</w:t>
      </w:r>
      <w:r w:rsidRPr="00364B14">
        <w:rPr>
          <w:lang w:val="fr-FR"/>
        </w:rPr>
        <w:t> ;</w:t>
      </w:r>
    </w:p>
    <w:p w:rsidR="00364B14" w:rsidRPr="00364B14" w:rsidRDefault="00364B14" w:rsidP="00B17C2C">
      <w:pPr>
        <w:pStyle w:val="SingleTxtG"/>
        <w:ind w:left="3402" w:hanging="567"/>
        <w:rPr>
          <w:lang w:val="fr-FR"/>
        </w:rPr>
      </w:pPr>
      <w:r w:rsidRPr="00364B14">
        <w:rPr>
          <w:lang w:val="fr-FR"/>
        </w:rPr>
        <w:t>ii)</w:t>
      </w:r>
      <w:r w:rsidRPr="00364B14">
        <w:rPr>
          <w:lang w:val="fr-FR"/>
        </w:rPr>
        <w:tab/>
        <w:t xml:space="preserve">Si la propulsion du véhicule est assurée par un liquide constitué d’un </w:t>
      </w:r>
      <w:r w:rsidRPr="00364B14">
        <w:t>“</w:t>
      </w:r>
      <w:r w:rsidRPr="00364B14">
        <w:rPr>
          <w:lang w:val="fr-FR"/>
        </w:rPr>
        <w:t>mélange carburant/huile</w:t>
      </w:r>
      <w:r w:rsidRPr="00364B14">
        <w:t>”</w:t>
      </w:r>
      <w:r w:rsidRPr="00364B14">
        <w:rPr>
          <w:lang w:val="fr-FR"/>
        </w:rPr>
        <w:t>:</w:t>
      </w:r>
    </w:p>
    <w:p w:rsidR="00364B14" w:rsidRPr="00364B14" w:rsidRDefault="00364B14" w:rsidP="00B17C2C">
      <w:pPr>
        <w:pStyle w:val="SingleTxtG"/>
        <w:ind w:left="3969" w:hanging="567"/>
        <w:rPr>
          <w:lang w:val="fr-FR"/>
        </w:rPr>
      </w:pPr>
      <w:r w:rsidRPr="00364B14">
        <w:rPr>
          <w:lang w:val="fr-FR"/>
        </w:rPr>
        <w:t>a.</w:t>
      </w:r>
      <w:r w:rsidRPr="00364B14">
        <w:rPr>
          <w:lang w:val="fr-FR"/>
        </w:rPr>
        <w:tab/>
        <w:t xml:space="preserve">Lorsque le carburant assurant la propulsion du véhicule et l’huile de graissage sont prémélangés, ce </w:t>
      </w:r>
      <w:r w:rsidRPr="00364B14">
        <w:t>“</w:t>
      </w:r>
      <w:r w:rsidRPr="00364B14">
        <w:rPr>
          <w:lang w:val="fr-FR"/>
        </w:rPr>
        <w:t>prémélange</w:t>
      </w:r>
      <w:r w:rsidRPr="00364B14">
        <w:t>”</w:t>
      </w:r>
      <w:r w:rsidRPr="00364B14">
        <w:rPr>
          <w:lang w:val="fr-FR"/>
        </w:rPr>
        <w:t xml:space="preserve"> est considéré comme un </w:t>
      </w:r>
      <w:r w:rsidRPr="00364B14">
        <w:t>“</w:t>
      </w:r>
      <w:r w:rsidRPr="00364B14">
        <w:rPr>
          <w:lang w:val="fr-FR"/>
        </w:rPr>
        <w:t>carburant</w:t>
      </w:r>
      <w:r w:rsidRPr="00364B14">
        <w:t>”</w:t>
      </w:r>
      <w:r w:rsidRPr="00364B14">
        <w:rPr>
          <w:lang w:val="fr-FR"/>
        </w:rPr>
        <w:t> ;</w:t>
      </w:r>
    </w:p>
    <w:p w:rsidR="00364B14" w:rsidRPr="00364B14" w:rsidRDefault="00364B14" w:rsidP="00B17C2C">
      <w:pPr>
        <w:pStyle w:val="SingleTxtG"/>
        <w:ind w:left="3969" w:hanging="567"/>
        <w:rPr>
          <w:lang w:val="fr-FR"/>
        </w:rPr>
      </w:pPr>
      <w:r w:rsidRPr="00364B14">
        <w:rPr>
          <w:lang w:val="fr-FR"/>
        </w:rPr>
        <w:t>b.</w:t>
      </w:r>
      <w:r w:rsidRPr="00364B14">
        <w:rPr>
          <w:lang w:val="fr-FR"/>
        </w:rPr>
        <w:tab/>
        <w:t xml:space="preserve">Lorsque le carburant assurant la propulsion du véhicule et l’huile de graissage sont stockés séparément, seul le </w:t>
      </w:r>
      <w:r w:rsidRPr="00364B14">
        <w:t>“</w:t>
      </w:r>
      <w:r w:rsidRPr="00364B14">
        <w:rPr>
          <w:lang w:val="fr-FR"/>
        </w:rPr>
        <w:t>carburant</w:t>
      </w:r>
      <w:r w:rsidRPr="00364B14">
        <w:t>”</w:t>
      </w:r>
      <w:r w:rsidRPr="00364B14">
        <w:rPr>
          <w:lang w:val="fr-FR"/>
        </w:rPr>
        <w:t xml:space="preserve"> assurant la propulsion du véhicule est considéré comme un </w:t>
      </w:r>
      <w:r w:rsidRPr="00364B14">
        <w:t>“</w:t>
      </w:r>
      <w:r w:rsidRPr="00364B14">
        <w:rPr>
          <w:lang w:val="fr-FR"/>
        </w:rPr>
        <w:t>carburant</w:t>
      </w:r>
      <w:r w:rsidRPr="00364B14">
        <w:t>”</w:t>
      </w:r>
      <w:r w:rsidRPr="00364B14">
        <w:rPr>
          <w:lang w:val="fr-FR"/>
        </w:rPr>
        <w:t> ; ou</w:t>
      </w:r>
    </w:p>
    <w:p w:rsidR="00364B14" w:rsidRPr="00364B14" w:rsidRDefault="00364B14" w:rsidP="00B17C2C">
      <w:pPr>
        <w:pStyle w:val="SingleTxtG"/>
        <w:ind w:left="3402" w:hanging="567"/>
        <w:rPr>
          <w:lang w:val="fr-FR"/>
        </w:rPr>
      </w:pPr>
      <w:r w:rsidRPr="00364B14">
        <w:rPr>
          <w:lang w:val="fr-FR"/>
        </w:rPr>
        <w:t>iii)</w:t>
      </w:r>
      <w:r w:rsidRPr="00364B14">
        <w:rPr>
          <w:lang w:val="fr-FR"/>
        </w:rPr>
        <w:tab/>
        <w:t xml:space="preserve">Si la propulsion du véhicule est assurée par un carburant gazeux, par un carburant gazeux liquéfié ou par air comprimé, la masse du </w:t>
      </w:r>
      <w:r w:rsidRPr="00364B14">
        <w:t>“</w:t>
      </w:r>
      <w:r w:rsidRPr="00364B14">
        <w:rPr>
          <w:lang w:val="fr-FR"/>
        </w:rPr>
        <w:t>carburant</w:t>
      </w:r>
      <w:r w:rsidRPr="00364B14">
        <w:t>”</w:t>
      </w:r>
      <w:r w:rsidRPr="00364B14">
        <w:rPr>
          <w:lang w:val="fr-FR"/>
        </w:rPr>
        <w:t xml:space="preserve"> présent dans les réservoirs de carburant gazeux est fixée à 0 kg ;</w:t>
      </w:r>
    </w:p>
    <w:p w:rsidR="00364B14" w:rsidRPr="00364B14" w:rsidRDefault="00364B14" w:rsidP="00B17C2C">
      <w:pPr>
        <w:pStyle w:val="SingleTxtG"/>
        <w:ind w:left="2835" w:hanging="567"/>
        <w:rPr>
          <w:lang w:val="fr-FR"/>
        </w:rPr>
      </w:pPr>
      <w:r w:rsidRPr="00364B14">
        <w:rPr>
          <w:lang w:val="fr-FR"/>
        </w:rPr>
        <w:t>d)</w:t>
      </w:r>
      <w:r w:rsidRPr="00364B14">
        <w:rPr>
          <w:lang w:val="fr-FR"/>
        </w:rPr>
        <w:tab/>
        <w:t>De la carrosserie, de la cabine et des portes ;</w:t>
      </w:r>
    </w:p>
    <w:p w:rsidR="00364B14" w:rsidRPr="00364B14" w:rsidRDefault="00364B14" w:rsidP="00D278B9">
      <w:pPr>
        <w:pStyle w:val="SingleTxtG"/>
        <w:ind w:left="2835" w:hanging="567"/>
        <w:rPr>
          <w:b/>
          <w:lang w:val="fr-FR"/>
        </w:rPr>
      </w:pPr>
      <w:r w:rsidRPr="00364B14">
        <w:rPr>
          <w:lang w:val="fr-FR"/>
        </w:rPr>
        <w:t>e)</w:t>
      </w:r>
      <w:r w:rsidRPr="00364B14">
        <w:rPr>
          <w:lang w:val="fr-FR"/>
        </w:rPr>
        <w:tab/>
        <w:t>Des vitrages, de l’attelage, des roues de secours et de l’outillage.</w:t>
      </w:r>
    </w:p>
    <w:p w:rsidR="00364B14" w:rsidRPr="00364B14" w:rsidRDefault="00364B14" w:rsidP="00347903">
      <w:pPr>
        <w:pStyle w:val="SingleTxtG"/>
        <w:keepNext/>
        <w:keepLines/>
        <w:ind w:left="2268" w:hanging="1134"/>
        <w:rPr>
          <w:lang w:val="fr-FR"/>
        </w:rPr>
      </w:pPr>
      <w:r w:rsidRPr="00364B14">
        <w:rPr>
          <w:lang w:val="fr-FR"/>
        </w:rPr>
        <w:lastRenderedPageBreak/>
        <w:t>2.10.2</w:t>
      </w:r>
      <w:r w:rsidRPr="00364B14">
        <w:rPr>
          <w:lang w:val="fr-FR"/>
        </w:rPr>
        <w:tab/>
        <w:t>La masse de référence d’un véhicule de la catégorie L</w:t>
      </w:r>
      <w:r w:rsidRPr="00364B14">
        <w:rPr>
          <w:vertAlign w:val="subscript"/>
          <w:lang w:val="fr-FR"/>
        </w:rPr>
        <w:t>1</w:t>
      </w:r>
      <w:r w:rsidRPr="00364B14">
        <w:rPr>
          <w:lang w:val="fr-FR"/>
        </w:rPr>
        <w:t xml:space="preserve"> exclut la masse :</w:t>
      </w:r>
    </w:p>
    <w:p w:rsidR="00364B14" w:rsidRPr="00364B14" w:rsidRDefault="00364B14" w:rsidP="00D278B9">
      <w:pPr>
        <w:pStyle w:val="SingleTxtG"/>
        <w:ind w:left="2835" w:hanging="567"/>
        <w:rPr>
          <w:lang w:val="fr-FR"/>
        </w:rPr>
      </w:pPr>
      <w:r w:rsidRPr="00364B14">
        <w:rPr>
          <w:lang w:val="fr-FR"/>
        </w:rPr>
        <w:t>a)</w:t>
      </w:r>
      <w:r w:rsidRPr="00364B14">
        <w:rPr>
          <w:lang w:val="fr-FR"/>
        </w:rPr>
        <w:tab/>
        <w:t>Des machines ou des équipements installés sur la surface du plateau de chargement ;</w:t>
      </w:r>
    </w:p>
    <w:p w:rsidR="00364B14" w:rsidRPr="00364B14" w:rsidRDefault="00364B14" w:rsidP="00D278B9">
      <w:pPr>
        <w:pStyle w:val="SingleTxtG"/>
        <w:ind w:left="2835" w:hanging="567"/>
        <w:rPr>
          <w:lang w:val="fr-FR"/>
        </w:rPr>
      </w:pPr>
      <w:r w:rsidRPr="00364B14">
        <w:rPr>
          <w:lang w:val="fr-FR"/>
        </w:rPr>
        <w:t>b)</w:t>
      </w:r>
      <w:r w:rsidRPr="00364B14">
        <w:rPr>
          <w:lang w:val="fr-FR"/>
        </w:rPr>
        <w:tab/>
        <w:t>Dans le cas d’un véhicule monocarburant, bicarburant ou multicarburant, du système à carburant gazeux ainsi que des réservoirs de carburant gazeux ; et</w:t>
      </w:r>
    </w:p>
    <w:p w:rsidR="00364B14" w:rsidRPr="00364B14" w:rsidRDefault="00364B14" w:rsidP="00D278B9">
      <w:pPr>
        <w:pStyle w:val="SingleTxtG"/>
        <w:ind w:left="2835" w:hanging="567"/>
        <w:rPr>
          <w:b/>
          <w:lang w:val="fr-FR"/>
        </w:rPr>
      </w:pPr>
      <w:r w:rsidRPr="00364B14">
        <w:rPr>
          <w:lang w:val="fr-FR"/>
        </w:rPr>
        <w:t>c)</w:t>
      </w:r>
      <w:r w:rsidRPr="00364B14">
        <w:rPr>
          <w:lang w:val="fr-FR"/>
        </w:rPr>
        <w:tab/>
        <w:t>Dans le cas d’un véhicule à air précomprimé, des réservoirs prévus pour le stockage de l’air comprimé ;</w:t>
      </w:r>
    </w:p>
    <w:p w:rsidR="00364B14" w:rsidRPr="00364B14" w:rsidRDefault="00364B14" w:rsidP="00347903">
      <w:pPr>
        <w:pStyle w:val="SingleTxtG"/>
        <w:keepNext/>
        <w:keepLines/>
        <w:ind w:left="2268" w:hanging="1134"/>
        <w:rPr>
          <w:lang w:val="fr-FR"/>
        </w:rPr>
      </w:pPr>
      <w:r w:rsidRPr="00364B14">
        <w:rPr>
          <w:lang w:val="fr-FR"/>
        </w:rPr>
        <w:t>2.11</w:t>
      </w:r>
      <w:r w:rsidRPr="00364B14">
        <w:rPr>
          <w:lang w:val="fr-FR"/>
        </w:rPr>
        <w:tab/>
        <w:t>Masse d’essai</w:t>
      </w:r>
    </w:p>
    <w:p w:rsidR="00364B14" w:rsidRPr="00364B14" w:rsidRDefault="00364B14" w:rsidP="00347903">
      <w:pPr>
        <w:pStyle w:val="SingleTxtG"/>
        <w:ind w:left="2268"/>
        <w:rPr>
          <w:lang w:val="fr-FR"/>
        </w:rPr>
      </w:pPr>
      <w:r w:rsidRPr="00364B14">
        <w:rPr>
          <w:lang w:val="fr-FR"/>
        </w:rPr>
        <w:t>On entend par masse d’essai la masse de référence à laquelle est ajoutée la masse combinée du conducteur et du matériel nécessaire aux essais.</w:t>
      </w:r>
    </w:p>
    <w:p w:rsidR="00364B14" w:rsidRPr="00364B14" w:rsidRDefault="00364B14" w:rsidP="00347903">
      <w:pPr>
        <w:pStyle w:val="SingleTxtG"/>
        <w:ind w:left="2268"/>
        <w:rPr>
          <w:lang w:val="fr-FR"/>
        </w:rPr>
      </w:pPr>
      <w:r w:rsidRPr="00364B14">
        <w:rPr>
          <w:lang w:val="fr-FR"/>
        </w:rPr>
        <w:t xml:space="preserve">La masse combinée du conducteur et du matériel d’essai utilisé sur le véhicule ne doit pas dépasser 90 kg, ni être inférieure à 70 kg. Des poids sont ajoutés sur le véhicule si ce minimum de 70 kg n’est pas atteint. </w:t>
      </w:r>
    </w:p>
    <w:p w:rsidR="00364B14" w:rsidRPr="00364B14" w:rsidRDefault="00364B14" w:rsidP="00D278B9">
      <w:pPr>
        <w:pStyle w:val="SingleTxtG"/>
        <w:ind w:left="2268" w:hanging="1134"/>
        <w:rPr>
          <w:b/>
          <w:i/>
          <w:lang w:val="fr-FR"/>
        </w:rPr>
      </w:pPr>
      <w:r w:rsidRPr="00364B14">
        <w:rPr>
          <w:lang w:val="fr-FR"/>
        </w:rPr>
        <w:t>2.12</w:t>
      </w:r>
      <w:r w:rsidRPr="00364B14">
        <w:rPr>
          <w:lang w:val="fr-FR"/>
        </w:rPr>
        <w:tab/>
      </w:r>
      <w:r w:rsidRPr="00364B14">
        <w:t>“</w:t>
      </w:r>
      <w:r w:rsidRPr="00364B14">
        <w:rPr>
          <w:i/>
          <w:lang w:val="fr-FR"/>
        </w:rPr>
        <w:t>Vitesse maximale du véhicule</w:t>
      </w:r>
      <w:r w:rsidRPr="00364B14">
        <w:t>”</w:t>
      </w:r>
      <w:r w:rsidRPr="00364B14">
        <w:rPr>
          <w:lang w:val="fr-FR"/>
        </w:rPr>
        <w:t>, la vitesse maximale du véhicule par construction, mesurée conformément à la norme ISO 7116:2011.</w:t>
      </w:r>
    </w:p>
    <w:p w:rsidR="00364B14" w:rsidRPr="00364B14" w:rsidRDefault="00364B14" w:rsidP="00347903">
      <w:pPr>
        <w:pStyle w:val="HChG"/>
        <w:ind w:left="2268"/>
        <w:rPr>
          <w:b w:val="0"/>
          <w:lang w:val="fr-FR"/>
        </w:rPr>
      </w:pPr>
      <w:r w:rsidRPr="00364B14">
        <w:rPr>
          <w:lang w:val="fr-FR"/>
        </w:rPr>
        <w:t>3.</w:t>
      </w:r>
      <w:r w:rsidRPr="00364B14">
        <w:rPr>
          <w:lang w:val="fr-FR"/>
        </w:rPr>
        <w:tab/>
        <w:t>Demande d’homologation</w:t>
      </w:r>
    </w:p>
    <w:p w:rsidR="00364B14" w:rsidRPr="00364B14" w:rsidRDefault="00364B14" w:rsidP="00D278B9">
      <w:pPr>
        <w:pStyle w:val="SingleTxtG"/>
        <w:ind w:left="2268" w:hanging="1134"/>
        <w:rPr>
          <w:lang w:val="fr-FR"/>
        </w:rPr>
      </w:pPr>
      <w:r w:rsidRPr="00364B14">
        <w:rPr>
          <w:lang w:val="fr-FR"/>
        </w:rPr>
        <w:t>3.1</w:t>
      </w:r>
      <w:r w:rsidRPr="00364B14">
        <w:rPr>
          <w:lang w:val="fr-FR"/>
        </w:rPr>
        <w:tab/>
        <w:t>La demande d’homologation d’un type de</w:t>
      </w:r>
      <w:r w:rsidR="00EB4D6B">
        <w:rPr>
          <w:lang w:val="fr-FR"/>
        </w:rPr>
        <w:t xml:space="preserve"> </w:t>
      </w:r>
      <w:r w:rsidRPr="00364B14">
        <w:rPr>
          <w:lang w:val="fr-FR"/>
        </w:rPr>
        <w:t>véhicule</w:t>
      </w:r>
      <w:r w:rsidRPr="00364B14">
        <w:rPr>
          <w:b/>
          <w:lang w:val="fr-FR"/>
        </w:rPr>
        <w:t xml:space="preserve"> </w:t>
      </w:r>
      <w:r w:rsidRPr="00364B14">
        <w:rPr>
          <w:lang w:val="fr-FR"/>
        </w:rPr>
        <w:t>en ce qui concerne</w:t>
      </w:r>
      <w:r w:rsidR="00EB4D6B">
        <w:rPr>
          <w:lang w:val="fr-FR"/>
        </w:rPr>
        <w:t xml:space="preserve"> </w:t>
      </w:r>
      <w:r w:rsidRPr="00364B14">
        <w:rPr>
          <w:lang w:val="fr-FR"/>
        </w:rPr>
        <w:t>les émissions sonores des véhicules</w:t>
      </w:r>
      <w:r w:rsidRPr="00364B14">
        <w:rPr>
          <w:b/>
          <w:lang w:val="fr-FR"/>
        </w:rPr>
        <w:t xml:space="preserve"> </w:t>
      </w:r>
      <w:r w:rsidRPr="00364B14">
        <w:rPr>
          <w:lang w:val="fr-FR"/>
        </w:rPr>
        <w:t>est présentée par le constructeur</w:t>
      </w:r>
      <w:r w:rsidR="00EB4D6B">
        <w:rPr>
          <w:lang w:val="fr-FR"/>
        </w:rPr>
        <w:t xml:space="preserve"> </w:t>
      </w:r>
      <w:r w:rsidRPr="00364B14">
        <w:rPr>
          <w:lang w:val="fr-FR"/>
        </w:rPr>
        <w:t>desdits véhicules</w:t>
      </w:r>
      <w:r w:rsidRPr="00364B14">
        <w:rPr>
          <w:b/>
          <w:lang w:val="fr-FR"/>
        </w:rPr>
        <w:t xml:space="preserve"> </w:t>
      </w:r>
      <w:r w:rsidRPr="00364B14">
        <w:rPr>
          <w:lang w:val="fr-FR"/>
        </w:rPr>
        <w:t>ou son représentant dûment accrédité.</w:t>
      </w:r>
    </w:p>
    <w:p w:rsidR="00364B14" w:rsidRPr="00364B14" w:rsidRDefault="00364B14" w:rsidP="00D278B9">
      <w:pPr>
        <w:pStyle w:val="SingleTxtG"/>
        <w:ind w:left="2268" w:hanging="1134"/>
        <w:rPr>
          <w:lang w:val="fr-FR"/>
        </w:rPr>
      </w:pPr>
      <w:r w:rsidRPr="00364B14">
        <w:rPr>
          <w:lang w:val="fr-FR"/>
        </w:rPr>
        <w:t>3.2</w:t>
      </w:r>
      <w:r w:rsidRPr="00364B14">
        <w:rPr>
          <w:lang w:val="fr-FR"/>
        </w:rPr>
        <w:tab/>
        <w:t>Elle</w:t>
      </w:r>
      <w:r w:rsidR="00EB4D6B">
        <w:rPr>
          <w:lang w:val="fr-FR"/>
        </w:rPr>
        <w:t xml:space="preserve"> </w:t>
      </w:r>
      <w:r w:rsidRPr="00364B14">
        <w:rPr>
          <w:lang w:val="fr-FR"/>
        </w:rPr>
        <w:t>est accompagnée des pièces mentionnées ci-après, en triple exemplaire, et des indications suivantes :</w:t>
      </w:r>
    </w:p>
    <w:p w:rsidR="00364B14" w:rsidRPr="00364B14" w:rsidRDefault="00364B14" w:rsidP="00D278B9">
      <w:pPr>
        <w:pStyle w:val="SingleTxtG"/>
        <w:ind w:left="2268" w:hanging="1134"/>
        <w:rPr>
          <w:lang w:val="fr-FR"/>
        </w:rPr>
      </w:pPr>
      <w:r w:rsidRPr="00364B14">
        <w:rPr>
          <w:lang w:val="fr-FR"/>
        </w:rPr>
        <w:t>3.2.1</w:t>
      </w:r>
      <w:r w:rsidRPr="00364B14">
        <w:rPr>
          <w:lang w:val="fr-FR"/>
        </w:rPr>
        <w:tab/>
        <w:t>Description du type de</w:t>
      </w:r>
      <w:r w:rsidR="00EB4D6B">
        <w:rPr>
          <w:lang w:val="fr-FR"/>
        </w:rPr>
        <w:t xml:space="preserve"> </w:t>
      </w:r>
      <w:r w:rsidRPr="00364B14">
        <w:rPr>
          <w:lang w:val="fr-FR"/>
        </w:rPr>
        <w:t>véhicule</w:t>
      </w:r>
      <w:r w:rsidRPr="00364B14">
        <w:rPr>
          <w:b/>
          <w:lang w:val="fr-FR"/>
        </w:rPr>
        <w:t xml:space="preserve"> </w:t>
      </w:r>
      <w:r w:rsidRPr="00364B14">
        <w:rPr>
          <w:lang w:val="fr-FR"/>
        </w:rPr>
        <w:t>en ce qui concerne les points mentionnés au paragraphe 2.2 ci-dessus. Les numéros et/ou les symboles caractérisant le type du moteur et celui du</w:t>
      </w:r>
      <w:r w:rsidR="00EB4D6B">
        <w:rPr>
          <w:lang w:val="fr-FR"/>
        </w:rPr>
        <w:t xml:space="preserve"> </w:t>
      </w:r>
      <w:r w:rsidRPr="00364B14">
        <w:rPr>
          <w:lang w:val="fr-FR"/>
        </w:rPr>
        <w:t>véhicule</w:t>
      </w:r>
      <w:r w:rsidRPr="00364B14">
        <w:rPr>
          <w:b/>
          <w:lang w:val="fr-FR"/>
        </w:rPr>
        <w:t xml:space="preserve"> </w:t>
      </w:r>
      <w:r w:rsidRPr="00364B14">
        <w:rPr>
          <w:lang w:val="fr-FR"/>
        </w:rPr>
        <w:t>doivent être indiqués ;</w:t>
      </w:r>
    </w:p>
    <w:p w:rsidR="00364B14" w:rsidRPr="00364B14" w:rsidRDefault="00364B14" w:rsidP="00D278B9">
      <w:pPr>
        <w:pStyle w:val="SingleTxtG"/>
        <w:ind w:left="2268" w:hanging="1134"/>
        <w:rPr>
          <w:lang w:val="fr-FR"/>
        </w:rPr>
      </w:pPr>
      <w:r w:rsidRPr="00364B14">
        <w:rPr>
          <w:lang w:val="fr-FR"/>
        </w:rPr>
        <w:t>3.2.2</w:t>
      </w:r>
      <w:r w:rsidRPr="00364B14">
        <w:rPr>
          <w:lang w:val="fr-FR"/>
        </w:rPr>
        <w:tab/>
        <w:t>Liste des éléments, dûment identifiés, formant le dispositif d’échappement ou le silencieux ;</w:t>
      </w:r>
    </w:p>
    <w:p w:rsidR="00364B14" w:rsidRPr="00364B14" w:rsidRDefault="00364B14" w:rsidP="00D278B9">
      <w:pPr>
        <w:pStyle w:val="SingleTxtG"/>
        <w:ind w:left="2268" w:hanging="1134"/>
        <w:rPr>
          <w:lang w:val="fr-FR"/>
        </w:rPr>
      </w:pPr>
      <w:r w:rsidRPr="00364B14">
        <w:rPr>
          <w:lang w:val="fr-FR"/>
        </w:rPr>
        <w:t>3.2.3</w:t>
      </w:r>
      <w:r w:rsidRPr="00364B14">
        <w:rPr>
          <w:lang w:val="fr-FR"/>
        </w:rPr>
        <w:tab/>
        <w:t>Dessin de l’ensemble du dispositif d’échappement ou du silencieux et indication de sa position sur le</w:t>
      </w:r>
      <w:r w:rsidR="00EB4D6B">
        <w:rPr>
          <w:lang w:val="fr-FR"/>
        </w:rPr>
        <w:t xml:space="preserve"> </w:t>
      </w:r>
      <w:r w:rsidRPr="00364B14">
        <w:rPr>
          <w:lang w:val="fr-FR"/>
        </w:rPr>
        <w:t>véhicule</w:t>
      </w:r>
      <w:r w:rsidRPr="00364B14">
        <w:rPr>
          <w:b/>
          <w:lang w:val="fr-FR"/>
        </w:rPr>
        <w:t> </w:t>
      </w:r>
      <w:r w:rsidRPr="00364B14">
        <w:rPr>
          <w:lang w:val="fr-FR"/>
        </w:rPr>
        <w:t>;</w:t>
      </w:r>
    </w:p>
    <w:p w:rsidR="00364B14" w:rsidRPr="00364B14" w:rsidRDefault="00364B14" w:rsidP="00D278B9">
      <w:pPr>
        <w:pStyle w:val="SingleTxtG"/>
        <w:ind w:left="2268" w:hanging="1134"/>
        <w:rPr>
          <w:lang w:val="fr-FR"/>
        </w:rPr>
      </w:pPr>
      <w:r w:rsidRPr="00364B14">
        <w:rPr>
          <w:lang w:val="fr-FR"/>
        </w:rPr>
        <w:t>3.2.4</w:t>
      </w:r>
      <w:r w:rsidRPr="00364B14">
        <w:rPr>
          <w:lang w:val="fr-FR"/>
        </w:rPr>
        <w:tab/>
        <w:t>Dessins détaillés relatifs à chaque élément, afin d’en permettre facilement le repérage et l’identification, et indication des matériaux employés.</w:t>
      </w:r>
    </w:p>
    <w:p w:rsidR="00364B14" w:rsidRPr="00364B14" w:rsidRDefault="00364B14" w:rsidP="00D278B9">
      <w:pPr>
        <w:pStyle w:val="SingleTxtG"/>
        <w:ind w:left="2268" w:hanging="1134"/>
        <w:rPr>
          <w:lang w:val="fr-FR"/>
        </w:rPr>
      </w:pPr>
      <w:r w:rsidRPr="00364B14">
        <w:rPr>
          <w:lang w:val="fr-FR"/>
        </w:rPr>
        <w:t>3.3</w:t>
      </w:r>
      <w:r w:rsidRPr="00364B14">
        <w:rPr>
          <w:lang w:val="fr-FR"/>
        </w:rPr>
        <w:tab/>
        <w:t>À la demande du service technique chargé des essais d’homologation, le constructeur du</w:t>
      </w:r>
      <w:r w:rsidR="00EB4D6B">
        <w:rPr>
          <w:lang w:val="fr-FR"/>
        </w:rPr>
        <w:t xml:space="preserve"> </w:t>
      </w:r>
      <w:r w:rsidRPr="00364B14">
        <w:rPr>
          <w:lang w:val="fr-FR"/>
        </w:rPr>
        <w:t>véhicule</w:t>
      </w:r>
      <w:r w:rsidR="00EB4D6B">
        <w:rPr>
          <w:b/>
          <w:lang w:val="fr-FR"/>
        </w:rPr>
        <w:t xml:space="preserve"> </w:t>
      </w:r>
      <w:r w:rsidRPr="00364B14">
        <w:rPr>
          <w:lang w:val="fr-FR"/>
        </w:rPr>
        <w:t>doit, en outre, présenter un échantillon du dispositif d’échappement ou du silencieux.</w:t>
      </w:r>
    </w:p>
    <w:p w:rsidR="00364B14" w:rsidRPr="00364B14" w:rsidRDefault="00364B14" w:rsidP="00D278B9">
      <w:pPr>
        <w:pStyle w:val="SingleTxtG"/>
        <w:ind w:left="2268" w:hanging="1134"/>
        <w:rPr>
          <w:lang w:val="fr-FR"/>
        </w:rPr>
      </w:pPr>
      <w:r w:rsidRPr="00364B14">
        <w:rPr>
          <w:lang w:val="fr-FR"/>
        </w:rPr>
        <w:t>3.4</w:t>
      </w:r>
      <w:r w:rsidRPr="00364B14">
        <w:rPr>
          <w:lang w:val="fr-FR"/>
        </w:rPr>
        <w:tab/>
        <w:t>Un</w:t>
      </w:r>
      <w:r w:rsidR="00EB4D6B">
        <w:rPr>
          <w:lang w:val="fr-FR"/>
        </w:rPr>
        <w:t xml:space="preserve"> </w:t>
      </w:r>
      <w:r w:rsidRPr="00364B14">
        <w:rPr>
          <w:lang w:val="fr-FR"/>
        </w:rPr>
        <w:t>véhicule</w:t>
      </w:r>
      <w:r w:rsidRPr="00364B14">
        <w:rPr>
          <w:b/>
          <w:lang w:val="fr-FR"/>
        </w:rPr>
        <w:t xml:space="preserve"> </w:t>
      </w:r>
      <w:r w:rsidRPr="00364B14">
        <w:rPr>
          <w:lang w:val="fr-FR"/>
        </w:rPr>
        <w:t>représentatif du type de</w:t>
      </w:r>
      <w:r w:rsidR="00EB4D6B">
        <w:rPr>
          <w:lang w:val="fr-FR"/>
        </w:rPr>
        <w:t xml:space="preserve"> </w:t>
      </w:r>
      <w:r w:rsidRPr="00364B14">
        <w:rPr>
          <w:lang w:val="fr-FR"/>
        </w:rPr>
        <w:t>véhicule</w:t>
      </w:r>
      <w:r w:rsidRPr="00364B14">
        <w:rPr>
          <w:b/>
          <w:lang w:val="fr-FR"/>
        </w:rPr>
        <w:t xml:space="preserve"> </w:t>
      </w:r>
      <w:r w:rsidRPr="00364B14">
        <w:rPr>
          <w:lang w:val="fr-FR"/>
        </w:rPr>
        <w:t>à homologuer est présenté au service technique chargé des essais d’homologation.</w:t>
      </w:r>
    </w:p>
    <w:p w:rsidR="00364B14" w:rsidRPr="00364B14" w:rsidRDefault="00364B14" w:rsidP="00347903">
      <w:pPr>
        <w:pStyle w:val="HChG"/>
        <w:ind w:left="2268"/>
        <w:rPr>
          <w:b w:val="0"/>
          <w:lang w:val="fr-FR"/>
        </w:rPr>
      </w:pPr>
      <w:r w:rsidRPr="00364B14">
        <w:rPr>
          <w:lang w:val="fr-FR"/>
        </w:rPr>
        <w:t>4.</w:t>
      </w:r>
      <w:r w:rsidRPr="00364B14">
        <w:rPr>
          <w:lang w:val="fr-FR"/>
        </w:rPr>
        <w:tab/>
        <w:t>Inscriptions</w:t>
      </w:r>
    </w:p>
    <w:p w:rsidR="00364B14" w:rsidRPr="00364B14" w:rsidRDefault="00364B14" w:rsidP="00D278B9">
      <w:pPr>
        <w:pStyle w:val="SingleTxtG"/>
        <w:ind w:left="2268" w:hanging="1134"/>
        <w:rPr>
          <w:lang w:val="fr-FR"/>
        </w:rPr>
      </w:pPr>
      <w:r w:rsidRPr="00364B14">
        <w:rPr>
          <w:lang w:val="fr-FR"/>
        </w:rPr>
        <w:t>4.1</w:t>
      </w:r>
      <w:r w:rsidRPr="00364B14">
        <w:rPr>
          <w:lang w:val="fr-FR"/>
        </w:rPr>
        <w:tab/>
        <w:t>Les éléments du dispositif d’échappement ou du silencieux doivent porter au moins les indications suivantes :</w:t>
      </w:r>
    </w:p>
    <w:p w:rsidR="00364B14" w:rsidRPr="00364B14" w:rsidRDefault="00364B14" w:rsidP="00D278B9">
      <w:pPr>
        <w:pStyle w:val="SingleTxtG"/>
        <w:ind w:left="2268" w:hanging="1134"/>
        <w:rPr>
          <w:lang w:val="fr-FR"/>
        </w:rPr>
      </w:pPr>
      <w:r w:rsidRPr="00364B14">
        <w:rPr>
          <w:lang w:val="fr-FR"/>
        </w:rPr>
        <w:t>4.1.1</w:t>
      </w:r>
      <w:r w:rsidRPr="00364B14">
        <w:rPr>
          <w:lang w:val="fr-FR"/>
        </w:rPr>
        <w:tab/>
        <w:t>La marque de fabrique ou de commerce du fabricant du dispositif d’échappement ou du silencieux et de ses éléments ;</w:t>
      </w:r>
    </w:p>
    <w:p w:rsidR="00364B14" w:rsidRPr="00364B14" w:rsidRDefault="00364B14" w:rsidP="00D278B9">
      <w:pPr>
        <w:pStyle w:val="SingleTxtG"/>
        <w:ind w:left="2268" w:hanging="1134"/>
        <w:rPr>
          <w:lang w:val="fr-FR"/>
        </w:rPr>
      </w:pPr>
      <w:r w:rsidRPr="00364B14">
        <w:rPr>
          <w:lang w:val="fr-FR"/>
        </w:rPr>
        <w:t>4.1.2</w:t>
      </w:r>
      <w:r w:rsidRPr="00364B14">
        <w:rPr>
          <w:lang w:val="fr-FR"/>
        </w:rPr>
        <w:tab/>
        <w:t>L’appellation commerciale donnée par le fabricant ;</w:t>
      </w:r>
    </w:p>
    <w:p w:rsidR="00364B14" w:rsidRPr="00364B14" w:rsidRDefault="00364B14" w:rsidP="00D278B9">
      <w:pPr>
        <w:pStyle w:val="SingleTxtG"/>
        <w:ind w:left="2268" w:hanging="1134"/>
        <w:rPr>
          <w:lang w:val="fr-FR"/>
        </w:rPr>
      </w:pPr>
      <w:r w:rsidRPr="00364B14">
        <w:rPr>
          <w:lang w:val="fr-FR"/>
        </w:rPr>
        <w:t>4.1.3</w:t>
      </w:r>
      <w:r w:rsidRPr="00364B14">
        <w:rPr>
          <w:lang w:val="fr-FR"/>
        </w:rPr>
        <w:tab/>
        <w:t>Les numéros d’identification des éléments ; et</w:t>
      </w:r>
    </w:p>
    <w:p w:rsidR="00364B14" w:rsidRPr="00364B14" w:rsidRDefault="00364B14" w:rsidP="00D278B9">
      <w:pPr>
        <w:pStyle w:val="SingleTxtG"/>
        <w:ind w:left="2268" w:hanging="1134"/>
        <w:rPr>
          <w:lang w:val="fr-FR"/>
        </w:rPr>
      </w:pPr>
      <w:r w:rsidRPr="00364B14">
        <w:rPr>
          <w:lang w:val="fr-FR"/>
        </w:rPr>
        <w:lastRenderedPageBreak/>
        <w:t>4.1.4</w:t>
      </w:r>
      <w:r w:rsidRPr="00364B14">
        <w:rPr>
          <w:lang w:val="fr-FR"/>
        </w:rPr>
        <w:tab/>
        <w:t xml:space="preserve">Pour tous les silencieux d’origine, la marque </w:t>
      </w:r>
      <w:r w:rsidRPr="00364B14">
        <w:t>“</w:t>
      </w:r>
      <w:r w:rsidRPr="00364B14">
        <w:rPr>
          <w:lang w:val="fr-FR"/>
        </w:rPr>
        <w:t>E</w:t>
      </w:r>
      <w:r w:rsidRPr="00364B14">
        <w:t>”</w:t>
      </w:r>
      <w:r w:rsidRPr="00364B14">
        <w:rPr>
          <w:lang w:val="fr-FR"/>
        </w:rPr>
        <w:t xml:space="preserve"> suivie du numéro du pays qui a accordé l’homologation de type à cet élément.</w:t>
      </w:r>
    </w:p>
    <w:p w:rsidR="00364B14" w:rsidRPr="00364B14" w:rsidRDefault="00364B14" w:rsidP="00D278B9">
      <w:pPr>
        <w:pStyle w:val="SingleTxtG"/>
        <w:ind w:left="2268" w:hanging="1134"/>
        <w:rPr>
          <w:lang w:val="fr-FR"/>
        </w:rPr>
      </w:pPr>
      <w:r w:rsidRPr="00364B14">
        <w:rPr>
          <w:lang w:val="fr-FR"/>
        </w:rPr>
        <w:t>4.1.5</w:t>
      </w:r>
      <w:r w:rsidRPr="00364B14">
        <w:rPr>
          <w:lang w:val="fr-FR"/>
        </w:rPr>
        <w:tab/>
        <w:t xml:space="preserve">Tout colis contenant des dispositifs d’échappement ou des silencieux d’origine doit porter de façon lisible la mention </w:t>
      </w:r>
      <w:r w:rsidRPr="00364B14">
        <w:t>“</w:t>
      </w:r>
      <w:r w:rsidRPr="00364B14">
        <w:rPr>
          <w:lang w:val="fr-FR"/>
        </w:rPr>
        <w:t>pièces d’origine</w:t>
      </w:r>
      <w:r w:rsidRPr="00364B14">
        <w:t>”</w:t>
      </w:r>
      <w:r w:rsidRPr="00364B14">
        <w:rPr>
          <w:lang w:val="fr-FR"/>
        </w:rPr>
        <w:t xml:space="preserve"> ainsi que la marque et les références du type intégré à la marque </w:t>
      </w:r>
      <w:r w:rsidRPr="00364B14">
        <w:t>“</w:t>
      </w:r>
      <w:r w:rsidRPr="00364B14">
        <w:rPr>
          <w:lang w:val="fr-FR"/>
        </w:rPr>
        <w:t>E</w:t>
      </w:r>
      <w:r w:rsidRPr="00364B14">
        <w:t>”</w:t>
      </w:r>
      <w:r w:rsidRPr="00364B14">
        <w:rPr>
          <w:lang w:val="fr-FR"/>
        </w:rPr>
        <w:t xml:space="preserve"> et la référence du pays d’origine.</w:t>
      </w:r>
    </w:p>
    <w:p w:rsidR="00364B14" w:rsidRPr="00364B14" w:rsidRDefault="00364B14" w:rsidP="00D278B9">
      <w:pPr>
        <w:pStyle w:val="SingleTxtG"/>
        <w:ind w:left="2268" w:hanging="1134"/>
        <w:rPr>
          <w:lang w:val="fr-FR"/>
        </w:rPr>
      </w:pPr>
      <w:r w:rsidRPr="00364B14">
        <w:rPr>
          <w:lang w:val="fr-FR"/>
        </w:rPr>
        <w:t>4.1.6</w:t>
      </w:r>
      <w:r w:rsidRPr="00364B14">
        <w:rPr>
          <w:lang w:val="fr-FR"/>
        </w:rPr>
        <w:tab/>
        <w:t>Ces inscriptions doivent être indélébiles, clairement lisibles mais aussi visibles, à l’emplacement auquel elles doivent être apposées sur le</w:t>
      </w:r>
      <w:r w:rsidR="00EB4D6B">
        <w:rPr>
          <w:lang w:val="fr-FR"/>
        </w:rPr>
        <w:t xml:space="preserve"> </w:t>
      </w:r>
      <w:r w:rsidRPr="00364B14">
        <w:rPr>
          <w:lang w:val="fr-FR"/>
        </w:rPr>
        <w:t>véhicule.</w:t>
      </w:r>
    </w:p>
    <w:p w:rsidR="00364B14" w:rsidRPr="00364B14" w:rsidRDefault="00364B14" w:rsidP="00347903">
      <w:pPr>
        <w:pStyle w:val="HChG"/>
        <w:ind w:left="2268"/>
        <w:rPr>
          <w:b w:val="0"/>
          <w:lang w:val="fr-FR"/>
        </w:rPr>
      </w:pPr>
      <w:r w:rsidRPr="00364B14">
        <w:rPr>
          <w:b w:val="0"/>
          <w:noProof/>
          <w:lang w:val="en-GB" w:eastAsia="en-GB"/>
        </w:rPr>
        <mc:AlternateContent>
          <mc:Choice Requires="wps">
            <w:drawing>
              <wp:anchor distT="0" distB="0" distL="114300" distR="114300" simplePos="0" relativeHeight="251659264" behindDoc="0" locked="0" layoutInCell="1" allowOverlap="1" wp14:anchorId="203ADC38" wp14:editId="0D1F15CE">
                <wp:simplePos x="0" y="0"/>
                <wp:positionH relativeFrom="column">
                  <wp:posOffset>0</wp:posOffset>
                </wp:positionH>
                <wp:positionV relativeFrom="paragraph">
                  <wp:posOffset>0</wp:posOffset>
                </wp:positionV>
                <wp:extent cx="635000" cy="635000"/>
                <wp:effectExtent l="9525" t="9525" r="12700" b="12700"/>
                <wp:wrapNone/>
                <wp:docPr id="37" name="Zone de texte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D688C" id="_x0000_t202" coordsize="21600,21600" o:spt="202" path="m,l,21600r21600,l21600,xe">
                <v:stroke joinstyle="miter"/>
                <v:path gradientshapeok="t" o:connecttype="rect"/>
              </v:shapetype>
              <v:shape id="Zone de texte 37"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EVHpWi0CAABWBAAADgAAAAAAAAAAAAAAAAAuAgAAZHJzL2Uyb0Rv&#10;Yy54bWxQSwECLQAUAAYACAAAACEAjqBz5dcAAAAFAQAADwAAAAAAAAAAAAAAAACHBAAAZHJzL2Rv&#10;d25yZXYueG1sUEsFBgAAAAAEAAQA8wAAAIsFAAAAAA==&#10;">
                <v:stroke joinstyle="round"/>
                <o:lock v:ext="edit" selection="t"/>
              </v:shape>
            </w:pict>
          </mc:Fallback>
        </mc:AlternateContent>
      </w:r>
      <w:r w:rsidRPr="00364B14">
        <w:rPr>
          <w:lang w:val="fr-FR"/>
        </w:rPr>
        <w:t>5.</w:t>
      </w:r>
      <w:r w:rsidRPr="00364B14">
        <w:rPr>
          <w:lang w:val="fr-FR"/>
        </w:rPr>
        <w:tab/>
        <w:t>Homologation</w:t>
      </w:r>
    </w:p>
    <w:p w:rsidR="00364B14" w:rsidRPr="00364B14" w:rsidRDefault="00EB4D6B" w:rsidP="00D278B9">
      <w:pPr>
        <w:pStyle w:val="SingleTxtG"/>
        <w:ind w:left="2268" w:hanging="1134"/>
        <w:rPr>
          <w:lang w:val="fr-FR"/>
        </w:rPr>
      </w:pPr>
      <w:r>
        <w:rPr>
          <w:lang w:val="fr-FR"/>
        </w:rPr>
        <w:t>5.1</w:t>
      </w:r>
      <w:r>
        <w:rPr>
          <w:lang w:val="fr-FR"/>
        </w:rPr>
        <w:tab/>
        <w:t xml:space="preserve">Lorsque le type de </w:t>
      </w:r>
      <w:r w:rsidR="00364B14" w:rsidRPr="00364B14">
        <w:rPr>
          <w:lang w:val="fr-FR"/>
        </w:rPr>
        <w:t>véhicule</w:t>
      </w:r>
      <w:r w:rsidR="00364B14" w:rsidRPr="00364B14">
        <w:rPr>
          <w:b/>
          <w:lang w:val="fr-FR"/>
        </w:rPr>
        <w:t xml:space="preserve"> </w:t>
      </w:r>
      <w:r w:rsidR="00364B14" w:rsidRPr="00364B14">
        <w:rPr>
          <w:lang w:val="fr-FR"/>
        </w:rPr>
        <w:t>présenté à l’homologati</w:t>
      </w:r>
      <w:r>
        <w:rPr>
          <w:lang w:val="fr-FR"/>
        </w:rPr>
        <w:t>on en application du paragraphe </w:t>
      </w:r>
      <w:r w:rsidR="00364B14" w:rsidRPr="00364B14">
        <w:rPr>
          <w:lang w:val="fr-FR"/>
        </w:rPr>
        <w:t>3 du présent Règlement satisfait au</w:t>
      </w:r>
      <w:r>
        <w:rPr>
          <w:lang w:val="fr-FR"/>
        </w:rPr>
        <w:t>x prescriptions des paragraphes 6 et 7 ci-</w:t>
      </w:r>
      <w:r w:rsidR="00364B14" w:rsidRPr="00364B14">
        <w:rPr>
          <w:lang w:val="fr-FR"/>
        </w:rPr>
        <w:t>dessous, l’homologation pour ce type de</w:t>
      </w:r>
      <w:r>
        <w:rPr>
          <w:lang w:val="fr-FR"/>
        </w:rPr>
        <w:t xml:space="preserve"> </w:t>
      </w:r>
      <w:r w:rsidR="00364B14" w:rsidRPr="00364B14">
        <w:rPr>
          <w:lang w:val="fr-FR"/>
        </w:rPr>
        <w:t>véhicule en ce qui concerne les émissions sonores</w:t>
      </w:r>
      <w:r w:rsidR="00364B14" w:rsidRPr="00364B14">
        <w:rPr>
          <w:b/>
          <w:lang w:val="fr-FR"/>
        </w:rPr>
        <w:t xml:space="preserve"> </w:t>
      </w:r>
      <w:r w:rsidR="00364B14" w:rsidRPr="00364B14">
        <w:rPr>
          <w:lang w:val="fr-FR"/>
        </w:rPr>
        <w:t>est accordée.</w:t>
      </w:r>
    </w:p>
    <w:p w:rsidR="00364B14" w:rsidRPr="00364B14" w:rsidRDefault="00364B14" w:rsidP="00D278B9">
      <w:pPr>
        <w:pStyle w:val="SingleTxtG"/>
        <w:ind w:left="2268" w:hanging="1134"/>
        <w:rPr>
          <w:lang w:val="fr-FR"/>
        </w:rPr>
      </w:pPr>
      <w:r w:rsidRPr="00364B14">
        <w:rPr>
          <w:lang w:val="fr-FR"/>
        </w:rPr>
        <w:t>5.2</w:t>
      </w:r>
      <w:r w:rsidRPr="00364B14">
        <w:rPr>
          <w:lang w:val="fr-FR"/>
        </w:rPr>
        <w:tab/>
        <w:t>À chaque type homologué est attribué un numéro d’homologation dont les deux premiers chiffres indiquent la sé</w:t>
      </w:r>
      <w:r w:rsidR="00EB4D6B">
        <w:rPr>
          <w:lang w:val="fr-FR"/>
        </w:rPr>
        <w:t>rie d’amendements (actuellement </w:t>
      </w:r>
      <w:r w:rsidRPr="00364B14">
        <w:rPr>
          <w:lang w:val="fr-FR"/>
        </w:rPr>
        <w:t>02) comprenant les plus récentes modifications techniques majeures apportées au Règlement à la date de la délivrance de l’homologation. Une même Partie contractante ne peut attribuer ce numéro au même type de</w:t>
      </w:r>
      <w:r w:rsidR="00EB4D6B">
        <w:rPr>
          <w:lang w:val="fr-FR"/>
        </w:rPr>
        <w:t xml:space="preserve"> </w:t>
      </w:r>
      <w:r w:rsidRPr="00364B14">
        <w:rPr>
          <w:lang w:val="fr-FR"/>
        </w:rPr>
        <w:t>véhicule</w:t>
      </w:r>
      <w:r w:rsidRPr="00364B14">
        <w:rPr>
          <w:b/>
          <w:lang w:val="fr-FR"/>
        </w:rPr>
        <w:t xml:space="preserve"> </w:t>
      </w:r>
      <w:r w:rsidRPr="00364B14">
        <w:rPr>
          <w:lang w:val="fr-FR"/>
        </w:rPr>
        <w:t>équipé d’un autre type de dispositif d’échappement ou de silencieux, ni à un autre type de</w:t>
      </w:r>
      <w:r w:rsidR="00EB4D6B">
        <w:rPr>
          <w:lang w:val="fr-FR"/>
        </w:rPr>
        <w:t xml:space="preserve"> </w:t>
      </w:r>
      <w:r w:rsidRPr="00364B14">
        <w:rPr>
          <w:lang w:val="fr-FR"/>
        </w:rPr>
        <w:t>véhicule.</w:t>
      </w:r>
    </w:p>
    <w:p w:rsidR="00364B14" w:rsidRPr="00364B14" w:rsidRDefault="00364B14" w:rsidP="00D278B9">
      <w:pPr>
        <w:pStyle w:val="SingleTxtG"/>
        <w:ind w:left="2268" w:hanging="1134"/>
        <w:rPr>
          <w:lang w:val="fr-FR"/>
        </w:rPr>
      </w:pPr>
      <w:r w:rsidRPr="00364B14">
        <w:rPr>
          <w:lang w:val="fr-FR"/>
        </w:rPr>
        <w:t>5.3</w:t>
      </w:r>
      <w:r w:rsidRPr="00364B14">
        <w:rPr>
          <w:lang w:val="fr-FR"/>
        </w:rPr>
        <w:tab/>
        <w:t>L’homologation ou le refus d’homologation d’un type de motocycle véhicule</w:t>
      </w:r>
      <w:r w:rsidRPr="00364B14">
        <w:rPr>
          <w:b/>
          <w:lang w:val="fr-FR"/>
        </w:rPr>
        <w:t xml:space="preserve"> </w:t>
      </w:r>
      <w:r w:rsidRPr="00364B14">
        <w:rPr>
          <w:lang w:val="fr-FR"/>
        </w:rPr>
        <w:t>en application du présent Règlement sont notifiés aux Parties à l’Accord appliquant le présent Règlement, au moyen d’une fiche</w:t>
      </w:r>
      <w:r w:rsidR="00EB4D6B">
        <w:rPr>
          <w:lang w:val="fr-FR"/>
        </w:rPr>
        <w:t xml:space="preserve"> conforme au modèle de l’annexe </w:t>
      </w:r>
      <w:r w:rsidRPr="00364B14">
        <w:rPr>
          <w:lang w:val="fr-FR"/>
        </w:rPr>
        <w:t>1 du présent Règlement et de dessins du dispositif d’échappement ou du silencieux (fournis par le demandeur de l’homologation) au format maximal A4 (210 x 297 mm) ou pliés à ce format et à une échelle appropriée.</w:t>
      </w:r>
    </w:p>
    <w:p w:rsidR="00364B14" w:rsidRPr="00364B14" w:rsidRDefault="00364B14" w:rsidP="00D278B9">
      <w:pPr>
        <w:pStyle w:val="SingleTxtG"/>
        <w:ind w:left="2268" w:hanging="1134"/>
        <w:rPr>
          <w:lang w:val="fr-FR"/>
        </w:rPr>
      </w:pPr>
      <w:r w:rsidRPr="00364B14">
        <w:rPr>
          <w:lang w:val="fr-FR"/>
        </w:rPr>
        <w:t>5.4</w:t>
      </w:r>
      <w:r w:rsidRPr="00364B14">
        <w:rPr>
          <w:lang w:val="fr-FR"/>
        </w:rPr>
        <w:tab/>
        <w:t>Sur tout</w:t>
      </w:r>
      <w:r w:rsidR="00EB4D6B">
        <w:rPr>
          <w:lang w:val="fr-FR"/>
        </w:rPr>
        <w:t xml:space="preserve"> </w:t>
      </w:r>
      <w:r w:rsidRPr="00364B14">
        <w:rPr>
          <w:lang w:val="fr-FR"/>
        </w:rPr>
        <w:t>véhicule</w:t>
      </w:r>
      <w:r w:rsidRPr="00364B14">
        <w:rPr>
          <w:b/>
          <w:lang w:val="fr-FR"/>
        </w:rPr>
        <w:t xml:space="preserve"> </w:t>
      </w:r>
      <w:r w:rsidRPr="00364B14">
        <w:rPr>
          <w:lang w:val="fr-FR"/>
        </w:rPr>
        <w:t>conforme à un type de</w:t>
      </w:r>
      <w:r w:rsidR="00EB4D6B">
        <w:rPr>
          <w:lang w:val="fr-FR"/>
        </w:rPr>
        <w:t xml:space="preserve"> </w:t>
      </w:r>
      <w:r w:rsidRPr="00364B14">
        <w:rPr>
          <w:lang w:val="fr-FR"/>
        </w:rPr>
        <w:t>véhicule</w:t>
      </w:r>
      <w:r w:rsidRPr="00364B14">
        <w:rPr>
          <w:b/>
          <w:lang w:val="fr-FR"/>
        </w:rPr>
        <w:t xml:space="preserve"> </w:t>
      </w:r>
      <w:r w:rsidRPr="00364B14">
        <w:rPr>
          <w:lang w:val="fr-FR"/>
        </w:rPr>
        <w:t>homologué en application du présent Règlement, il est apposé de manière visible, en un endroit facilement accessible et indiqué sur la fiche d’homologation, une marque d’homologation internationale composée :</w:t>
      </w:r>
    </w:p>
    <w:p w:rsidR="00364B14" w:rsidRPr="00364B14" w:rsidRDefault="00364B14" w:rsidP="00D278B9">
      <w:pPr>
        <w:pStyle w:val="SingleTxtG"/>
        <w:ind w:left="2268" w:hanging="1134"/>
        <w:rPr>
          <w:lang w:val="fr-FR"/>
        </w:rPr>
      </w:pPr>
      <w:r w:rsidRPr="00364B14">
        <w:rPr>
          <w:lang w:val="fr-FR"/>
        </w:rPr>
        <w:t>5.4.1</w:t>
      </w:r>
      <w:r w:rsidRPr="00364B14">
        <w:rPr>
          <w:lang w:val="fr-FR"/>
        </w:rPr>
        <w:tab/>
        <w:t xml:space="preserve">D’un cercle à l’intérieur duquel est placée la lettre </w:t>
      </w:r>
      <w:r w:rsidRPr="00364B14">
        <w:t>“</w:t>
      </w:r>
      <w:r w:rsidRPr="00364B14">
        <w:rPr>
          <w:lang w:val="fr-FR"/>
        </w:rPr>
        <w:t>E</w:t>
      </w:r>
      <w:r w:rsidRPr="00364B14">
        <w:t>”</w:t>
      </w:r>
      <w:r w:rsidRPr="00364B14">
        <w:rPr>
          <w:lang w:val="fr-FR"/>
        </w:rPr>
        <w:t xml:space="preserve"> suivie du numéro distinctif du pays ayant délivré l’homologation</w:t>
      </w:r>
      <w:r w:rsidRPr="001F2BDA">
        <w:rPr>
          <w:rStyle w:val="FootnoteReference"/>
        </w:rPr>
        <w:footnoteReference w:id="6"/>
      </w:r>
      <w:r w:rsidRPr="00364B14">
        <w:rPr>
          <w:lang w:val="fr-FR"/>
        </w:rPr>
        <w:t> ;</w:t>
      </w:r>
    </w:p>
    <w:p w:rsidR="00364B14" w:rsidRPr="00364B14" w:rsidRDefault="00364B14" w:rsidP="00D278B9">
      <w:pPr>
        <w:pStyle w:val="SingleTxtG"/>
        <w:ind w:left="2268" w:hanging="1134"/>
        <w:rPr>
          <w:lang w:val="fr-FR"/>
        </w:rPr>
      </w:pPr>
      <w:r w:rsidRPr="00364B14">
        <w:rPr>
          <w:lang w:val="fr-FR"/>
        </w:rPr>
        <w:t>5.4.2</w:t>
      </w:r>
      <w:r w:rsidRPr="00364B14">
        <w:rPr>
          <w:lang w:val="fr-FR"/>
        </w:rPr>
        <w:tab/>
        <w:t xml:space="preserve">Du numéro du présent Règlement, suivi de la lettre </w:t>
      </w:r>
      <w:r w:rsidRPr="00364B14">
        <w:t>“</w:t>
      </w:r>
      <w:r w:rsidRPr="00364B14">
        <w:rPr>
          <w:lang w:val="fr-FR"/>
        </w:rPr>
        <w:t>R</w:t>
      </w:r>
      <w:r w:rsidRPr="00364B14">
        <w:t>”</w:t>
      </w:r>
      <w:r w:rsidRPr="00364B14">
        <w:rPr>
          <w:lang w:val="fr-FR"/>
        </w:rPr>
        <w:t>, d’un tiret et du numéro d’homologation, placé à la droit</w:t>
      </w:r>
      <w:r w:rsidR="00EB4D6B">
        <w:rPr>
          <w:lang w:val="fr-FR"/>
        </w:rPr>
        <w:t>e du cercle prévu au paragraphe </w:t>
      </w:r>
      <w:r w:rsidRPr="00364B14">
        <w:rPr>
          <w:lang w:val="fr-FR"/>
        </w:rPr>
        <w:t>5.4.1 ci-dessus.</w:t>
      </w:r>
    </w:p>
    <w:p w:rsidR="00364B14" w:rsidRPr="00364B14" w:rsidRDefault="00364B14" w:rsidP="00D278B9">
      <w:pPr>
        <w:pStyle w:val="SingleTxtG"/>
        <w:ind w:left="2268" w:hanging="1134"/>
        <w:rPr>
          <w:lang w:val="fr-FR"/>
        </w:rPr>
      </w:pPr>
      <w:r w:rsidRPr="00364B14">
        <w:rPr>
          <w:lang w:val="fr-FR"/>
        </w:rPr>
        <w:t>5.5</w:t>
      </w:r>
      <w:r w:rsidRPr="00364B14">
        <w:rPr>
          <w:lang w:val="fr-FR"/>
        </w:rPr>
        <w:tab/>
        <w:t>Si le</w:t>
      </w:r>
      <w:r w:rsidR="00EB4D6B">
        <w:rPr>
          <w:lang w:val="fr-FR"/>
        </w:rPr>
        <w:t xml:space="preserve"> </w:t>
      </w:r>
      <w:r w:rsidRPr="00364B14">
        <w:rPr>
          <w:lang w:val="fr-FR"/>
        </w:rPr>
        <w:t>véhicule</w:t>
      </w:r>
      <w:r w:rsidRPr="00364B14">
        <w:rPr>
          <w:b/>
          <w:lang w:val="fr-FR"/>
        </w:rPr>
        <w:t xml:space="preserve"> </w:t>
      </w:r>
      <w:r w:rsidRPr="00364B14">
        <w:rPr>
          <w:lang w:val="fr-FR"/>
        </w:rPr>
        <w:t>est conforme à un type de véhicule</w:t>
      </w:r>
      <w:r w:rsidRPr="00364B14">
        <w:rPr>
          <w:b/>
          <w:lang w:val="fr-FR"/>
        </w:rPr>
        <w:t xml:space="preserve"> </w:t>
      </w:r>
      <w:r w:rsidRPr="00364B14">
        <w:rPr>
          <w:lang w:val="fr-FR"/>
        </w:rPr>
        <w:t>homologué en application d’un ou de plusieurs règlements joints en annexe à l’Accord, dans le pays qui a accordé l’homologation en application du présent Règlement, il n’est pas nécessaire de répéter le symbo</w:t>
      </w:r>
      <w:r w:rsidR="00EB4D6B">
        <w:rPr>
          <w:lang w:val="fr-FR"/>
        </w:rPr>
        <w:t>le prévu au paragraphe 5.4.1 ci-</w:t>
      </w:r>
      <w:r w:rsidRPr="00364B14">
        <w:rPr>
          <w:lang w:val="fr-FR"/>
        </w:rPr>
        <w:t xml:space="preserve">dessus ; en pareil cas, les numéros et symboles additionnels de tous les Règlements pour lesquels l’homologation est accordée dans le pays ayant accordé l’homologation en application du présent </w:t>
      </w:r>
      <w:r w:rsidR="001F2BDA">
        <w:rPr>
          <w:lang w:val="fr-FR"/>
        </w:rPr>
        <w:t>Règlement sont inscrits l’un au-</w:t>
      </w:r>
      <w:r w:rsidRPr="00364B14">
        <w:rPr>
          <w:lang w:val="fr-FR"/>
        </w:rPr>
        <w:t>dessous de l’autre à droite</w:t>
      </w:r>
      <w:r w:rsidR="00EB4D6B">
        <w:rPr>
          <w:lang w:val="fr-FR"/>
        </w:rPr>
        <w:t xml:space="preserve"> du symbole prévu au paragraphe </w:t>
      </w:r>
      <w:r w:rsidRPr="00364B14">
        <w:rPr>
          <w:lang w:val="fr-FR"/>
        </w:rPr>
        <w:t>5.4</w:t>
      </w:r>
      <w:r w:rsidR="001F2BDA">
        <w:rPr>
          <w:lang w:val="fr-FR"/>
        </w:rPr>
        <w:t>.1 ci-</w:t>
      </w:r>
      <w:r w:rsidRPr="00364B14">
        <w:rPr>
          <w:lang w:val="fr-FR"/>
        </w:rPr>
        <w:t>dessus.</w:t>
      </w:r>
    </w:p>
    <w:p w:rsidR="00364B14" w:rsidRPr="00364B14" w:rsidRDefault="00364B14" w:rsidP="00D278B9">
      <w:pPr>
        <w:pStyle w:val="SingleTxtG"/>
        <w:ind w:left="2268" w:hanging="1134"/>
        <w:rPr>
          <w:lang w:val="fr-FR"/>
        </w:rPr>
      </w:pPr>
      <w:r w:rsidRPr="00364B14">
        <w:rPr>
          <w:lang w:val="fr-FR"/>
        </w:rPr>
        <w:t>5.6</w:t>
      </w:r>
      <w:r w:rsidRPr="00364B14">
        <w:rPr>
          <w:lang w:val="fr-FR"/>
        </w:rPr>
        <w:tab/>
        <w:t>La marque d’homologation doit être nettement lisible et indélébile.</w:t>
      </w:r>
    </w:p>
    <w:p w:rsidR="00364B14" w:rsidRPr="00364B14" w:rsidRDefault="00364B14" w:rsidP="00D278B9">
      <w:pPr>
        <w:pStyle w:val="SingleTxtG"/>
        <w:ind w:left="2268" w:hanging="1134"/>
        <w:rPr>
          <w:lang w:val="fr-FR"/>
        </w:rPr>
      </w:pPr>
      <w:r w:rsidRPr="00364B14">
        <w:rPr>
          <w:lang w:val="fr-FR"/>
        </w:rPr>
        <w:lastRenderedPageBreak/>
        <w:t>5.7</w:t>
      </w:r>
      <w:r w:rsidRPr="00364B14">
        <w:rPr>
          <w:lang w:val="fr-FR"/>
        </w:rPr>
        <w:tab/>
        <w:t>La marque d’homologation est placée sur la plaque signalétique du véhicule</w:t>
      </w:r>
      <w:r w:rsidRPr="00364B14">
        <w:rPr>
          <w:b/>
          <w:lang w:val="fr-FR"/>
        </w:rPr>
        <w:t xml:space="preserve"> </w:t>
      </w:r>
      <w:r w:rsidRPr="00364B14">
        <w:rPr>
          <w:lang w:val="fr-FR"/>
        </w:rPr>
        <w:t>ou à proximité de celle-ci.</w:t>
      </w:r>
    </w:p>
    <w:p w:rsidR="00364B14" w:rsidRPr="00364B14" w:rsidRDefault="00EB4D6B" w:rsidP="00D278B9">
      <w:pPr>
        <w:pStyle w:val="SingleTxtG"/>
        <w:ind w:left="2268" w:hanging="1134"/>
        <w:rPr>
          <w:lang w:val="fr-FR"/>
        </w:rPr>
      </w:pPr>
      <w:r>
        <w:rPr>
          <w:lang w:val="fr-FR"/>
        </w:rPr>
        <w:t>5.8</w:t>
      </w:r>
      <w:r>
        <w:rPr>
          <w:lang w:val="fr-FR"/>
        </w:rPr>
        <w:tab/>
        <w:t>L’annexe </w:t>
      </w:r>
      <w:r w:rsidR="00364B14" w:rsidRPr="00364B14">
        <w:rPr>
          <w:lang w:val="fr-FR"/>
        </w:rPr>
        <w:t>2 du présent Règlement donne des exemples de marques d’homologation.</w:t>
      </w:r>
    </w:p>
    <w:p w:rsidR="00364B14" w:rsidRPr="00364B14" w:rsidRDefault="00364B14" w:rsidP="00347903">
      <w:pPr>
        <w:pStyle w:val="HChG"/>
        <w:ind w:left="2268"/>
        <w:rPr>
          <w:b w:val="0"/>
          <w:lang w:val="fr-FR"/>
        </w:rPr>
      </w:pPr>
      <w:r w:rsidRPr="00364B14">
        <w:rPr>
          <w:lang w:val="fr-FR"/>
        </w:rPr>
        <w:t>6.</w:t>
      </w:r>
      <w:r w:rsidRPr="00364B14">
        <w:rPr>
          <w:lang w:val="fr-FR"/>
        </w:rPr>
        <w:tab/>
        <w:t>Spécifications</w:t>
      </w:r>
    </w:p>
    <w:p w:rsidR="00364B14" w:rsidRPr="00364B14" w:rsidRDefault="00364B14" w:rsidP="00EB4D6B">
      <w:pPr>
        <w:pStyle w:val="SingleTxtG"/>
        <w:keepNext/>
        <w:keepLines/>
        <w:ind w:left="2268" w:hanging="1134"/>
        <w:rPr>
          <w:lang w:val="fr-FR"/>
        </w:rPr>
      </w:pPr>
      <w:r w:rsidRPr="00364B14">
        <w:rPr>
          <w:lang w:val="fr-FR"/>
        </w:rPr>
        <w:t>6.1</w:t>
      </w:r>
      <w:r w:rsidRPr="00364B14">
        <w:rPr>
          <w:lang w:val="fr-FR"/>
        </w:rPr>
        <w:tab/>
        <w:t>Spécifications générales</w:t>
      </w:r>
    </w:p>
    <w:p w:rsidR="00364B14" w:rsidRPr="00364B14" w:rsidRDefault="00364B14" w:rsidP="00D278B9">
      <w:pPr>
        <w:pStyle w:val="SingleTxtG"/>
        <w:ind w:left="2268" w:hanging="1134"/>
        <w:rPr>
          <w:lang w:val="fr-FR"/>
        </w:rPr>
      </w:pPr>
      <w:r w:rsidRPr="00364B14">
        <w:rPr>
          <w:lang w:val="fr-FR"/>
        </w:rPr>
        <w:t>6.1.1</w:t>
      </w:r>
      <w:r w:rsidRPr="00364B14">
        <w:rPr>
          <w:lang w:val="fr-FR"/>
        </w:rPr>
        <w:tab/>
        <w:t>Le véhicule, son moteur et son dispositif d’échappement ou silencieux doivent être conçus, construits et montés de telle façon que, dans des conditions normales d’utilisation et en dépit des vibrations auxquelles ils peuvent être soumis, le véhicule</w:t>
      </w:r>
      <w:r w:rsidRPr="00364B14">
        <w:rPr>
          <w:b/>
          <w:lang w:val="fr-FR"/>
        </w:rPr>
        <w:t xml:space="preserve"> </w:t>
      </w:r>
      <w:r w:rsidRPr="00364B14">
        <w:rPr>
          <w:lang w:val="fr-FR"/>
        </w:rPr>
        <w:t>puisse satisfaire aux prescriptions du présent Règlement.</w:t>
      </w:r>
    </w:p>
    <w:p w:rsidR="00364B14" w:rsidRPr="00364B14" w:rsidRDefault="00364B14" w:rsidP="00D278B9">
      <w:pPr>
        <w:pStyle w:val="SingleTxtG"/>
        <w:ind w:left="2268" w:hanging="1134"/>
        <w:rPr>
          <w:lang w:val="fr-FR"/>
        </w:rPr>
      </w:pPr>
      <w:r w:rsidRPr="00364B14">
        <w:rPr>
          <w:lang w:val="fr-FR"/>
        </w:rPr>
        <w:t>6.1.2</w:t>
      </w:r>
      <w:r w:rsidRPr="00364B14">
        <w:rPr>
          <w:lang w:val="fr-FR"/>
        </w:rPr>
        <w:tab/>
        <w:t>Le dispositif d’échappement ou le silencieux doit être conçu, construit et monté de telle façon qu’il puisse résister aux phénomènes de corrosion auxquels il est exposé.</w:t>
      </w:r>
    </w:p>
    <w:p w:rsidR="00364B14" w:rsidRPr="00364B14" w:rsidRDefault="00364B14" w:rsidP="00D278B9">
      <w:pPr>
        <w:pStyle w:val="SingleTxtG"/>
        <w:ind w:left="2268" w:hanging="1134"/>
        <w:rPr>
          <w:lang w:val="fr-FR"/>
        </w:rPr>
      </w:pPr>
      <w:r w:rsidRPr="00364B14">
        <w:rPr>
          <w:bCs/>
          <w:lang w:val="fr-FR"/>
        </w:rPr>
        <w:t>6.1.3</w:t>
      </w:r>
      <w:r w:rsidRPr="00364B14">
        <w:rPr>
          <w:bCs/>
          <w:lang w:val="fr-FR"/>
        </w:rPr>
        <w:tab/>
      </w:r>
      <w:r w:rsidRPr="00364B14">
        <w:rPr>
          <w:lang w:val="fr-FR"/>
        </w:rPr>
        <w:t>Les renseignements suivants doivent être apposés sur le véhicule</w:t>
      </w:r>
      <w:r w:rsidRPr="00364B14">
        <w:rPr>
          <w:b/>
          <w:lang w:val="fr-FR"/>
        </w:rPr>
        <w:t xml:space="preserve"> </w:t>
      </w:r>
      <w:r w:rsidRPr="00364B14">
        <w:rPr>
          <w:lang w:val="fr-FR"/>
        </w:rPr>
        <w:t>en un endroit facilement accessible mais pas nécessairement visible immédiatement :</w:t>
      </w:r>
    </w:p>
    <w:p w:rsidR="00364B14" w:rsidRPr="00364B14" w:rsidRDefault="00364B14" w:rsidP="001F2BDA">
      <w:pPr>
        <w:pStyle w:val="SingleTxtG"/>
        <w:ind w:left="2835" w:hanging="567"/>
        <w:rPr>
          <w:lang w:val="fr-FR"/>
        </w:rPr>
      </w:pPr>
      <w:r w:rsidRPr="00364B14">
        <w:rPr>
          <w:lang w:val="fr-FR"/>
        </w:rPr>
        <w:t>a)</w:t>
      </w:r>
      <w:r w:rsidRPr="00364B14">
        <w:rPr>
          <w:lang w:val="fr-FR"/>
        </w:rPr>
        <w:tab/>
        <w:t>Nom du constructeur ;</w:t>
      </w:r>
    </w:p>
    <w:p w:rsidR="00364B14" w:rsidRPr="00364B14" w:rsidRDefault="00364B14" w:rsidP="001F2BDA">
      <w:pPr>
        <w:pStyle w:val="SingleTxtG"/>
        <w:ind w:left="2835" w:hanging="567"/>
        <w:rPr>
          <w:bCs/>
          <w:lang w:val="fr-FR"/>
        </w:rPr>
      </w:pPr>
      <w:r w:rsidRPr="00364B14">
        <w:rPr>
          <w:lang w:val="fr-FR"/>
        </w:rPr>
        <w:t>b)</w:t>
      </w:r>
      <w:r w:rsidRPr="00364B14">
        <w:rPr>
          <w:lang w:val="fr-FR"/>
        </w:rPr>
        <w:tab/>
        <w:t>Régime moteur recherché et résultat final de l’essai à l’arrêt défini</w:t>
      </w:r>
      <w:r w:rsidR="001F2BDA">
        <w:rPr>
          <w:lang w:val="fr-FR"/>
        </w:rPr>
        <w:t>s au paragraphe 3.2 de l’annexe </w:t>
      </w:r>
      <w:r w:rsidRPr="00364B14">
        <w:rPr>
          <w:lang w:val="fr-FR"/>
        </w:rPr>
        <w:t>3 du présent Règlement.</w:t>
      </w:r>
    </w:p>
    <w:p w:rsidR="00364B14" w:rsidRPr="00364B14" w:rsidRDefault="00364B14" w:rsidP="00EB4D6B">
      <w:pPr>
        <w:pStyle w:val="SingleTxtG"/>
        <w:keepNext/>
        <w:keepLines/>
        <w:ind w:left="2268" w:hanging="1134"/>
        <w:rPr>
          <w:lang w:val="fr-FR"/>
        </w:rPr>
      </w:pPr>
      <w:r w:rsidRPr="00364B14">
        <w:rPr>
          <w:lang w:val="fr-FR"/>
        </w:rPr>
        <w:t>6.2</w:t>
      </w:r>
      <w:r w:rsidRPr="00364B14">
        <w:rPr>
          <w:lang w:val="fr-FR"/>
        </w:rPr>
        <w:tab/>
        <w:t>Spécifications relatives aux niveaux sonores</w:t>
      </w:r>
    </w:p>
    <w:p w:rsidR="00364B14" w:rsidRPr="00364B14" w:rsidRDefault="00364B14" w:rsidP="00EB4D6B">
      <w:pPr>
        <w:pStyle w:val="SingleTxtG"/>
        <w:keepNext/>
        <w:keepLines/>
        <w:ind w:left="2268" w:hanging="1134"/>
        <w:rPr>
          <w:lang w:val="fr-FR"/>
        </w:rPr>
      </w:pPr>
      <w:r w:rsidRPr="00364B14">
        <w:rPr>
          <w:lang w:val="fr-FR"/>
        </w:rPr>
        <w:t>6.2.1</w:t>
      </w:r>
      <w:r w:rsidRPr="00364B14">
        <w:rPr>
          <w:lang w:val="fr-FR"/>
        </w:rPr>
        <w:tab/>
        <w:t>Méthodes de mesure</w:t>
      </w:r>
    </w:p>
    <w:p w:rsidR="00364B14" w:rsidRPr="00364B14" w:rsidRDefault="00364B14" w:rsidP="00D278B9">
      <w:pPr>
        <w:pStyle w:val="SingleTxtG"/>
        <w:ind w:left="2268" w:hanging="1134"/>
        <w:rPr>
          <w:lang w:val="fr-FR"/>
        </w:rPr>
      </w:pPr>
      <w:r w:rsidRPr="00364B14">
        <w:rPr>
          <w:lang w:val="fr-FR"/>
        </w:rPr>
        <w:t>6.2.1.1</w:t>
      </w:r>
      <w:r w:rsidRPr="00364B14">
        <w:rPr>
          <w:lang w:val="fr-FR"/>
        </w:rPr>
        <w:tab/>
        <w:t>La mesure</w:t>
      </w:r>
      <w:r w:rsidR="00EB4D6B">
        <w:rPr>
          <w:lang w:val="fr-FR"/>
        </w:rPr>
        <w:t xml:space="preserve"> </w:t>
      </w:r>
      <w:r w:rsidRPr="00364B14">
        <w:rPr>
          <w:lang w:val="fr-FR"/>
        </w:rPr>
        <w:t>des émissions sonores du</w:t>
      </w:r>
      <w:r w:rsidRPr="00364B14">
        <w:rPr>
          <w:b/>
          <w:lang w:val="fr-FR"/>
        </w:rPr>
        <w:t xml:space="preserve"> </w:t>
      </w:r>
      <w:r w:rsidRPr="00364B14">
        <w:rPr>
          <w:lang w:val="fr-FR"/>
        </w:rPr>
        <w:t>type de véhicule</w:t>
      </w:r>
      <w:r w:rsidRPr="00364B14">
        <w:rPr>
          <w:b/>
          <w:lang w:val="fr-FR"/>
        </w:rPr>
        <w:t xml:space="preserve"> </w:t>
      </w:r>
      <w:r w:rsidRPr="00364B14">
        <w:rPr>
          <w:lang w:val="fr-FR"/>
        </w:rPr>
        <w:t>présenté à l’homologation est effectuée conformément à chacune d</w:t>
      </w:r>
      <w:r w:rsidR="001F2BDA">
        <w:rPr>
          <w:lang w:val="fr-FR"/>
        </w:rPr>
        <w:t>es méthodes décrites à l’annexe </w:t>
      </w:r>
      <w:r w:rsidRPr="00364B14">
        <w:rPr>
          <w:lang w:val="fr-FR"/>
        </w:rPr>
        <w:t>3 du présent Règlement pour le véhicule</w:t>
      </w:r>
      <w:r w:rsidRPr="00364B14">
        <w:rPr>
          <w:b/>
          <w:lang w:val="fr-FR"/>
        </w:rPr>
        <w:t xml:space="preserve"> </w:t>
      </w:r>
      <w:r w:rsidRPr="00364B14">
        <w:rPr>
          <w:lang w:val="fr-FR"/>
        </w:rPr>
        <w:t>en marche et pour le véhicule</w:t>
      </w:r>
      <w:r w:rsidRPr="00364B14">
        <w:rPr>
          <w:b/>
          <w:lang w:val="fr-FR"/>
        </w:rPr>
        <w:t xml:space="preserve"> </w:t>
      </w:r>
      <w:r w:rsidRPr="00364B14">
        <w:rPr>
          <w:lang w:val="fr-FR"/>
        </w:rPr>
        <w:t>à l’arrêt, respectivement</w:t>
      </w:r>
      <w:r w:rsidRPr="001F2BDA">
        <w:rPr>
          <w:rStyle w:val="FootnoteReference"/>
        </w:rPr>
        <w:footnoteReference w:id="7"/>
      </w:r>
      <w:r w:rsidRPr="00364B14">
        <w:rPr>
          <w:lang w:val="fr-FR"/>
        </w:rPr>
        <w:t>. Dans le cas d’un véhicule</w:t>
      </w:r>
      <w:r w:rsidRPr="00364B14">
        <w:rPr>
          <w:b/>
          <w:lang w:val="fr-FR"/>
        </w:rPr>
        <w:t xml:space="preserve"> </w:t>
      </w:r>
      <w:r w:rsidRPr="00364B14">
        <w:rPr>
          <w:lang w:val="fr-FR"/>
        </w:rPr>
        <w:t>sur lequel il n’y a pas de moteur à combustion interne en fonctionnement lorsqu’il est à l’arrêt,</w:t>
      </w:r>
      <w:r w:rsidR="00EB4D6B">
        <w:rPr>
          <w:lang w:val="fr-FR"/>
        </w:rPr>
        <w:t xml:space="preserve"> </w:t>
      </w:r>
      <w:r w:rsidRPr="00364B14">
        <w:rPr>
          <w:lang w:val="fr-FR"/>
        </w:rPr>
        <w:t>les émissions sonores</w:t>
      </w:r>
      <w:r w:rsidRPr="00364B14">
        <w:rPr>
          <w:b/>
          <w:lang w:val="fr-FR"/>
        </w:rPr>
        <w:t xml:space="preserve"> </w:t>
      </w:r>
      <w:r w:rsidRPr="00364B14">
        <w:rPr>
          <w:lang w:val="fr-FR"/>
        </w:rPr>
        <w:t>doivent</w:t>
      </w:r>
      <w:r w:rsidRPr="00364B14">
        <w:rPr>
          <w:b/>
          <w:lang w:val="fr-FR"/>
        </w:rPr>
        <w:t xml:space="preserve"> </w:t>
      </w:r>
      <w:r w:rsidRPr="00364B14">
        <w:rPr>
          <w:lang w:val="fr-FR"/>
        </w:rPr>
        <w:t>être mesurées uniquement lorsque le véhicule</w:t>
      </w:r>
      <w:r w:rsidRPr="00364B14">
        <w:rPr>
          <w:b/>
          <w:lang w:val="fr-FR"/>
        </w:rPr>
        <w:t xml:space="preserve"> </w:t>
      </w:r>
      <w:r w:rsidRPr="00364B14">
        <w:rPr>
          <w:lang w:val="fr-FR"/>
        </w:rPr>
        <w:t>est en marche</w:t>
      </w:r>
      <w:r w:rsidRPr="00364B14">
        <w:rPr>
          <w:bCs/>
          <w:lang w:val="fr-FR"/>
        </w:rPr>
        <w:t>.</w:t>
      </w:r>
    </w:p>
    <w:p w:rsidR="00364B14" w:rsidRPr="00364B14" w:rsidRDefault="00364B14" w:rsidP="00D278B9">
      <w:pPr>
        <w:pStyle w:val="SingleTxtG"/>
        <w:ind w:left="2268" w:hanging="1134"/>
        <w:rPr>
          <w:lang w:val="fr-FR"/>
        </w:rPr>
      </w:pPr>
      <w:r w:rsidRPr="00364B14">
        <w:rPr>
          <w:lang w:val="fr-FR"/>
        </w:rPr>
        <w:t>6.2.1.2</w:t>
      </w:r>
      <w:r w:rsidRPr="00364B14">
        <w:rPr>
          <w:lang w:val="fr-FR"/>
        </w:rPr>
        <w:tab/>
        <w:t>La ou les valeurs mesurées selon les prescri</w:t>
      </w:r>
      <w:r w:rsidR="00EB4D6B">
        <w:rPr>
          <w:lang w:val="fr-FR"/>
        </w:rPr>
        <w:t>ptions du paragraphe 6.2.1.1 ci</w:t>
      </w:r>
      <w:r w:rsidR="00EB4D6B">
        <w:rPr>
          <w:lang w:val="fr-FR"/>
        </w:rPr>
        <w:noBreakHyphen/>
      </w:r>
      <w:r w:rsidRPr="00364B14">
        <w:rPr>
          <w:lang w:val="fr-FR"/>
        </w:rPr>
        <w:t>dessus doivent figurer dans le procès-verbal et sur la fiche conforme au modèle de l’annexe 1 du présent Règlement.</w:t>
      </w:r>
    </w:p>
    <w:p w:rsidR="00364B14" w:rsidRPr="00364B14" w:rsidRDefault="00364B14" w:rsidP="00D278B9">
      <w:pPr>
        <w:pStyle w:val="SingleTxtG"/>
        <w:ind w:left="2268" w:hanging="1134"/>
        <w:rPr>
          <w:lang w:val="fr-FR"/>
        </w:rPr>
      </w:pPr>
      <w:r w:rsidRPr="00364B14">
        <w:rPr>
          <w:lang w:val="fr-FR"/>
        </w:rPr>
        <w:t>6.2.1.3</w:t>
      </w:r>
      <w:r w:rsidRPr="00364B14">
        <w:rPr>
          <w:lang w:val="fr-FR"/>
        </w:rPr>
        <w:tab/>
        <w:t>La valeur du niveau sonore, mesurée conformément à l</w:t>
      </w:r>
      <w:r w:rsidR="00EB4D6B">
        <w:rPr>
          <w:lang w:val="fr-FR"/>
        </w:rPr>
        <w:t>a méthode décrite au paragraphe </w:t>
      </w:r>
      <w:r w:rsidRPr="00364B14">
        <w:rPr>
          <w:lang w:val="fr-FR"/>
        </w:rPr>
        <w:t>3.1 de l’annexe 3 du présent Règlement, lorsque le véhicule</w:t>
      </w:r>
      <w:r w:rsidRPr="00364B14">
        <w:rPr>
          <w:b/>
          <w:lang w:val="fr-FR"/>
        </w:rPr>
        <w:t xml:space="preserve"> </w:t>
      </w:r>
      <w:r w:rsidRPr="00364B14">
        <w:rPr>
          <w:lang w:val="fr-FR"/>
        </w:rPr>
        <w:t>est en marche, ne doit pas dépasser (pour les véhicules</w:t>
      </w:r>
      <w:r w:rsidRPr="00364B14">
        <w:rPr>
          <w:b/>
          <w:lang w:val="fr-FR"/>
        </w:rPr>
        <w:t xml:space="preserve"> </w:t>
      </w:r>
      <w:r w:rsidRPr="00364B14">
        <w:rPr>
          <w:lang w:val="fr-FR"/>
        </w:rPr>
        <w:t>neufs et les dispositifs d’échappement ou silencieux neufs) le</w:t>
      </w:r>
      <w:r w:rsidR="00EB4D6B">
        <w:rPr>
          <w:lang w:val="fr-FR"/>
        </w:rPr>
        <w:t>s limites prescrites à l’annexe </w:t>
      </w:r>
      <w:r w:rsidRPr="00364B14">
        <w:rPr>
          <w:lang w:val="fr-FR"/>
        </w:rPr>
        <w:t>4 du présent Règlement s’agissant de la catégorie à laquelle le véhicule</w:t>
      </w:r>
      <w:r w:rsidRPr="00364B14">
        <w:rPr>
          <w:b/>
          <w:lang w:val="fr-FR"/>
        </w:rPr>
        <w:t xml:space="preserve"> </w:t>
      </w:r>
      <w:r w:rsidRPr="00364B14">
        <w:rPr>
          <w:lang w:val="fr-FR"/>
        </w:rPr>
        <w:t>appartient.</w:t>
      </w:r>
    </w:p>
    <w:p w:rsidR="00364B14" w:rsidRPr="00364B14" w:rsidRDefault="00364B14" w:rsidP="00EB4D6B">
      <w:pPr>
        <w:pStyle w:val="SingleTxtG"/>
        <w:keepNext/>
        <w:keepLines/>
        <w:ind w:left="2268" w:hanging="1134"/>
        <w:rPr>
          <w:lang w:val="fr-FR"/>
        </w:rPr>
      </w:pPr>
      <w:r w:rsidRPr="00364B14">
        <w:rPr>
          <w:lang w:val="fr-FR"/>
        </w:rPr>
        <w:t>6.3</w:t>
      </w:r>
      <w:r w:rsidRPr="00364B14">
        <w:rPr>
          <w:lang w:val="fr-FR"/>
        </w:rPr>
        <w:tab/>
        <w:t>Prescriptions supplémentaires</w:t>
      </w:r>
    </w:p>
    <w:p w:rsidR="00364B14" w:rsidRPr="00364B14" w:rsidRDefault="00364B14" w:rsidP="00EB4D6B">
      <w:pPr>
        <w:pStyle w:val="SingleTxtG"/>
        <w:keepNext/>
        <w:keepLines/>
        <w:ind w:left="2268" w:hanging="1134"/>
        <w:rPr>
          <w:b/>
          <w:bCs/>
          <w:lang w:val="fr-FR"/>
        </w:rPr>
      </w:pPr>
      <w:r w:rsidRPr="00364B14">
        <w:rPr>
          <w:bCs/>
          <w:lang w:val="fr-FR"/>
        </w:rPr>
        <w:t>6.3.1</w:t>
      </w:r>
      <w:r w:rsidRPr="00364B14">
        <w:rPr>
          <w:bCs/>
          <w:lang w:val="fr-FR"/>
        </w:rPr>
        <w:tab/>
        <w:t>Dispositions relatives à la protection contre toute manipulation non autorisée</w:t>
      </w:r>
    </w:p>
    <w:p w:rsidR="00364B14" w:rsidRPr="00364B14" w:rsidRDefault="00364B14" w:rsidP="00EB4D6B">
      <w:pPr>
        <w:pStyle w:val="SingleTxtG"/>
        <w:ind w:left="2268"/>
        <w:rPr>
          <w:bCs/>
          <w:lang w:val="fr-FR"/>
        </w:rPr>
      </w:pPr>
      <w:r w:rsidRPr="00364B14">
        <w:rPr>
          <w:lang w:val="fr-FR"/>
        </w:rPr>
        <w:t>Tous les types de dispositifs d’échappement et de silencieux doivent être conçus de telle sorte qu’il</w:t>
      </w:r>
      <w:r w:rsidR="00EB4D6B">
        <w:rPr>
          <w:lang w:val="fr-FR"/>
        </w:rPr>
        <w:t xml:space="preserve"> </w:t>
      </w:r>
      <w:r w:rsidRPr="00364B14">
        <w:rPr>
          <w:lang w:val="fr-FR"/>
        </w:rPr>
        <w:t>ne soit pas possible</w:t>
      </w:r>
      <w:r w:rsidRPr="00364B14">
        <w:rPr>
          <w:b/>
          <w:lang w:val="fr-FR"/>
        </w:rPr>
        <w:t xml:space="preserve"> </w:t>
      </w:r>
      <w:r w:rsidRPr="00364B14">
        <w:rPr>
          <w:lang w:val="fr-FR"/>
        </w:rPr>
        <w:t>d’en retirer les chicanes ou les cônes de sortie, ainsi que toute pièce servant principalement à atténuer le bruit. Les pièces indispensables doivent être fixées de telle sorte qu’elles ne puissent être enlevées facilement (par exemple être boulonnées) et que leur absence causerait des dégâts irréversibles pour l’ensemble.</w:t>
      </w:r>
    </w:p>
    <w:p w:rsidR="00364B14" w:rsidRPr="00364B14" w:rsidRDefault="00364B14" w:rsidP="00D278B9">
      <w:pPr>
        <w:pStyle w:val="SingleTxtG"/>
        <w:ind w:left="2268" w:hanging="1134"/>
        <w:rPr>
          <w:b/>
          <w:bCs/>
          <w:lang w:val="fr-FR"/>
        </w:rPr>
      </w:pPr>
      <w:r w:rsidRPr="00364B14">
        <w:rPr>
          <w:bCs/>
          <w:lang w:val="fr-FR"/>
        </w:rPr>
        <w:lastRenderedPageBreak/>
        <w:t>6.3.2</w:t>
      </w:r>
      <w:r w:rsidRPr="00364B14">
        <w:rPr>
          <w:bCs/>
          <w:lang w:val="fr-FR"/>
        </w:rPr>
        <w:tab/>
        <w:t>Dispositifs d’échappement ou silencieux à modes de fonctionnement multiples</w:t>
      </w:r>
    </w:p>
    <w:p w:rsidR="00364B14" w:rsidRPr="00364B14" w:rsidRDefault="00364B14" w:rsidP="00EB4D6B">
      <w:pPr>
        <w:pStyle w:val="SingleTxtG"/>
        <w:ind w:left="2268"/>
        <w:rPr>
          <w:bCs/>
          <w:lang w:val="fr-FR"/>
        </w:rPr>
      </w:pPr>
      <w:r w:rsidRPr="00364B14">
        <w:rPr>
          <w:lang w:val="fr-FR"/>
        </w:rPr>
        <w:t>Les dispositifs d’échappement ou les silencieux équipés de modes multiples réglables manuellement ou électroniquement et pouvant être sélectionnés par le conducteur</w:t>
      </w:r>
      <w:r w:rsidRPr="00364B14">
        <w:rPr>
          <w:b/>
          <w:lang w:val="fr-FR"/>
        </w:rPr>
        <w:t xml:space="preserve"> </w:t>
      </w:r>
      <w:r w:rsidRPr="00364B14">
        <w:rPr>
          <w:lang w:val="fr-FR"/>
        </w:rPr>
        <w:t>doivent satisfaire aux prescriptions dans tous les modes de fonctionnement. Les valeurs</w:t>
      </w:r>
      <w:r w:rsidR="00EB4D6B">
        <w:rPr>
          <w:lang w:val="fr-FR"/>
        </w:rPr>
        <w:t xml:space="preserve"> </w:t>
      </w:r>
      <w:r w:rsidRPr="00364B14">
        <w:rPr>
          <w:lang w:val="fr-FR"/>
        </w:rPr>
        <w:t>d’émissions sonores</w:t>
      </w:r>
      <w:r w:rsidRPr="00364B14">
        <w:rPr>
          <w:b/>
          <w:lang w:val="fr-FR"/>
        </w:rPr>
        <w:t xml:space="preserve"> </w:t>
      </w:r>
      <w:r w:rsidRPr="00364B14">
        <w:rPr>
          <w:lang w:val="fr-FR"/>
        </w:rPr>
        <w:t>mesurées doivent correspondre à celles obtenues avec le mode le plus bruyant.</w:t>
      </w:r>
    </w:p>
    <w:p w:rsidR="00364B14" w:rsidRPr="00364B14" w:rsidRDefault="00364B14" w:rsidP="00D278B9">
      <w:pPr>
        <w:pStyle w:val="SingleTxtG"/>
        <w:ind w:left="2268" w:hanging="1134"/>
        <w:rPr>
          <w:b/>
          <w:bCs/>
          <w:lang w:val="fr-FR"/>
        </w:rPr>
      </w:pPr>
      <w:r w:rsidRPr="00364B14">
        <w:rPr>
          <w:bCs/>
          <w:lang w:val="fr-FR"/>
        </w:rPr>
        <w:t>6.3.3</w:t>
      </w:r>
      <w:r w:rsidRPr="00364B14">
        <w:rPr>
          <w:bCs/>
          <w:lang w:val="fr-FR"/>
        </w:rPr>
        <w:tab/>
        <w:t>Interdiction des procédés de neutralisation</w:t>
      </w:r>
    </w:p>
    <w:p w:rsidR="00364B14" w:rsidRPr="00364B14" w:rsidRDefault="00364B14" w:rsidP="00EB4D6B">
      <w:pPr>
        <w:pStyle w:val="SingleTxtG"/>
        <w:ind w:left="2268"/>
        <w:rPr>
          <w:bCs/>
          <w:lang w:val="fr-FR"/>
        </w:rPr>
      </w:pPr>
      <w:r w:rsidRPr="00364B14">
        <w:rPr>
          <w:lang w:val="fr-FR"/>
        </w:rPr>
        <w:t>Le constructeur du véhicule</w:t>
      </w:r>
      <w:r w:rsidRPr="00364B14">
        <w:rPr>
          <w:b/>
          <w:lang w:val="fr-FR"/>
        </w:rPr>
        <w:t xml:space="preserve"> </w:t>
      </w:r>
      <w:r w:rsidRPr="00364B14">
        <w:rPr>
          <w:lang w:val="fr-FR"/>
        </w:rPr>
        <w:t>n’a pas le droit de modifier, régler ou introduire intentionnellement un dispositif ou une procédure, à seule fin de satisfaire aux prescriptions relatives aux émissions sonores du présent Règlement, qui ne puissent être utilisés en conditions réelles de circulation.</w:t>
      </w:r>
    </w:p>
    <w:p w:rsidR="00364B14" w:rsidRPr="00364B14" w:rsidRDefault="00364B14" w:rsidP="00347903">
      <w:pPr>
        <w:pStyle w:val="HChG"/>
        <w:ind w:left="2268"/>
        <w:rPr>
          <w:b w:val="0"/>
          <w:lang w:val="fr-FR"/>
        </w:rPr>
      </w:pPr>
      <w:r w:rsidRPr="00364B14">
        <w:rPr>
          <w:lang w:val="fr-FR"/>
        </w:rPr>
        <w:t>7.</w:t>
      </w:r>
      <w:r w:rsidRPr="00364B14">
        <w:rPr>
          <w:lang w:val="fr-FR"/>
        </w:rPr>
        <w:tab/>
        <w:t>Modification et extension de l’homologation</w:t>
      </w:r>
      <w:r w:rsidR="001F2BDA">
        <w:rPr>
          <w:lang w:val="fr-FR"/>
        </w:rPr>
        <w:t xml:space="preserve"> </w:t>
      </w:r>
      <w:r w:rsidR="00EB4D6B">
        <w:rPr>
          <w:lang w:val="fr-FR"/>
        </w:rPr>
        <w:br/>
      </w:r>
      <w:r w:rsidRPr="00364B14">
        <w:rPr>
          <w:lang w:val="fr-FR"/>
        </w:rPr>
        <w:t>du type de véhicule ou du type de dispositif d’échappement ou de silencieux</w:t>
      </w:r>
    </w:p>
    <w:p w:rsidR="00364B14" w:rsidRPr="00364B14" w:rsidRDefault="00364B14" w:rsidP="00D278B9">
      <w:pPr>
        <w:pStyle w:val="SingleTxtG"/>
        <w:ind w:left="2268" w:hanging="1134"/>
        <w:rPr>
          <w:lang w:val="fr-FR"/>
        </w:rPr>
      </w:pPr>
      <w:r w:rsidRPr="00364B14">
        <w:rPr>
          <w:lang w:val="fr-FR"/>
        </w:rPr>
        <w:t>7.1</w:t>
      </w:r>
      <w:r w:rsidRPr="00364B14">
        <w:rPr>
          <w:lang w:val="fr-FR"/>
        </w:rPr>
        <w:tab/>
        <w:t>Toute modification du type de véhicule ou du type de dispositif d’échappement ou de silencieux doit être notifiée à l’autorité qui a accordé l’homologation de type de véhicule, laquelle peut alors :</w:t>
      </w:r>
    </w:p>
    <w:p w:rsidR="00364B14" w:rsidRPr="00364B14" w:rsidRDefault="00364B14" w:rsidP="00D278B9">
      <w:pPr>
        <w:pStyle w:val="SingleTxtG"/>
        <w:ind w:left="2268" w:hanging="1134"/>
        <w:rPr>
          <w:lang w:val="fr-FR"/>
        </w:rPr>
      </w:pPr>
      <w:r w:rsidRPr="00364B14">
        <w:rPr>
          <w:lang w:val="fr-FR"/>
        </w:rPr>
        <w:t>7.1.1</w:t>
      </w:r>
      <w:r w:rsidRPr="00364B14">
        <w:rPr>
          <w:lang w:val="fr-FR"/>
        </w:rPr>
        <w:tab/>
        <w:t>Soit considérer que les modifications apportées ne risquent pas d’avoir une incidence défavorable notable ;</w:t>
      </w:r>
    </w:p>
    <w:p w:rsidR="00364B14" w:rsidRPr="00364B14" w:rsidRDefault="00364B14" w:rsidP="00D278B9">
      <w:pPr>
        <w:pStyle w:val="SingleTxtG"/>
        <w:ind w:left="2268" w:hanging="1134"/>
        <w:rPr>
          <w:lang w:val="fr-FR"/>
        </w:rPr>
      </w:pPr>
      <w:r w:rsidRPr="00364B14">
        <w:rPr>
          <w:lang w:val="fr-FR"/>
        </w:rPr>
        <w:t>7.1.2</w:t>
      </w:r>
      <w:r w:rsidRPr="00364B14">
        <w:rPr>
          <w:lang w:val="fr-FR"/>
        </w:rPr>
        <w:tab/>
        <w:t>Soit demander un nouveau procès-verbal d’essai au service technique chargé des essais.</w:t>
      </w:r>
    </w:p>
    <w:p w:rsidR="00364B14" w:rsidRPr="00364B14" w:rsidRDefault="00364B14" w:rsidP="00D278B9">
      <w:pPr>
        <w:pStyle w:val="SingleTxtG"/>
        <w:ind w:left="2268" w:hanging="1134"/>
        <w:rPr>
          <w:lang w:val="fr-FR"/>
        </w:rPr>
      </w:pPr>
      <w:r w:rsidRPr="00364B14">
        <w:rPr>
          <w:lang w:val="fr-FR"/>
        </w:rPr>
        <w:t>7.2</w:t>
      </w:r>
      <w:r w:rsidRPr="00364B14">
        <w:rPr>
          <w:lang w:val="fr-FR"/>
        </w:rPr>
        <w:tab/>
        <w:t>La confirmation de l’homologation ou son refus, avec indication des modifications, sont notifiés aux Parties à l’Accord appliquant le présent Règlement selon la procédure définie au paragraphe 5.3 du présent Règlement.</w:t>
      </w:r>
    </w:p>
    <w:p w:rsidR="00364B14" w:rsidRPr="00364B14" w:rsidRDefault="00364B14" w:rsidP="00D278B9">
      <w:pPr>
        <w:pStyle w:val="SingleTxtG"/>
        <w:ind w:left="2268" w:hanging="1134"/>
        <w:rPr>
          <w:lang w:val="fr-FR"/>
        </w:rPr>
      </w:pPr>
      <w:r w:rsidRPr="00364B14">
        <w:rPr>
          <w:lang w:val="fr-FR"/>
        </w:rPr>
        <w:t>7.3</w:t>
      </w:r>
      <w:r w:rsidRPr="00364B14">
        <w:rPr>
          <w:lang w:val="fr-FR"/>
        </w:rPr>
        <w:tab/>
        <w:t>L’autorité d’homologation qui a délivré l’extension d’homologation attribue un numéro de série à ladite extension, qu’elle communique aux autres Parties à l’Accord de 1958 appliquant le présent Règlement, au moyen d’une fiche de communication conforme au modèle présenté à l’annexe 1 du présent Règlement.</w:t>
      </w:r>
    </w:p>
    <w:p w:rsidR="00364B14" w:rsidRPr="00364B14" w:rsidRDefault="00364B14" w:rsidP="00347903">
      <w:pPr>
        <w:pStyle w:val="HChG"/>
        <w:ind w:left="2268"/>
        <w:rPr>
          <w:b w:val="0"/>
          <w:lang w:val="fr-FR"/>
        </w:rPr>
      </w:pPr>
      <w:r w:rsidRPr="00364B14">
        <w:rPr>
          <w:lang w:val="fr-FR"/>
        </w:rPr>
        <w:t>8.</w:t>
      </w:r>
      <w:r w:rsidRPr="00364B14">
        <w:rPr>
          <w:lang w:val="fr-FR"/>
        </w:rPr>
        <w:tab/>
        <w:t>Conformité de la production</w:t>
      </w:r>
    </w:p>
    <w:p w:rsidR="00364B14" w:rsidRPr="00364B14" w:rsidRDefault="00364B14" w:rsidP="00EB4D6B">
      <w:pPr>
        <w:pStyle w:val="SingleTxtG"/>
        <w:ind w:left="2268"/>
        <w:rPr>
          <w:lang w:val="fr-FR"/>
        </w:rPr>
      </w:pPr>
      <w:r w:rsidRPr="00364B14">
        <w:rPr>
          <w:lang w:val="fr-FR"/>
        </w:rPr>
        <w:t>La procédure de contrôle de la conformité de la production doit être conforme à celle qui est décrite dans l’app</w:t>
      </w:r>
      <w:r w:rsidR="00EB4D6B">
        <w:rPr>
          <w:lang w:val="fr-FR"/>
        </w:rPr>
        <w:t>endice 2 de l’Accord (E/ECE/324-</w:t>
      </w:r>
      <w:r w:rsidRPr="00364B14">
        <w:rPr>
          <w:lang w:val="fr-FR"/>
        </w:rPr>
        <w:t>E/ECE/TRANS/505/Rev.2), et en particulier satisfaire aux dispositions suivantes :</w:t>
      </w:r>
    </w:p>
    <w:p w:rsidR="00364B14" w:rsidRPr="00364B14" w:rsidRDefault="00364B14" w:rsidP="00D278B9">
      <w:pPr>
        <w:pStyle w:val="SingleTxtG"/>
        <w:ind w:left="2268" w:hanging="1134"/>
        <w:rPr>
          <w:lang w:val="fr-FR"/>
        </w:rPr>
      </w:pPr>
      <w:r w:rsidRPr="00364B14">
        <w:rPr>
          <w:lang w:val="fr-FR"/>
        </w:rPr>
        <w:t>8.1</w:t>
      </w:r>
      <w:r w:rsidRPr="00364B14">
        <w:rPr>
          <w:lang w:val="fr-FR"/>
        </w:rPr>
        <w:tab/>
        <w:t>Tout véhicule portant une marque d’homologation en application du présent Règlement doit être conforme au type de véhicule homologué, être équipé du dispositif d’échappement ou du silencieux avec lequel il a été homologué et satisfaire aux exigences du paragraphe 6 ci-dessus.</w:t>
      </w:r>
    </w:p>
    <w:p w:rsidR="00364B14" w:rsidRPr="00364B14" w:rsidRDefault="00364B14" w:rsidP="00D278B9">
      <w:pPr>
        <w:pStyle w:val="SingleTxtG"/>
        <w:ind w:left="2268" w:hanging="1134"/>
        <w:rPr>
          <w:lang w:val="fr-FR"/>
        </w:rPr>
      </w:pPr>
      <w:r w:rsidRPr="00364B14">
        <w:rPr>
          <w:lang w:val="fr-FR"/>
        </w:rPr>
        <w:t>8.2</w:t>
      </w:r>
      <w:r w:rsidRPr="00364B14">
        <w:rPr>
          <w:lang w:val="fr-FR"/>
        </w:rPr>
        <w:tab/>
        <w:t xml:space="preserve">Afin de vérifier la </w:t>
      </w:r>
      <w:r w:rsidR="00EB4D6B">
        <w:rPr>
          <w:lang w:val="fr-FR"/>
        </w:rPr>
        <w:t>conformité exigée au paragraphe </w:t>
      </w:r>
      <w:r w:rsidRPr="00364B14">
        <w:rPr>
          <w:lang w:val="fr-FR"/>
        </w:rPr>
        <w:t>8.1 ci-dessus, on prélèvera dans la série un véhicule portant la marque d’homologation</w:t>
      </w:r>
      <w:r w:rsidR="00EB4D6B">
        <w:rPr>
          <w:lang w:val="fr-FR"/>
        </w:rPr>
        <w:t xml:space="preserve"> </w:t>
      </w:r>
      <w:r w:rsidRPr="00364B14">
        <w:rPr>
          <w:lang w:val="fr-FR"/>
        </w:rPr>
        <w:t>prévue par le présent Règlement. On considérera que la production est conforme aux dispositions du présent Règlement si les niveaux mesurés par la méthode décrite au paragraphe 3.1 de l’annexe 3 du présent Règlement ne dépassent pas de plus de 3 dB(A) la valeur mesurée lors de l’homologation, ni de plus de 1 dB(A) les limites prescrites à l’annexe 4 du présent Règlement.</w:t>
      </w:r>
    </w:p>
    <w:p w:rsidR="00364B14" w:rsidRPr="00364B14" w:rsidRDefault="00364B14" w:rsidP="00347903">
      <w:pPr>
        <w:pStyle w:val="HChG"/>
        <w:ind w:left="2268"/>
        <w:rPr>
          <w:b w:val="0"/>
          <w:lang w:val="fr-FR"/>
        </w:rPr>
      </w:pPr>
      <w:r w:rsidRPr="00364B14">
        <w:rPr>
          <w:lang w:val="fr-FR"/>
        </w:rPr>
        <w:lastRenderedPageBreak/>
        <w:t>9.</w:t>
      </w:r>
      <w:r w:rsidRPr="00364B14">
        <w:rPr>
          <w:lang w:val="fr-FR"/>
        </w:rPr>
        <w:tab/>
        <w:t>Sanctions pour non-conformité de la production</w:t>
      </w:r>
    </w:p>
    <w:p w:rsidR="00364B14" w:rsidRPr="00364B14" w:rsidRDefault="00364B14" w:rsidP="00D278B9">
      <w:pPr>
        <w:pStyle w:val="SingleTxtG"/>
        <w:ind w:left="2268" w:hanging="1134"/>
        <w:rPr>
          <w:lang w:val="fr-FR"/>
        </w:rPr>
      </w:pPr>
      <w:r w:rsidRPr="00364B14">
        <w:rPr>
          <w:lang w:val="fr-FR"/>
        </w:rPr>
        <w:t>9.1</w:t>
      </w:r>
      <w:r w:rsidRPr="00364B14">
        <w:rPr>
          <w:lang w:val="fr-FR"/>
        </w:rPr>
        <w:tab/>
        <w:t>L’homologation délivrée pour un type de véhicule en application du présent Règlement peut être retirée si les co</w:t>
      </w:r>
      <w:r w:rsidR="00EB4D6B">
        <w:rPr>
          <w:lang w:val="fr-FR"/>
        </w:rPr>
        <w:t>nditions énoncées au paragraphe </w:t>
      </w:r>
      <w:r w:rsidRPr="00364B14">
        <w:rPr>
          <w:lang w:val="fr-FR"/>
        </w:rPr>
        <w:t>8.1 ci</w:t>
      </w:r>
      <w:r w:rsidR="00EB4D6B">
        <w:rPr>
          <w:lang w:val="fr-FR"/>
        </w:rPr>
        <w:noBreakHyphen/>
      </w:r>
      <w:r w:rsidRPr="00364B14">
        <w:rPr>
          <w:lang w:val="fr-FR"/>
        </w:rPr>
        <w:t>dessus ne sont pas respectées ou si ce véhicule n’a pas subi avec succès les vérifications prévues au paragraphe 8.2 ci-dessus.</w:t>
      </w:r>
    </w:p>
    <w:p w:rsidR="00364B14" w:rsidRPr="00364B14" w:rsidRDefault="00364B14" w:rsidP="00D278B9">
      <w:pPr>
        <w:pStyle w:val="SingleTxtG"/>
        <w:ind w:left="2268" w:hanging="1134"/>
        <w:rPr>
          <w:lang w:val="fr-FR"/>
        </w:rPr>
      </w:pPr>
      <w:r w:rsidRPr="00364B14">
        <w:rPr>
          <w:lang w:val="fr-FR"/>
        </w:rPr>
        <w:t>9.2</w:t>
      </w:r>
      <w:r w:rsidRPr="00364B14">
        <w:rPr>
          <w:lang w:val="fr-FR"/>
        </w:rPr>
        <w:tab/>
        <w:t>Au cas où une Partie à l’Accord appliquant le présent Règlement retire une homologation qu’elle a précédemment accordée, elle doit en informer aussitôt les autres Parties contractantes à l’Accord appliquant le présent Règlement, au moyen d’une fiche de communication conforme au modèle figurant à l’annexe 1 du présent Règlement.</w:t>
      </w:r>
    </w:p>
    <w:p w:rsidR="00364B14" w:rsidRPr="00364B14" w:rsidRDefault="00364B14" w:rsidP="00347903">
      <w:pPr>
        <w:pStyle w:val="HChG"/>
        <w:ind w:left="2268"/>
        <w:rPr>
          <w:b w:val="0"/>
          <w:lang w:val="fr-FR"/>
        </w:rPr>
      </w:pPr>
      <w:r w:rsidRPr="00364B14">
        <w:rPr>
          <w:lang w:val="fr-FR"/>
        </w:rPr>
        <w:t>10.</w:t>
      </w:r>
      <w:r w:rsidRPr="00364B14">
        <w:rPr>
          <w:lang w:val="fr-FR"/>
        </w:rPr>
        <w:tab/>
        <w:t>Dispositions transitoires</w:t>
      </w:r>
    </w:p>
    <w:p w:rsidR="00364B14" w:rsidRPr="00364B14" w:rsidRDefault="00364B14" w:rsidP="00D278B9">
      <w:pPr>
        <w:pStyle w:val="SingleTxtG"/>
        <w:ind w:left="2268" w:hanging="1134"/>
        <w:rPr>
          <w:lang w:val="fr-FR"/>
        </w:rPr>
      </w:pPr>
      <w:r w:rsidRPr="00364B14">
        <w:rPr>
          <w:lang w:val="fr-FR"/>
        </w:rPr>
        <w:t>10.1</w:t>
      </w:r>
      <w:r w:rsidRPr="00364B14">
        <w:rPr>
          <w:lang w:val="fr-FR"/>
        </w:rPr>
        <w:tab/>
        <w:t>À compter de la date officielle d’entrée en vigueur de la série</w:t>
      </w:r>
      <w:r w:rsidR="00EB4D6B">
        <w:rPr>
          <w:lang w:val="fr-FR"/>
        </w:rPr>
        <w:t> </w:t>
      </w:r>
      <w:r w:rsidRPr="00364B14">
        <w:rPr>
          <w:lang w:val="fr-FR"/>
        </w:rPr>
        <w:t>02 d’amendements, aucune Partie contractante appliquant le présent Règlement ne pourra refuser d’accorder ou d’accepter une homologation de type en vertu dudit Règlement tel que modifié par la série 02 d’amendements.</w:t>
      </w:r>
    </w:p>
    <w:p w:rsidR="00364B14" w:rsidRPr="00364B14" w:rsidRDefault="00364B14" w:rsidP="00D278B9">
      <w:pPr>
        <w:pStyle w:val="SingleTxtG"/>
        <w:ind w:left="2268" w:hanging="1134"/>
        <w:rPr>
          <w:lang w:val="fr-FR"/>
        </w:rPr>
      </w:pPr>
      <w:r w:rsidRPr="00364B14">
        <w:rPr>
          <w:lang w:val="fr-FR"/>
        </w:rPr>
        <w:t>10.2</w:t>
      </w:r>
      <w:r w:rsidRPr="00364B14">
        <w:rPr>
          <w:lang w:val="fr-FR"/>
        </w:rPr>
        <w:tab/>
        <w:t xml:space="preserve">Passé un délai de vingt-quatre mois après la date </w:t>
      </w:r>
      <w:r w:rsidR="00EB4D6B">
        <w:rPr>
          <w:lang w:val="fr-FR"/>
        </w:rPr>
        <w:t>d’entrée en vigueur de la série </w:t>
      </w:r>
      <w:r w:rsidRPr="00364B14">
        <w:rPr>
          <w:lang w:val="fr-FR"/>
        </w:rPr>
        <w:t>02 d’amendements, les Parties contractantes appliquant le présent Règlement ne pourront accorder d’homologation de type que si le type du véhicule à homologuer satisfait aux prescriptions dudit Règlement tel que modifié par la série 02 d’amendements.</w:t>
      </w:r>
    </w:p>
    <w:p w:rsidR="00364B14" w:rsidRPr="00364B14" w:rsidRDefault="00364B14" w:rsidP="00D278B9">
      <w:pPr>
        <w:pStyle w:val="SingleTxtG"/>
        <w:ind w:left="2268" w:hanging="1134"/>
        <w:rPr>
          <w:lang w:val="fr-FR"/>
        </w:rPr>
      </w:pPr>
      <w:r w:rsidRPr="00364B14">
        <w:rPr>
          <w:lang w:val="fr-FR"/>
        </w:rPr>
        <w:t>10.3</w:t>
      </w:r>
      <w:r w:rsidRPr="00364B14">
        <w:rPr>
          <w:lang w:val="fr-FR"/>
        </w:rPr>
        <w:tab/>
        <w:t>Les Parties contractantes appliquant le présent Règlement ne pourront refuser d’accorder des extensions pour les homologations de types existants accordées conformément à la précédente série d’amendements au présent Règlement.</w:t>
      </w:r>
    </w:p>
    <w:p w:rsidR="00364B14" w:rsidRPr="00364B14" w:rsidRDefault="00364B14" w:rsidP="00D278B9">
      <w:pPr>
        <w:pStyle w:val="SingleTxtG"/>
        <w:ind w:left="2268" w:hanging="1134"/>
        <w:rPr>
          <w:lang w:val="fr-FR"/>
        </w:rPr>
      </w:pPr>
      <w:r w:rsidRPr="00364B14">
        <w:rPr>
          <w:lang w:val="fr-FR"/>
        </w:rPr>
        <w:t>10.4</w:t>
      </w:r>
      <w:r w:rsidRPr="00364B14">
        <w:rPr>
          <w:lang w:val="fr-FR"/>
        </w:rPr>
        <w:tab/>
        <w:t>Pendant les vingt-quatre mois suivant la date d’entrée en vigueur de la série</w:t>
      </w:r>
      <w:r w:rsidR="00EB4D6B">
        <w:rPr>
          <w:lang w:val="fr-FR"/>
        </w:rPr>
        <w:t> </w:t>
      </w:r>
      <w:r w:rsidRPr="00364B14">
        <w:rPr>
          <w:lang w:val="fr-FR"/>
        </w:rPr>
        <w:t>02 d’amendements au présent Règlement, aucune Partie contractante appliquant ledit Règlement ne pourra refuser l’homologation nationale ou régionale d’un type de véhicule homologué en vertu de la précédente série d’amendements au présent Règlement.</w:t>
      </w:r>
    </w:p>
    <w:p w:rsidR="00364B14" w:rsidRPr="00364B14" w:rsidRDefault="00364B14" w:rsidP="00D278B9">
      <w:pPr>
        <w:pStyle w:val="SingleTxtG"/>
        <w:ind w:left="2268" w:hanging="1134"/>
        <w:rPr>
          <w:lang w:val="fr-FR"/>
        </w:rPr>
      </w:pPr>
      <w:r w:rsidRPr="00364B14">
        <w:rPr>
          <w:lang w:val="fr-FR"/>
        </w:rPr>
        <w:t>10.5</w:t>
      </w:r>
      <w:r w:rsidRPr="00364B14">
        <w:rPr>
          <w:lang w:val="fr-FR"/>
        </w:rPr>
        <w:tab/>
        <w:t>Passé un délai de vingt-quatre mois après la date d’entrée en vigueur de la série</w:t>
      </w:r>
      <w:r w:rsidR="00EB4D6B">
        <w:rPr>
          <w:lang w:val="fr-FR"/>
        </w:rPr>
        <w:t> </w:t>
      </w:r>
      <w:r w:rsidRPr="00364B14">
        <w:rPr>
          <w:lang w:val="fr-FR"/>
        </w:rPr>
        <w:t xml:space="preserve">02 d’amendements au présent Règlement, les Parties contractantes appliquant ledit Règlement ne seront pas tenues d’accepter, aux fins d’une homologation nationale ou régionale, un type de véhicule homologué </w:t>
      </w:r>
      <w:r w:rsidRPr="00364B14">
        <w:rPr>
          <w:bCs/>
          <w:lang w:val="fr-FR"/>
        </w:rPr>
        <w:t>conformément</w:t>
      </w:r>
      <w:r w:rsidRPr="00364B14">
        <w:rPr>
          <w:lang w:val="fr-FR"/>
        </w:rPr>
        <w:t xml:space="preserve"> à la précédente série d’amendements au présent Règlement.</w:t>
      </w:r>
    </w:p>
    <w:p w:rsidR="00364B14" w:rsidRPr="00364B14" w:rsidRDefault="00364B14" w:rsidP="00D278B9">
      <w:pPr>
        <w:pStyle w:val="SingleTxtG"/>
        <w:ind w:left="2268" w:hanging="1134"/>
        <w:rPr>
          <w:lang w:val="fr-FR"/>
        </w:rPr>
      </w:pPr>
      <w:r w:rsidRPr="00364B14">
        <w:rPr>
          <w:lang w:val="fr-FR"/>
        </w:rPr>
        <w:t>10.6</w:t>
      </w:r>
      <w:r w:rsidRPr="00364B14">
        <w:rPr>
          <w:lang w:val="fr-FR"/>
        </w:rPr>
        <w:tab/>
        <w:t>Nonobstant les dispositions transitoires ci-dessus, les Parties contractantes pour lesquelles le présent Règlement entre en application après la date d’entrée en vigueur de la série d’amendements la plus récente ne sont pas tenues d’accepter les homologations accordées conformément à l’une ou l’autre des séries précédentes d’amendements au présent Règlement et sont uniquement tenues d’accepter les homologations de type accordées conformément à la série 02 d’amendements.</w:t>
      </w:r>
    </w:p>
    <w:p w:rsidR="00364B14" w:rsidRPr="00364B14" w:rsidRDefault="00364B14" w:rsidP="001F2BDA">
      <w:pPr>
        <w:pStyle w:val="SingleTxtG"/>
        <w:ind w:left="2268" w:hanging="1134"/>
        <w:rPr>
          <w:lang w:val="fr-FR"/>
        </w:rPr>
      </w:pPr>
      <w:r w:rsidRPr="00364B14">
        <w:rPr>
          <w:lang w:val="fr-FR"/>
        </w:rPr>
        <w:t>10.7</w:t>
      </w:r>
      <w:r w:rsidRPr="00364B14">
        <w:rPr>
          <w:lang w:val="fr-FR"/>
        </w:rPr>
        <w:tab/>
        <w:t>À compter de la date officielle d’entrée en vigu</w:t>
      </w:r>
      <w:r w:rsidR="00EB4D6B">
        <w:rPr>
          <w:lang w:val="fr-FR"/>
        </w:rPr>
        <w:t>eur du complément 1 à la série </w:t>
      </w:r>
      <w:r w:rsidRPr="00364B14">
        <w:rPr>
          <w:lang w:val="fr-FR"/>
        </w:rPr>
        <w:t>02 d’amendements, aucune Partie contractante appliquant le présent Règlement ne pourra refuser d’accorder ou d’accepter une homologation de type en vertu dudit Règlement te</w:t>
      </w:r>
      <w:r w:rsidR="00EB4D6B">
        <w:rPr>
          <w:lang w:val="fr-FR"/>
        </w:rPr>
        <w:t>l que modifié par le complément </w:t>
      </w:r>
      <w:r w:rsidRPr="00364B14">
        <w:rPr>
          <w:lang w:val="fr-FR"/>
        </w:rPr>
        <w:t>1 à la série</w:t>
      </w:r>
      <w:r w:rsidR="00EB4D6B">
        <w:rPr>
          <w:lang w:val="fr-FR"/>
        </w:rPr>
        <w:t> </w:t>
      </w:r>
      <w:r w:rsidRPr="00364B14">
        <w:rPr>
          <w:lang w:val="fr-FR"/>
        </w:rPr>
        <w:t>02 d’amendements.</w:t>
      </w:r>
    </w:p>
    <w:p w:rsidR="00364B14" w:rsidRPr="00364B14" w:rsidRDefault="00364B14" w:rsidP="001F2BDA">
      <w:pPr>
        <w:pStyle w:val="SingleTxtG"/>
        <w:ind w:left="2268" w:hanging="1134"/>
        <w:rPr>
          <w:lang w:val="fr-FR"/>
        </w:rPr>
      </w:pPr>
      <w:r w:rsidRPr="00364B14">
        <w:rPr>
          <w:lang w:val="fr-FR"/>
        </w:rPr>
        <w:t>10.8</w:t>
      </w:r>
      <w:r w:rsidRPr="00364B14">
        <w:rPr>
          <w:lang w:val="fr-FR"/>
        </w:rPr>
        <w:tab/>
        <w:t>Passé un délai de soixante mois à compter de la date d’entrée en vigueur du complément</w:t>
      </w:r>
      <w:r w:rsidR="00EB4D6B">
        <w:rPr>
          <w:lang w:val="fr-FR"/>
        </w:rPr>
        <w:t> </w:t>
      </w:r>
      <w:r w:rsidRPr="00364B14">
        <w:rPr>
          <w:lang w:val="fr-FR"/>
        </w:rPr>
        <w:t>1 à la série 02 d’amendements au présent Règlement, les Parties contractantes appliquant ledit Règlement ne pourront accorder d’homologation de type que si le type de véhicule concerné satisfait aux prescriptions dudit Règlement tel que modifié par ledit complément.</w:t>
      </w:r>
    </w:p>
    <w:p w:rsidR="00364B14" w:rsidRPr="00364B14" w:rsidRDefault="00364B14" w:rsidP="00347903">
      <w:pPr>
        <w:pStyle w:val="HChG"/>
        <w:ind w:left="2268"/>
        <w:rPr>
          <w:b w:val="0"/>
          <w:lang w:val="fr-FR"/>
        </w:rPr>
      </w:pPr>
      <w:r w:rsidRPr="00364B14">
        <w:rPr>
          <w:lang w:val="fr-FR"/>
        </w:rPr>
        <w:t>11.</w:t>
      </w:r>
      <w:r w:rsidRPr="00364B14">
        <w:rPr>
          <w:lang w:val="fr-FR"/>
        </w:rPr>
        <w:tab/>
        <w:t>Arrêt définitif de la production</w:t>
      </w:r>
    </w:p>
    <w:p w:rsidR="00364B14" w:rsidRPr="00364B14" w:rsidRDefault="00364B14" w:rsidP="00EB4D6B">
      <w:pPr>
        <w:pStyle w:val="SingleTxtG"/>
        <w:ind w:left="2268"/>
        <w:rPr>
          <w:lang w:val="fr-FR"/>
        </w:rPr>
      </w:pPr>
      <w:r w:rsidRPr="00364B14">
        <w:rPr>
          <w:lang w:val="fr-FR"/>
        </w:rPr>
        <w:t>Si le titulaire d’une homologation arrête définitivement la production d’un type de véhicule</w:t>
      </w:r>
      <w:r w:rsidRPr="00364B14">
        <w:rPr>
          <w:b/>
          <w:lang w:val="fr-FR"/>
        </w:rPr>
        <w:t xml:space="preserve"> </w:t>
      </w:r>
      <w:r w:rsidRPr="00364B14">
        <w:rPr>
          <w:lang w:val="fr-FR"/>
        </w:rPr>
        <w:t>homologué conformément au présent Règlement, il en informe l’autorité qui a délivré l’homologation, laquelle, à son tour, en avise les autres Parties à l’Accord de 1958 appliquant le présent Règlement, au moyen d’une fiche de communication conforme au modèle de l’an</w:t>
      </w:r>
      <w:r w:rsidR="00AF62BF">
        <w:rPr>
          <w:lang w:val="fr-FR"/>
        </w:rPr>
        <w:t>nexe </w:t>
      </w:r>
      <w:r w:rsidRPr="00364B14">
        <w:rPr>
          <w:lang w:val="fr-FR"/>
        </w:rPr>
        <w:t>1 du présent Règlement.</w:t>
      </w:r>
    </w:p>
    <w:p w:rsidR="00364B14" w:rsidRPr="00364B14" w:rsidRDefault="00364B14" w:rsidP="00347903">
      <w:pPr>
        <w:pStyle w:val="HChG"/>
        <w:ind w:left="2268"/>
        <w:rPr>
          <w:b w:val="0"/>
          <w:lang w:val="fr-FR"/>
        </w:rPr>
      </w:pPr>
      <w:r w:rsidRPr="00364B14">
        <w:rPr>
          <w:b w:val="0"/>
          <w:noProof/>
          <w:lang w:val="en-GB" w:eastAsia="en-GB"/>
        </w:rPr>
        <mc:AlternateContent>
          <mc:Choice Requires="wps">
            <w:drawing>
              <wp:anchor distT="0" distB="0" distL="114300" distR="114300" simplePos="0" relativeHeight="251660288" behindDoc="0" locked="0" layoutInCell="1" allowOverlap="1" wp14:anchorId="5372B2EC" wp14:editId="7246FA72">
                <wp:simplePos x="0" y="0"/>
                <wp:positionH relativeFrom="column">
                  <wp:posOffset>0</wp:posOffset>
                </wp:positionH>
                <wp:positionV relativeFrom="paragraph">
                  <wp:posOffset>0</wp:posOffset>
                </wp:positionV>
                <wp:extent cx="635000" cy="635000"/>
                <wp:effectExtent l="9525" t="9525" r="12700" b="12700"/>
                <wp:wrapNone/>
                <wp:docPr id="36" name="Zone de texte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04AB" id="Zone de texte 36"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6b66ZS0CAABWBAAADgAAAAAAAAAAAAAAAAAuAgAAZHJzL2Uyb0Rv&#10;Yy54bWxQSwECLQAUAAYACAAAACEAjqBz5dcAAAAFAQAADwAAAAAAAAAAAAAAAACHBAAAZHJzL2Rv&#10;d25yZXYueG1sUEsFBgAAAAAEAAQA8wAAAIsFAAAAAA==&#10;">
                <v:stroke joinstyle="round"/>
                <o:lock v:ext="edit" selection="t"/>
              </v:shape>
            </w:pict>
          </mc:Fallback>
        </mc:AlternateContent>
      </w:r>
      <w:r w:rsidRPr="00364B14">
        <w:rPr>
          <w:lang w:val="fr-FR"/>
        </w:rPr>
        <w:t>12.</w:t>
      </w:r>
      <w:r w:rsidRPr="00364B14">
        <w:rPr>
          <w:lang w:val="fr-FR"/>
        </w:rPr>
        <w:tab/>
        <w:t>Noms et adresses des services techniques chargés des essais d’homologation et des autorités d’homologation de type</w:t>
      </w:r>
    </w:p>
    <w:p w:rsidR="00364B14" w:rsidRDefault="00364B14" w:rsidP="00EB4D6B">
      <w:pPr>
        <w:pStyle w:val="SingleTxtG"/>
        <w:ind w:left="2268"/>
        <w:rPr>
          <w:lang w:val="fr-FR"/>
        </w:rPr>
      </w:pPr>
      <w:r w:rsidRPr="00364B14">
        <w:rPr>
          <w:lang w:val="fr-FR"/>
        </w:rPr>
        <w:t xml:space="preserve">Les Parties à l’Accord appliquant le présent Règlement communiquent au Secrétariat de l’Organisation des Nations Unies les noms et adresses des services techniques chargés des essais d’homologation et des autorités d’homologation de type qui délivrent l’homologation et auxquelles doivent </w:t>
      </w:r>
      <w:r w:rsidRPr="004253FE">
        <w:rPr>
          <w:spacing w:val="-3"/>
          <w:lang w:val="fr-FR"/>
        </w:rPr>
        <w:t>être envoyées les fiches d’homologation, d’extension, de refus ou de retrait d’homologation ou d’arrêt définitif de la production émises dans les autres pays</w:t>
      </w:r>
      <w:r w:rsidR="00E618BE" w:rsidRPr="004253FE">
        <w:rPr>
          <w:spacing w:val="-3"/>
          <w:lang w:val="fr-FR"/>
        </w:rPr>
        <w:t>.</w:t>
      </w:r>
    </w:p>
    <w:p w:rsidR="00E618BE" w:rsidRDefault="00E618BE" w:rsidP="00364B14">
      <w:pPr>
        <w:pStyle w:val="SingleTxtG"/>
        <w:rPr>
          <w:lang w:val="fr-FR"/>
        </w:rPr>
      </w:pPr>
    </w:p>
    <w:p w:rsidR="00E618BE" w:rsidRDefault="00E618BE" w:rsidP="00364B14">
      <w:pPr>
        <w:pStyle w:val="SingleTxtG"/>
        <w:sectPr w:rsidR="00E618BE" w:rsidSect="006C05D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842837" w:rsidRPr="008933B9" w:rsidRDefault="00EB4D6B" w:rsidP="00EB4D6B">
      <w:pPr>
        <w:pStyle w:val="HChG"/>
        <w:spacing w:line="240" w:lineRule="atLeast"/>
        <w:rPr>
          <w:lang w:val="fr-FR"/>
        </w:rPr>
      </w:pPr>
      <w:r>
        <w:rPr>
          <w:lang w:val="fr-FR"/>
        </w:rPr>
        <w:t>Annexe </w:t>
      </w:r>
      <w:r w:rsidR="00842837" w:rsidRPr="008933B9">
        <w:rPr>
          <w:lang w:val="fr-FR"/>
        </w:rPr>
        <w:t>1</w:t>
      </w:r>
    </w:p>
    <w:p w:rsidR="00842837" w:rsidRPr="008933B9" w:rsidRDefault="00842837" w:rsidP="00EB4D6B">
      <w:pPr>
        <w:pStyle w:val="HChG"/>
        <w:spacing w:after="120" w:line="240" w:lineRule="atLeast"/>
        <w:rPr>
          <w:lang w:val="fr-FR"/>
        </w:rPr>
      </w:pPr>
      <w:r w:rsidRPr="008933B9">
        <w:rPr>
          <w:lang w:val="fr-FR"/>
        </w:rPr>
        <w:tab/>
      </w:r>
      <w:r w:rsidRPr="008933B9">
        <w:rPr>
          <w:lang w:val="fr-FR"/>
        </w:rPr>
        <w:tab/>
        <w:t>Communication</w:t>
      </w:r>
      <w:r w:rsidR="00EB4D6B">
        <w:rPr>
          <w:lang w:val="fr-FR"/>
        </w:rPr>
        <w:t xml:space="preserve"> </w:t>
      </w:r>
    </w:p>
    <w:p w:rsidR="00842837" w:rsidRDefault="00842837" w:rsidP="00EB4D6B">
      <w:pPr>
        <w:pStyle w:val="SingleTxtG"/>
        <w:rPr>
          <w:lang w:val="fr-FR"/>
        </w:rPr>
      </w:pPr>
      <w:r w:rsidRPr="008933B9">
        <w:rPr>
          <w:lang w:val="fr-FR"/>
        </w:rPr>
        <w:t>(format maximal</w:t>
      </w:r>
      <w:r>
        <w:rPr>
          <w:lang w:val="fr-FR"/>
        </w:rPr>
        <w:t> :</w:t>
      </w:r>
      <w:r w:rsidRPr="008933B9">
        <w:rPr>
          <w:lang w:val="fr-FR"/>
        </w:rPr>
        <w:t xml:space="preserve"> A4 (210 x 297 mm))</w:t>
      </w:r>
    </w:p>
    <w:tbl>
      <w:tblPr>
        <w:tblW w:w="0" w:type="auto"/>
        <w:tblInd w:w="1242" w:type="dxa"/>
        <w:tblLayout w:type="fixed"/>
        <w:tblLook w:val="01E0" w:firstRow="1" w:lastRow="1" w:firstColumn="1" w:lastColumn="1" w:noHBand="0" w:noVBand="0"/>
      </w:tblPr>
      <w:tblGrid>
        <w:gridCol w:w="2410"/>
        <w:gridCol w:w="4853"/>
      </w:tblGrid>
      <w:tr w:rsidR="00842837" w:rsidRPr="008933B9" w:rsidTr="00EB4D6B">
        <w:tc>
          <w:tcPr>
            <w:tcW w:w="2410" w:type="dxa"/>
          </w:tcPr>
          <w:bookmarkStart w:id="1" w:name="_MON_1420453849"/>
          <w:bookmarkStart w:id="2" w:name="_MON_1420453160"/>
          <w:bookmarkEnd w:id="1"/>
          <w:bookmarkEnd w:id="2"/>
          <w:bookmarkStart w:id="3" w:name="_MON_1420453829"/>
          <w:bookmarkEnd w:id="3"/>
          <w:p w:rsidR="00842837" w:rsidRPr="008933B9" w:rsidRDefault="00842837" w:rsidP="00EB4D6B">
            <w:pPr>
              <w:rPr>
                <w:lang w:val="fr-FR"/>
              </w:rPr>
            </w:pPr>
            <w:r w:rsidRPr="008933B9">
              <w:rPr>
                <w:lang w:val="fr-FR"/>
              </w:rPr>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549985545" r:id="rId15"/>
              </w:object>
            </w:r>
            <w:r w:rsidRPr="00EB4D6B">
              <w:rPr>
                <w:rStyle w:val="FootnoteReference"/>
                <w:color w:val="FFFFFF" w:themeColor="background1"/>
              </w:rPr>
              <w:footnoteReference w:id="8"/>
            </w:r>
          </w:p>
        </w:tc>
        <w:tc>
          <w:tcPr>
            <w:tcW w:w="4853" w:type="dxa"/>
          </w:tcPr>
          <w:p w:rsidR="00842837" w:rsidRPr="008933B9" w:rsidRDefault="00842837" w:rsidP="00EB4D6B">
            <w:pPr>
              <w:spacing w:after="120"/>
              <w:ind w:left="1644" w:hanging="1644"/>
              <w:rPr>
                <w:lang w:val="fr-FR"/>
              </w:rPr>
            </w:pPr>
            <w:r w:rsidRPr="008933B9">
              <w:rPr>
                <w:lang w:val="fr-FR"/>
              </w:rPr>
              <w:t>Émanant de</w:t>
            </w:r>
            <w:r>
              <w:rPr>
                <w:lang w:val="fr-FR"/>
              </w:rPr>
              <w:t> :</w:t>
            </w:r>
            <w:r w:rsidRPr="008933B9">
              <w:rPr>
                <w:lang w:val="fr-FR"/>
              </w:rPr>
              <w:tab/>
              <w:t>Nom de l</w:t>
            </w:r>
            <w:r>
              <w:rPr>
                <w:lang w:val="fr-FR"/>
              </w:rPr>
              <w:t>’</w:t>
            </w:r>
            <w:r w:rsidRPr="008933B9">
              <w:rPr>
                <w:lang w:val="fr-FR"/>
              </w:rPr>
              <w:t>administration</w:t>
            </w:r>
            <w:r>
              <w:rPr>
                <w:lang w:val="fr-FR"/>
              </w:rPr>
              <w:t> :</w:t>
            </w:r>
          </w:p>
          <w:p w:rsidR="00842837" w:rsidRPr="008933B9" w:rsidRDefault="00842837" w:rsidP="00EB4D6B">
            <w:pPr>
              <w:tabs>
                <w:tab w:val="right" w:leader="dot" w:pos="4637"/>
              </w:tabs>
              <w:spacing w:after="120"/>
              <w:ind w:left="1644"/>
              <w:rPr>
                <w:lang w:val="fr-FR"/>
              </w:rPr>
            </w:pPr>
            <w:r w:rsidRPr="008933B9">
              <w:rPr>
                <w:lang w:val="fr-FR"/>
              </w:rPr>
              <w:tab/>
            </w:r>
          </w:p>
          <w:p w:rsidR="00842837" w:rsidRPr="008933B9" w:rsidRDefault="00842837" w:rsidP="00EB4D6B">
            <w:pPr>
              <w:tabs>
                <w:tab w:val="right" w:leader="dot" w:pos="4637"/>
              </w:tabs>
              <w:spacing w:after="120"/>
              <w:ind w:left="1644"/>
              <w:rPr>
                <w:lang w:val="fr-FR"/>
              </w:rPr>
            </w:pPr>
            <w:r w:rsidRPr="008933B9">
              <w:rPr>
                <w:lang w:val="fr-FR"/>
              </w:rPr>
              <w:tab/>
            </w:r>
          </w:p>
          <w:p w:rsidR="00842837" w:rsidRPr="008933B9" w:rsidRDefault="00842837" w:rsidP="00EB4D6B">
            <w:pPr>
              <w:tabs>
                <w:tab w:val="right" w:leader="dot" w:pos="4637"/>
              </w:tabs>
              <w:spacing w:after="120"/>
              <w:ind w:left="1644"/>
              <w:rPr>
                <w:lang w:val="fr-FR"/>
              </w:rPr>
            </w:pPr>
            <w:r w:rsidRPr="008933B9">
              <w:rPr>
                <w:lang w:val="fr-FR"/>
              </w:rPr>
              <w:tab/>
            </w:r>
          </w:p>
        </w:tc>
      </w:tr>
    </w:tbl>
    <w:p w:rsidR="00842837" w:rsidRPr="008933B9" w:rsidRDefault="00842837" w:rsidP="00EB4D6B">
      <w:pPr>
        <w:spacing w:before="120" w:after="120"/>
        <w:ind w:left="2552" w:hanging="1418"/>
        <w:rPr>
          <w:lang w:val="fr-FR"/>
        </w:rPr>
      </w:pPr>
      <w:r w:rsidRPr="008933B9">
        <w:rPr>
          <w:lang w:val="fr-FR"/>
        </w:rPr>
        <w:t>concernant</w:t>
      </w:r>
      <w:r w:rsidRPr="001F2BDA">
        <w:rPr>
          <w:rStyle w:val="FootnoteReference"/>
        </w:rPr>
        <w:footnoteReference w:id="9"/>
      </w:r>
      <w:r>
        <w:rPr>
          <w:lang w:val="fr-FR"/>
        </w:rPr>
        <w:t> :</w:t>
      </w:r>
      <w:r w:rsidRPr="008933B9">
        <w:rPr>
          <w:lang w:val="fr-FR"/>
        </w:rPr>
        <w:tab/>
        <w:t>Délivrance d</w:t>
      </w:r>
      <w:r>
        <w:rPr>
          <w:lang w:val="fr-FR"/>
        </w:rPr>
        <w:t>’</w:t>
      </w:r>
      <w:r w:rsidRPr="008933B9">
        <w:rPr>
          <w:lang w:val="fr-FR"/>
        </w:rPr>
        <w:t>une homologation</w:t>
      </w:r>
      <w:r w:rsidR="00EB4D6B">
        <w:rPr>
          <w:lang w:val="fr-FR"/>
        </w:rPr>
        <w:t xml:space="preserve"> </w:t>
      </w:r>
      <w:r w:rsidRPr="008933B9">
        <w:rPr>
          <w:lang w:val="fr-FR"/>
        </w:rPr>
        <w:br/>
        <w:t>Extension d</w:t>
      </w:r>
      <w:r>
        <w:rPr>
          <w:lang w:val="fr-FR"/>
        </w:rPr>
        <w:t>’</w:t>
      </w:r>
      <w:r w:rsidRPr="008933B9">
        <w:rPr>
          <w:lang w:val="fr-FR"/>
        </w:rPr>
        <w:t>homologation</w:t>
      </w:r>
      <w:r w:rsidR="00EB4D6B">
        <w:rPr>
          <w:lang w:val="fr-FR"/>
        </w:rPr>
        <w:t xml:space="preserve"> </w:t>
      </w:r>
      <w:r w:rsidRPr="008933B9">
        <w:rPr>
          <w:lang w:val="fr-FR"/>
        </w:rPr>
        <w:br/>
        <w:t>Refus d</w:t>
      </w:r>
      <w:r>
        <w:rPr>
          <w:lang w:val="fr-FR"/>
        </w:rPr>
        <w:t>’</w:t>
      </w:r>
      <w:r w:rsidRPr="008933B9">
        <w:rPr>
          <w:lang w:val="fr-FR"/>
        </w:rPr>
        <w:t>homologation</w:t>
      </w:r>
      <w:r w:rsidR="00EB4D6B">
        <w:rPr>
          <w:lang w:val="fr-FR"/>
        </w:rPr>
        <w:t xml:space="preserve"> </w:t>
      </w:r>
      <w:r w:rsidRPr="008933B9">
        <w:rPr>
          <w:lang w:val="fr-FR"/>
        </w:rPr>
        <w:br/>
        <w:t>Retrait d</w:t>
      </w:r>
      <w:r>
        <w:rPr>
          <w:lang w:val="fr-FR"/>
        </w:rPr>
        <w:t>’</w:t>
      </w:r>
      <w:r w:rsidRPr="008933B9">
        <w:rPr>
          <w:lang w:val="fr-FR"/>
        </w:rPr>
        <w:t>homologation</w:t>
      </w:r>
      <w:r w:rsidR="00EB4D6B">
        <w:rPr>
          <w:lang w:val="fr-FR"/>
        </w:rPr>
        <w:t xml:space="preserve"> </w:t>
      </w:r>
      <w:r w:rsidRPr="008933B9">
        <w:rPr>
          <w:lang w:val="fr-FR"/>
        </w:rPr>
        <w:br/>
        <w:t>Arrêt définitif de la production</w:t>
      </w:r>
      <w:r w:rsidR="00EB4D6B">
        <w:rPr>
          <w:lang w:val="fr-FR"/>
        </w:rPr>
        <w:t xml:space="preserve"> </w:t>
      </w:r>
    </w:p>
    <w:p w:rsidR="00842837" w:rsidRPr="008933B9" w:rsidRDefault="00842837" w:rsidP="00B704B2">
      <w:pPr>
        <w:pStyle w:val="SingleTxtG"/>
        <w:jc w:val="left"/>
        <w:rPr>
          <w:lang w:val="fr-FR"/>
        </w:rPr>
      </w:pPr>
      <w:r w:rsidRPr="008933B9">
        <w:rPr>
          <w:lang w:val="fr-FR"/>
        </w:rPr>
        <w:t>d</w:t>
      </w:r>
      <w:r>
        <w:rPr>
          <w:lang w:val="fr-FR"/>
        </w:rPr>
        <w:t>’</w:t>
      </w:r>
      <w:r w:rsidRPr="008933B9">
        <w:rPr>
          <w:lang w:val="fr-FR"/>
        </w:rPr>
        <w:t xml:space="preserve">un type de véhicule en ce qui concerne </w:t>
      </w:r>
      <w:r w:rsidRPr="005F6415">
        <w:rPr>
          <w:lang w:val="fr-FR"/>
        </w:rPr>
        <w:t>les émissions sonores</w:t>
      </w:r>
      <w:r w:rsidRPr="008933B9">
        <w:rPr>
          <w:lang w:val="fr-FR"/>
        </w:rPr>
        <w:t>, en application du</w:t>
      </w:r>
      <w:r w:rsidR="00EB4D6B">
        <w:rPr>
          <w:lang w:val="fr-FR"/>
        </w:rPr>
        <w:t> </w:t>
      </w:r>
      <w:r w:rsidRPr="008933B9">
        <w:rPr>
          <w:lang w:val="fr-FR"/>
        </w:rPr>
        <w:t xml:space="preserve">Règlement </w:t>
      </w:r>
      <w:r w:rsidRPr="008933B9">
        <w:rPr>
          <w:rFonts w:eastAsia="MS Mincho"/>
          <w:lang w:val="fr-FR"/>
        </w:rPr>
        <w:t>n</w:t>
      </w:r>
      <w:r w:rsidRPr="008933B9">
        <w:rPr>
          <w:rFonts w:eastAsia="MS Mincho"/>
          <w:vertAlign w:val="superscript"/>
          <w:lang w:val="fr-FR"/>
        </w:rPr>
        <w:t>o</w:t>
      </w:r>
      <w:r w:rsidRPr="008933B9">
        <w:rPr>
          <w:lang w:val="fr-FR"/>
        </w:rPr>
        <w:t> 63.</w:t>
      </w:r>
    </w:p>
    <w:p w:rsidR="00842837" w:rsidRPr="008933B9" w:rsidRDefault="00842837" w:rsidP="00B704B2">
      <w:pPr>
        <w:pStyle w:val="SingleTxtG"/>
        <w:tabs>
          <w:tab w:val="right" w:leader="dot" w:pos="4253"/>
          <w:tab w:val="left" w:pos="4536"/>
          <w:tab w:val="right" w:leader="dot" w:pos="8505"/>
        </w:tabs>
        <w:jc w:val="left"/>
        <w:rPr>
          <w:lang w:val="fr-FR"/>
        </w:rPr>
      </w:pPr>
      <w:r w:rsidRPr="008933B9">
        <w:rPr>
          <w:lang w:val="fr-FR"/>
        </w:rPr>
        <w:t>N</w:t>
      </w:r>
      <w:r w:rsidRPr="008933B9">
        <w:rPr>
          <w:vertAlign w:val="superscript"/>
          <w:lang w:val="fr-FR"/>
        </w:rPr>
        <w:t>o</w:t>
      </w:r>
      <w:r w:rsidRPr="008933B9">
        <w:rPr>
          <w:lang w:val="fr-FR"/>
        </w:rPr>
        <w:t xml:space="preserve"> d</w:t>
      </w:r>
      <w:r>
        <w:rPr>
          <w:lang w:val="fr-FR"/>
        </w:rPr>
        <w:t>’</w:t>
      </w:r>
      <w:r w:rsidRPr="008933B9">
        <w:rPr>
          <w:lang w:val="fr-FR"/>
        </w:rPr>
        <w:t>homologation</w:t>
      </w:r>
      <w:r w:rsidRPr="008933B9">
        <w:rPr>
          <w:lang w:val="fr-FR"/>
        </w:rPr>
        <w:tab/>
      </w:r>
      <w:r w:rsidRPr="008933B9">
        <w:rPr>
          <w:lang w:val="fr-FR"/>
        </w:rPr>
        <w:tab/>
        <w:t>N</w:t>
      </w:r>
      <w:r w:rsidRPr="008933B9">
        <w:rPr>
          <w:vertAlign w:val="superscript"/>
          <w:lang w:val="fr-FR"/>
        </w:rPr>
        <w:t>o</w:t>
      </w:r>
      <w:r w:rsidRPr="008933B9">
        <w:rPr>
          <w:lang w:val="fr-FR"/>
        </w:rPr>
        <w:t xml:space="preserve"> d</w:t>
      </w:r>
      <w:r>
        <w:rPr>
          <w:lang w:val="fr-FR"/>
        </w:rPr>
        <w:t>’</w:t>
      </w:r>
      <w:r w:rsidRPr="008933B9">
        <w:rPr>
          <w:lang w:val="fr-FR"/>
        </w:rPr>
        <w:t>extension</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1.</w:t>
      </w:r>
      <w:r w:rsidRPr="008933B9">
        <w:rPr>
          <w:lang w:val="fr-FR"/>
        </w:rPr>
        <w:tab/>
        <w:t xml:space="preserve">Marque de fabrique ou de commerce du </w:t>
      </w:r>
      <w:r w:rsidRPr="005F6415">
        <w:rPr>
          <w:lang w:val="fr-FR"/>
        </w:rPr>
        <w:t>véhicule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w:t>
      </w:r>
      <w:r w:rsidRPr="008933B9">
        <w:rPr>
          <w:lang w:val="fr-FR"/>
        </w:rPr>
        <w:tab/>
        <w:t xml:space="preserve">Type du </w:t>
      </w:r>
      <w:r w:rsidRPr="005F6415">
        <w:rPr>
          <w:lang w:val="fr-FR"/>
        </w:rPr>
        <w:t>véhicule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3.</w:t>
      </w:r>
      <w:r w:rsidRPr="008933B9">
        <w:rPr>
          <w:lang w:val="fr-FR"/>
        </w:rPr>
        <w:tab/>
        <w:t>Variante(s) (le cas échéant)</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4.</w:t>
      </w:r>
      <w:r w:rsidRPr="008933B9">
        <w:rPr>
          <w:lang w:val="fr-FR"/>
        </w:rPr>
        <w:tab/>
        <w:t>Version(s) (le cas échéant)</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5.</w:t>
      </w:r>
      <w:r w:rsidRPr="008933B9">
        <w:rPr>
          <w:lang w:val="fr-FR"/>
        </w:rPr>
        <w:tab/>
        <w:t>Nom et adresse du constructeur</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6.</w:t>
      </w:r>
      <w:r w:rsidRPr="008933B9">
        <w:rPr>
          <w:lang w:val="fr-FR"/>
        </w:rPr>
        <w:tab/>
        <w:t>Nom et adresse du mandataire du constructeur (le cas échéant)</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7.</w:t>
      </w:r>
      <w:r w:rsidRPr="008933B9">
        <w:rPr>
          <w:lang w:val="fr-FR"/>
        </w:rPr>
        <w:tab/>
        <w:t>Type(s) du (des) dispositif(s) d</w:t>
      </w:r>
      <w:r>
        <w:rPr>
          <w:lang w:val="fr-FR"/>
        </w:rPr>
        <w:t>’</w:t>
      </w:r>
      <w:r w:rsidRPr="008933B9">
        <w:rPr>
          <w:lang w:val="fr-FR"/>
        </w:rPr>
        <w:t>échappement d</w:t>
      </w:r>
      <w:r>
        <w:rPr>
          <w:lang w:val="fr-FR"/>
        </w:rPr>
        <w:t>’</w:t>
      </w:r>
      <w:r w:rsidRPr="008933B9">
        <w:rPr>
          <w:lang w:val="fr-FR"/>
        </w:rPr>
        <w:t>origine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8.</w:t>
      </w:r>
      <w:r w:rsidRPr="008933B9">
        <w:rPr>
          <w:lang w:val="fr-FR"/>
        </w:rPr>
        <w:tab/>
        <w:t>Type(s) du (des) dispositif(s) d</w:t>
      </w:r>
      <w:r>
        <w:rPr>
          <w:lang w:val="fr-FR"/>
        </w:rPr>
        <w:t>’</w:t>
      </w:r>
      <w:r w:rsidRPr="008933B9">
        <w:rPr>
          <w:lang w:val="fr-FR"/>
        </w:rPr>
        <w:t>admission (si indispensable(s)</w:t>
      </w:r>
      <w:r w:rsidRPr="008933B9">
        <w:rPr>
          <w:lang w:val="fr-FR"/>
        </w:rPr>
        <w:br/>
        <w:t>pour respecter les limites du niveau sonore)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9.</w:t>
      </w:r>
      <w:r w:rsidRPr="008933B9">
        <w:rPr>
          <w:lang w:val="fr-FR"/>
        </w:rPr>
        <w:tab/>
        <w:t>Type</w:t>
      </w:r>
      <w:r w:rsidRPr="008933B9">
        <w:rPr>
          <w:b/>
          <w:lang w:val="fr-FR"/>
        </w:rPr>
        <w:t xml:space="preserve"> </w:t>
      </w:r>
      <w:r w:rsidRPr="008933B9">
        <w:rPr>
          <w:lang w:val="fr-FR"/>
        </w:rPr>
        <w:t>du moteur</w:t>
      </w:r>
      <w:r w:rsidRPr="001F2BDA">
        <w:rPr>
          <w:rStyle w:val="FootnoteReference"/>
        </w:rPr>
        <w:footnoteReference w:id="10"/>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10.</w:t>
      </w:r>
      <w:r w:rsidRPr="008933B9">
        <w:rPr>
          <w:lang w:val="fr-FR"/>
        </w:rPr>
        <w:tab/>
        <w:t>Cycles</w:t>
      </w:r>
      <w:r>
        <w:rPr>
          <w:lang w:val="fr-FR"/>
        </w:rPr>
        <w:t> :</w:t>
      </w:r>
      <w:r w:rsidRPr="008933B9">
        <w:rPr>
          <w:lang w:val="fr-FR"/>
        </w:rPr>
        <w:t xml:space="preserve"> deux temps ou quatre temps (s</w:t>
      </w:r>
      <w:r>
        <w:rPr>
          <w:lang w:val="fr-FR"/>
        </w:rPr>
        <w:t>’</w:t>
      </w:r>
      <w:r w:rsidRPr="008933B9">
        <w:rPr>
          <w:lang w:val="fr-FR"/>
        </w:rPr>
        <w:t>il y a lieu)</w:t>
      </w:r>
      <w:r w:rsidRPr="008933B9">
        <w:rPr>
          <w:sz w:val="18"/>
          <w:szCs w:val="18"/>
          <w:vertAlign w:val="superscript"/>
          <w:lang w:val="fr-FR"/>
        </w:rPr>
        <w:t>2</w:t>
      </w:r>
      <w:r w:rsidRPr="008933B9">
        <w:rPr>
          <w:lang w:val="fr-FR"/>
        </w:rPr>
        <w:tab/>
      </w:r>
    </w:p>
    <w:p w:rsidR="00842837" w:rsidRPr="00EB4D6B" w:rsidRDefault="00842837" w:rsidP="00B704B2">
      <w:pPr>
        <w:pStyle w:val="SingleTxtG"/>
        <w:tabs>
          <w:tab w:val="right" w:leader="dot" w:pos="8505"/>
        </w:tabs>
        <w:ind w:left="1701" w:hanging="567"/>
        <w:jc w:val="left"/>
        <w:rPr>
          <w:lang w:val="fr-FR"/>
        </w:rPr>
      </w:pPr>
      <w:r w:rsidRPr="008933B9">
        <w:rPr>
          <w:lang w:val="fr-FR"/>
        </w:rPr>
        <w:t>11.</w:t>
      </w:r>
      <w:r w:rsidRPr="008933B9">
        <w:rPr>
          <w:lang w:val="fr-FR"/>
        </w:rPr>
        <w:tab/>
        <w:t>Cylindrée</w:t>
      </w:r>
      <w:r w:rsidRPr="008933B9">
        <w:rPr>
          <w:lang w:val="fr-FR"/>
        </w:rPr>
        <w:tab/>
      </w:r>
      <w:r w:rsidRPr="00EB4D6B">
        <w:rPr>
          <w:lang w:val="fr-FR"/>
        </w:rPr>
        <w:t>cm</w:t>
      </w:r>
      <w:r w:rsidRPr="00EB4D6B">
        <w:rPr>
          <w:vertAlign w:val="superscript"/>
          <w:lang w:val="fr-FR"/>
        </w:rPr>
        <w:t>3</w:t>
      </w:r>
    </w:p>
    <w:p w:rsidR="00842837" w:rsidRPr="008933B9" w:rsidRDefault="00842837" w:rsidP="00B704B2">
      <w:pPr>
        <w:pStyle w:val="SingleTxtG"/>
        <w:tabs>
          <w:tab w:val="right" w:leader="dot" w:pos="8505"/>
        </w:tabs>
        <w:ind w:left="1701" w:hanging="567"/>
        <w:jc w:val="left"/>
        <w:rPr>
          <w:lang w:val="fr-FR"/>
        </w:rPr>
      </w:pPr>
      <w:r w:rsidRPr="008933B9">
        <w:rPr>
          <w:lang w:val="fr-FR"/>
        </w:rPr>
        <w:t>11.1</w:t>
      </w:r>
      <w:r w:rsidRPr="008933B9">
        <w:rPr>
          <w:lang w:val="fr-FR"/>
        </w:rPr>
        <w:tab/>
        <w:t>Alésage</w:t>
      </w:r>
      <w:r w:rsidRPr="008933B9">
        <w:rPr>
          <w:lang w:val="fr-FR"/>
        </w:rPr>
        <w:tab/>
        <w:t>mm</w:t>
      </w:r>
    </w:p>
    <w:p w:rsidR="00842837" w:rsidRPr="008933B9" w:rsidRDefault="00842837" w:rsidP="00B704B2">
      <w:pPr>
        <w:pStyle w:val="SingleTxtG"/>
        <w:tabs>
          <w:tab w:val="right" w:leader="dot" w:pos="8505"/>
        </w:tabs>
        <w:ind w:left="1701" w:hanging="567"/>
        <w:jc w:val="left"/>
        <w:rPr>
          <w:lang w:val="fr-FR"/>
        </w:rPr>
      </w:pPr>
      <w:r w:rsidRPr="008933B9">
        <w:rPr>
          <w:lang w:val="fr-FR"/>
        </w:rPr>
        <w:t>11.2</w:t>
      </w:r>
      <w:r w:rsidRPr="008933B9">
        <w:rPr>
          <w:lang w:val="fr-FR"/>
        </w:rPr>
        <w:tab/>
        <w:t>Course</w:t>
      </w:r>
      <w:r w:rsidRPr="008933B9">
        <w:rPr>
          <w:lang w:val="fr-FR"/>
        </w:rPr>
        <w:tab/>
        <w:t>mm</w:t>
      </w:r>
    </w:p>
    <w:p w:rsidR="00842837" w:rsidRPr="008933B9" w:rsidRDefault="00842837" w:rsidP="00B704B2">
      <w:pPr>
        <w:pStyle w:val="SingleTxtG"/>
        <w:tabs>
          <w:tab w:val="right" w:leader="dot" w:pos="8505"/>
        </w:tabs>
        <w:ind w:left="1701" w:hanging="567"/>
        <w:jc w:val="left"/>
        <w:rPr>
          <w:b/>
          <w:lang w:val="fr-FR"/>
        </w:rPr>
      </w:pPr>
      <w:r w:rsidRPr="008933B9">
        <w:rPr>
          <w:lang w:val="fr-FR"/>
        </w:rPr>
        <w:t>12.</w:t>
      </w:r>
      <w:r w:rsidRPr="008933B9">
        <w:rPr>
          <w:lang w:val="fr-FR"/>
        </w:rPr>
        <w:tab/>
        <w:t xml:space="preserve">Puissance </w:t>
      </w:r>
      <w:r w:rsidRPr="005F6415">
        <w:rPr>
          <w:lang w:val="fr-FR"/>
        </w:rPr>
        <w:t>nette maximale nominale</w:t>
      </w:r>
      <w:r w:rsidRPr="008933B9">
        <w:rPr>
          <w:lang w:val="fr-FR"/>
        </w:rPr>
        <w:t xml:space="preserve"> (préciser la méthode de mesure) </w:t>
      </w:r>
      <w:r w:rsidRPr="008933B9">
        <w:rPr>
          <w:lang w:val="fr-FR"/>
        </w:rPr>
        <w:tab/>
      </w:r>
      <w:r w:rsidRPr="005F6415">
        <w:rPr>
          <w:lang w:val="fr-FR"/>
        </w:rPr>
        <w:t>kW</w:t>
      </w:r>
    </w:p>
    <w:p w:rsidR="00842837" w:rsidRPr="008933B9" w:rsidRDefault="00842837" w:rsidP="00B704B2">
      <w:pPr>
        <w:pStyle w:val="SingleTxtG"/>
        <w:tabs>
          <w:tab w:val="right" w:leader="dot" w:pos="8505"/>
        </w:tabs>
        <w:ind w:left="1701" w:hanging="567"/>
        <w:jc w:val="left"/>
        <w:rPr>
          <w:szCs w:val="24"/>
          <w:lang w:val="fr-FR"/>
        </w:rPr>
      </w:pPr>
      <w:r w:rsidRPr="008933B9">
        <w:rPr>
          <w:lang w:val="fr-FR"/>
        </w:rPr>
        <w:t>13.</w:t>
      </w:r>
      <w:r w:rsidRPr="008933B9">
        <w:rPr>
          <w:lang w:val="fr-FR"/>
        </w:rPr>
        <w:tab/>
        <w:t xml:space="preserve">Régime </w:t>
      </w:r>
      <w:r w:rsidRPr="008E2731">
        <w:rPr>
          <w:lang w:val="fr-FR"/>
        </w:rPr>
        <w:t>nominal</w:t>
      </w:r>
      <w:r>
        <w:rPr>
          <w:lang w:val="fr-FR"/>
        </w:rPr>
        <w:t xml:space="preserve"> </w:t>
      </w:r>
      <w:r w:rsidRPr="008933B9">
        <w:rPr>
          <w:lang w:val="fr-FR"/>
        </w:rPr>
        <w:t>de puissance maximale</w:t>
      </w:r>
      <w:r w:rsidRPr="008933B9">
        <w:rPr>
          <w:lang w:val="fr-FR"/>
        </w:rPr>
        <w:tab/>
      </w:r>
      <w:r w:rsidRPr="008933B9">
        <w:rPr>
          <w:bCs/>
          <w:szCs w:val="24"/>
          <w:lang w:val="fr-FR"/>
        </w:rPr>
        <w:t>min</w:t>
      </w:r>
      <w:r w:rsidRPr="008933B9">
        <w:rPr>
          <w:bCs/>
          <w:szCs w:val="24"/>
          <w:vertAlign w:val="superscript"/>
          <w:lang w:val="fr-FR"/>
        </w:rPr>
        <w:t>-1</w:t>
      </w:r>
    </w:p>
    <w:p w:rsidR="00842837" w:rsidRPr="008933B9" w:rsidRDefault="00842837" w:rsidP="00B704B2">
      <w:pPr>
        <w:pStyle w:val="SingleTxtG"/>
        <w:tabs>
          <w:tab w:val="right" w:leader="dot" w:pos="8505"/>
        </w:tabs>
        <w:ind w:left="1701" w:hanging="567"/>
        <w:jc w:val="left"/>
        <w:rPr>
          <w:lang w:val="fr-FR"/>
        </w:rPr>
      </w:pPr>
      <w:r w:rsidRPr="008933B9">
        <w:rPr>
          <w:lang w:val="fr-FR"/>
        </w:rPr>
        <w:t>14.</w:t>
      </w:r>
      <w:r w:rsidRPr="008933B9">
        <w:rPr>
          <w:lang w:val="fr-FR"/>
        </w:rPr>
        <w:tab/>
      </w:r>
      <w:r w:rsidRPr="005F6415">
        <w:rPr>
          <w:lang w:val="fr-FR"/>
        </w:rPr>
        <w:t>Transmission</w:t>
      </w:r>
      <w:r w:rsidRPr="008933B9">
        <w:rPr>
          <w:lang w:val="fr-FR"/>
        </w:rPr>
        <w:tab/>
      </w:r>
    </w:p>
    <w:p w:rsidR="00842837" w:rsidRPr="005F6415" w:rsidRDefault="00842837" w:rsidP="00B704B2">
      <w:pPr>
        <w:pStyle w:val="SingleTxtG"/>
        <w:tabs>
          <w:tab w:val="right" w:leader="dot" w:pos="8505"/>
        </w:tabs>
        <w:ind w:left="1701" w:hanging="567"/>
        <w:jc w:val="left"/>
        <w:rPr>
          <w:lang w:val="fr-FR"/>
        </w:rPr>
      </w:pPr>
      <w:r w:rsidRPr="005F6415">
        <w:rPr>
          <w:lang w:val="fr-FR"/>
        </w:rPr>
        <w:t>14.1</w:t>
      </w:r>
      <w:r w:rsidRPr="005F6415">
        <w:rPr>
          <w:lang w:val="fr-FR"/>
        </w:rPr>
        <w:tab/>
        <w:t xml:space="preserve">Marque </w:t>
      </w:r>
      <w:r w:rsidRPr="005F6415">
        <w:rPr>
          <w:lang w:val="fr-FR"/>
        </w:rPr>
        <w:tab/>
      </w:r>
    </w:p>
    <w:p w:rsidR="00842837" w:rsidRPr="005F6415" w:rsidRDefault="00842837" w:rsidP="00B704B2">
      <w:pPr>
        <w:pStyle w:val="SingleTxtG"/>
        <w:tabs>
          <w:tab w:val="right" w:leader="dot" w:pos="8505"/>
        </w:tabs>
        <w:ind w:left="1701" w:hanging="567"/>
        <w:jc w:val="left"/>
        <w:rPr>
          <w:lang w:val="fr-FR"/>
        </w:rPr>
      </w:pPr>
      <w:r w:rsidRPr="005F6415">
        <w:rPr>
          <w:lang w:val="fr-FR"/>
        </w:rPr>
        <w:t>14.2</w:t>
      </w:r>
      <w:r w:rsidRPr="005F6415">
        <w:rPr>
          <w:lang w:val="fr-FR"/>
        </w:rPr>
        <w:tab/>
        <w:t>Type (manuelle, automatique, à variation continue)</w:t>
      </w:r>
      <w:r w:rsidRPr="005F6415">
        <w:rPr>
          <w:lang w:val="fr-FR"/>
        </w:rPr>
        <w:tab/>
      </w:r>
    </w:p>
    <w:p w:rsidR="00842837" w:rsidRPr="008933B9" w:rsidRDefault="00842837" w:rsidP="00B704B2">
      <w:pPr>
        <w:pStyle w:val="SingleTxtG"/>
        <w:tabs>
          <w:tab w:val="right" w:leader="dot" w:pos="8505"/>
        </w:tabs>
        <w:ind w:left="1701" w:hanging="567"/>
        <w:jc w:val="left"/>
        <w:rPr>
          <w:b/>
          <w:lang w:val="fr-FR"/>
        </w:rPr>
      </w:pPr>
      <w:r w:rsidRPr="005F6415">
        <w:rPr>
          <w:lang w:val="fr-FR"/>
        </w:rPr>
        <w:t>14.3</w:t>
      </w:r>
      <w:r w:rsidRPr="005F6415">
        <w:rPr>
          <w:lang w:val="fr-FR"/>
        </w:rPr>
        <w:tab/>
        <w:t>Nombre de rapports</w:t>
      </w:r>
      <w:r w:rsidRPr="005F6415">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14.</w:t>
      </w:r>
      <w:r w:rsidRPr="005F6415">
        <w:rPr>
          <w:lang w:val="fr-FR"/>
        </w:rPr>
        <w:t>4</w:t>
      </w:r>
      <w:r w:rsidRPr="008933B9">
        <w:rPr>
          <w:lang w:val="fr-FR"/>
        </w:rPr>
        <w:tab/>
        <w:t>Rapports de la boîte de vitesses utilisés</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14.</w:t>
      </w:r>
      <w:r w:rsidRPr="005F6415">
        <w:rPr>
          <w:lang w:val="fr-FR"/>
        </w:rPr>
        <w:t>5</w:t>
      </w:r>
      <w:r w:rsidRPr="008933B9">
        <w:rPr>
          <w:lang w:val="fr-FR"/>
        </w:rPr>
        <w:tab/>
        <w:t>Rapport(s) de pont</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15.</w:t>
      </w:r>
      <w:r w:rsidRPr="008933B9">
        <w:rPr>
          <w:lang w:val="fr-FR"/>
        </w:rPr>
        <w:tab/>
        <w:t>Type et dimensions des pneumatiques</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16.</w:t>
      </w:r>
      <w:r w:rsidRPr="008933B9">
        <w:rPr>
          <w:lang w:val="fr-FR"/>
        </w:rPr>
        <w:tab/>
        <w:t>Poids total autorisé en charge</w:t>
      </w:r>
      <w:r w:rsidRPr="008933B9">
        <w:rPr>
          <w:lang w:val="fr-FR"/>
        </w:rPr>
        <w:tab/>
        <w:t>kg</w:t>
      </w:r>
    </w:p>
    <w:p w:rsidR="00842837" w:rsidRPr="008933B9" w:rsidRDefault="00842837" w:rsidP="00B704B2">
      <w:pPr>
        <w:pStyle w:val="SingleTxtG"/>
        <w:tabs>
          <w:tab w:val="right" w:leader="dot" w:pos="8505"/>
        </w:tabs>
        <w:ind w:left="1701" w:hanging="567"/>
        <w:jc w:val="left"/>
        <w:rPr>
          <w:lang w:val="fr-FR"/>
        </w:rPr>
      </w:pPr>
      <w:r w:rsidRPr="008933B9">
        <w:rPr>
          <w:lang w:val="fr-FR"/>
        </w:rPr>
        <w:t>17.</w:t>
      </w:r>
      <w:r w:rsidRPr="008933B9">
        <w:rPr>
          <w:lang w:val="fr-FR"/>
        </w:rPr>
        <w:tab/>
        <w:t xml:space="preserve">Vitesse maximale </w:t>
      </w:r>
      <w:r w:rsidRPr="005F6415">
        <w:rPr>
          <w:lang w:val="fr-FR"/>
        </w:rPr>
        <w:t>du véhicule</w:t>
      </w:r>
      <w:r w:rsidRPr="008933B9">
        <w:rPr>
          <w:b/>
          <w:lang w:val="fr-FR"/>
        </w:rPr>
        <w:t xml:space="preserve"> </w:t>
      </w:r>
      <w:r w:rsidRPr="008933B9">
        <w:rPr>
          <w:lang w:val="fr-FR"/>
        </w:rPr>
        <w:t>par construction (indiquée par le constructeur)</w:t>
      </w:r>
      <w:r w:rsidRPr="008933B9">
        <w:rPr>
          <w:lang w:val="fr-FR"/>
        </w:rPr>
        <w:tab/>
        <w:t>km/h</w:t>
      </w:r>
    </w:p>
    <w:p w:rsidR="00842837" w:rsidRPr="008933B9" w:rsidRDefault="00842837" w:rsidP="00B704B2">
      <w:pPr>
        <w:pStyle w:val="SingleTxtG"/>
        <w:tabs>
          <w:tab w:val="right" w:leader="dot" w:pos="8505"/>
        </w:tabs>
        <w:ind w:left="1701" w:hanging="567"/>
        <w:jc w:val="left"/>
        <w:rPr>
          <w:lang w:val="fr-FR"/>
        </w:rPr>
      </w:pPr>
      <w:r w:rsidRPr="008933B9">
        <w:rPr>
          <w:lang w:val="fr-FR"/>
        </w:rPr>
        <w:t>18.</w:t>
      </w:r>
      <w:r w:rsidRPr="008933B9">
        <w:rPr>
          <w:lang w:val="fr-FR"/>
        </w:rPr>
        <w:tab/>
        <w:t>Essai du véhicule à l</w:t>
      </w:r>
      <w:r>
        <w:rPr>
          <w:lang w:val="fr-FR"/>
        </w:rPr>
        <w:t>’</w:t>
      </w:r>
      <w:r w:rsidRPr="008933B9">
        <w:rPr>
          <w:lang w:val="fr-FR"/>
        </w:rPr>
        <w:t>arrêt</w:t>
      </w:r>
      <w:r>
        <w:rPr>
          <w:lang w:val="fr-FR"/>
        </w:rPr>
        <w:t> :</w:t>
      </w:r>
      <w:r w:rsidRPr="008933B9">
        <w:rPr>
          <w:lang w:val="fr-FR"/>
        </w:rPr>
        <w:t xml:space="preserve"> position et orientation du microphone</w:t>
      </w:r>
      <w:r w:rsidR="00C03857">
        <w:rPr>
          <w:lang w:val="fr-FR"/>
        </w:rPr>
        <w:t xml:space="preserve"> </w:t>
      </w:r>
      <w:r w:rsidRPr="008933B9">
        <w:rPr>
          <w:lang w:val="fr-FR"/>
        </w:rPr>
        <w:br/>
        <w:t>(selon les diagrammes de l</w:t>
      </w:r>
      <w:r>
        <w:rPr>
          <w:lang w:val="fr-FR"/>
        </w:rPr>
        <w:t>’</w:t>
      </w:r>
      <w:r w:rsidRPr="008933B9">
        <w:rPr>
          <w:lang w:val="fr-FR"/>
        </w:rPr>
        <w:t>annexe</w:t>
      </w:r>
      <w:r>
        <w:rPr>
          <w:lang w:val="fr-FR"/>
        </w:rPr>
        <w:t xml:space="preserve"> </w:t>
      </w:r>
      <w:r w:rsidRPr="008933B9">
        <w:rPr>
          <w:lang w:val="fr-FR"/>
        </w:rPr>
        <w:t>3 du présent Règlement)</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szCs w:val="24"/>
          <w:lang w:val="fr-FR"/>
        </w:rPr>
        <w:t>19.</w:t>
      </w:r>
      <w:r w:rsidRPr="008933B9">
        <w:rPr>
          <w:szCs w:val="24"/>
          <w:lang w:val="fr-FR"/>
        </w:rPr>
        <w:tab/>
        <w:t>Valeurs du niveau sonore</w:t>
      </w:r>
      <w:r w:rsidRPr="008933B9">
        <w:rPr>
          <w:szCs w:val="24"/>
          <w:lang w:val="fr-FR"/>
        </w:rPr>
        <w:tab/>
      </w:r>
    </w:p>
    <w:p w:rsidR="00842837" w:rsidRPr="008933B9" w:rsidRDefault="00842837" w:rsidP="00B704B2">
      <w:pPr>
        <w:tabs>
          <w:tab w:val="left" w:pos="1134"/>
          <w:tab w:val="right" w:leader="dot" w:pos="8505"/>
        </w:tabs>
        <w:spacing w:after="120"/>
        <w:ind w:left="2835" w:hanging="1134"/>
        <w:rPr>
          <w:lang w:val="fr-FR"/>
        </w:rPr>
      </w:pPr>
      <w:r w:rsidRPr="005F6415">
        <w:rPr>
          <w:lang w:val="fr-FR"/>
        </w:rPr>
        <w:t>Véhicule</w:t>
      </w:r>
      <w:r w:rsidRPr="008933B9">
        <w:rPr>
          <w:b/>
          <w:lang w:val="fr-FR"/>
        </w:rPr>
        <w:t xml:space="preserve"> </w:t>
      </w:r>
      <w:r w:rsidRPr="008933B9">
        <w:rPr>
          <w:lang w:val="fr-FR"/>
        </w:rPr>
        <w:t>en marche</w:t>
      </w:r>
      <w:r w:rsidRPr="008933B9">
        <w:rPr>
          <w:lang w:val="fr-FR"/>
        </w:rPr>
        <w:tab/>
        <w:t>dB(A)</w:t>
      </w:r>
    </w:p>
    <w:p w:rsidR="00842837" w:rsidRPr="008933B9" w:rsidRDefault="00842837" w:rsidP="00B704B2">
      <w:pPr>
        <w:tabs>
          <w:tab w:val="right" w:leader="dot" w:pos="8505"/>
        </w:tabs>
        <w:spacing w:after="120"/>
        <w:ind w:left="2835" w:right="1134" w:hanging="1134"/>
        <w:rPr>
          <w:lang w:val="fr-FR"/>
        </w:rPr>
      </w:pPr>
      <w:r w:rsidRPr="008933B9">
        <w:rPr>
          <w:lang w:val="fr-FR"/>
        </w:rPr>
        <w:t>À la vitesse d</w:t>
      </w:r>
      <w:r>
        <w:rPr>
          <w:lang w:val="fr-FR"/>
        </w:rPr>
        <w:t>’</w:t>
      </w:r>
      <w:r w:rsidRPr="008933B9">
        <w:rPr>
          <w:lang w:val="fr-FR"/>
        </w:rPr>
        <w:t>approche de la ligne A-A</w:t>
      </w:r>
      <w:r>
        <w:rPr>
          <w:lang w:val="fr-FR"/>
        </w:rPr>
        <w:t>’</w:t>
      </w:r>
      <w:r w:rsidRPr="008933B9">
        <w:rPr>
          <w:lang w:val="fr-FR"/>
        </w:rPr>
        <w:t xml:space="preserve"> de</w:t>
      </w:r>
      <w:r w:rsidRPr="008933B9">
        <w:rPr>
          <w:lang w:val="fr-FR"/>
        </w:rPr>
        <w:tab/>
        <w:t>km/h</w:t>
      </w:r>
    </w:p>
    <w:p w:rsidR="00842837" w:rsidRPr="008933B9" w:rsidRDefault="00842837" w:rsidP="00B704B2">
      <w:pPr>
        <w:tabs>
          <w:tab w:val="right" w:leader="dot" w:pos="8505"/>
        </w:tabs>
        <w:spacing w:after="120"/>
        <w:ind w:left="1701" w:right="1134"/>
        <w:rPr>
          <w:bCs/>
          <w:vertAlign w:val="superscript"/>
          <w:lang w:val="fr-FR"/>
        </w:rPr>
      </w:pPr>
      <w:r w:rsidRPr="008933B9">
        <w:rPr>
          <w:lang w:val="fr-FR"/>
        </w:rPr>
        <w:t>Régime</w:t>
      </w:r>
      <w:r w:rsidRPr="008933B9">
        <w:rPr>
          <w:lang w:val="fr-FR"/>
        </w:rPr>
        <w:tab/>
      </w:r>
      <w:r w:rsidRPr="008933B9">
        <w:rPr>
          <w:bCs/>
          <w:lang w:val="fr-FR"/>
        </w:rPr>
        <w:t>min</w:t>
      </w:r>
      <w:r w:rsidRPr="008933B9">
        <w:rPr>
          <w:bCs/>
          <w:vertAlign w:val="superscript"/>
          <w:lang w:val="fr-FR"/>
        </w:rPr>
        <w:t>-1</w:t>
      </w:r>
    </w:p>
    <w:p w:rsidR="00842837" w:rsidRPr="008933B9" w:rsidRDefault="00842837" w:rsidP="00B704B2">
      <w:pPr>
        <w:tabs>
          <w:tab w:val="left" w:pos="1134"/>
          <w:tab w:val="right" w:leader="dot" w:pos="8505"/>
        </w:tabs>
        <w:spacing w:after="120"/>
        <w:ind w:left="2835" w:hanging="1134"/>
        <w:rPr>
          <w:lang w:val="fr-FR"/>
        </w:rPr>
      </w:pPr>
      <w:r w:rsidRPr="005F6415">
        <w:rPr>
          <w:lang w:val="fr-FR"/>
        </w:rPr>
        <w:t>Véhicule</w:t>
      </w:r>
      <w:r w:rsidRPr="008933B9">
        <w:rPr>
          <w:b/>
          <w:lang w:val="fr-FR"/>
        </w:rPr>
        <w:t xml:space="preserve"> </w:t>
      </w:r>
      <w:r w:rsidRPr="008933B9">
        <w:rPr>
          <w:lang w:val="fr-FR"/>
        </w:rPr>
        <w:t>à l</w:t>
      </w:r>
      <w:r>
        <w:rPr>
          <w:lang w:val="fr-FR"/>
        </w:rPr>
        <w:t>’</w:t>
      </w:r>
      <w:r w:rsidRPr="008933B9">
        <w:rPr>
          <w:lang w:val="fr-FR"/>
        </w:rPr>
        <w:t>arrêt</w:t>
      </w:r>
      <w:r w:rsidRPr="008933B9">
        <w:rPr>
          <w:lang w:val="fr-FR"/>
        </w:rPr>
        <w:tab/>
        <w:t>dB(A)</w:t>
      </w:r>
    </w:p>
    <w:p w:rsidR="00842837" w:rsidRPr="008933B9" w:rsidRDefault="00842837" w:rsidP="00B704B2">
      <w:pPr>
        <w:tabs>
          <w:tab w:val="left" w:pos="1134"/>
          <w:tab w:val="right" w:leader="dot" w:pos="8505"/>
        </w:tabs>
        <w:spacing w:after="120"/>
        <w:ind w:left="2835" w:hanging="1134"/>
        <w:rPr>
          <w:lang w:val="fr-FR"/>
        </w:rPr>
      </w:pPr>
      <w:r w:rsidRPr="008933B9">
        <w:rPr>
          <w:lang w:val="fr-FR"/>
        </w:rPr>
        <w:t>Le moteur tournant à</w:t>
      </w:r>
      <w:r w:rsidRPr="008933B9">
        <w:rPr>
          <w:lang w:val="fr-FR"/>
        </w:rPr>
        <w:tab/>
      </w:r>
      <w:r w:rsidRPr="008933B9">
        <w:rPr>
          <w:bCs/>
          <w:lang w:val="fr-FR"/>
        </w:rPr>
        <w:t>min</w:t>
      </w:r>
      <w:r w:rsidRPr="008933B9">
        <w:rPr>
          <w:bCs/>
          <w:vertAlign w:val="superscript"/>
          <w:lang w:val="fr-FR"/>
        </w:rPr>
        <w:t>-1</w:t>
      </w:r>
    </w:p>
    <w:p w:rsidR="00842837" w:rsidRPr="005F6415" w:rsidRDefault="00842837" w:rsidP="00B704B2">
      <w:pPr>
        <w:pStyle w:val="SingleTxtG"/>
        <w:tabs>
          <w:tab w:val="right" w:leader="dot" w:pos="8505"/>
        </w:tabs>
        <w:ind w:left="1701" w:hanging="567"/>
        <w:jc w:val="left"/>
        <w:rPr>
          <w:lang w:val="fr-FR"/>
        </w:rPr>
      </w:pPr>
      <w:r w:rsidRPr="005F6415">
        <w:rPr>
          <w:lang w:val="fr-FR"/>
        </w:rPr>
        <w:t>20.</w:t>
      </w:r>
      <w:r w:rsidRPr="005F6415">
        <w:rPr>
          <w:lang w:val="fr-FR"/>
        </w:rPr>
        <w:tab/>
        <w:t>Données de référence relatives à la conformité des véhicules en circulation</w:t>
      </w:r>
    </w:p>
    <w:p w:rsidR="00842837" w:rsidRPr="005F6415" w:rsidRDefault="00842837" w:rsidP="00B704B2">
      <w:pPr>
        <w:pStyle w:val="SingleTxtG"/>
        <w:tabs>
          <w:tab w:val="right" w:leader="dot" w:pos="8505"/>
        </w:tabs>
        <w:ind w:left="1701" w:hanging="567"/>
        <w:jc w:val="left"/>
        <w:rPr>
          <w:lang w:val="fr-FR"/>
        </w:rPr>
      </w:pPr>
      <w:r w:rsidRPr="005F6415">
        <w:rPr>
          <w:lang w:val="fr-FR"/>
        </w:rPr>
        <w:t>20.1</w:t>
      </w:r>
      <w:r w:rsidRPr="005F6415">
        <w:rPr>
          <w:lang w:val="fr-FR"/>
        </w:rPr>
        <w:tab/>
        <w:t>Rapport (i) pour les véhicules à transmission manuelle</w:t>
      </w:r>
      <w:r w:rsidRPr="005F6415">
        <w:rPr>
          <w:lang w:val="fr-FR"/>
        </w:rPr>
        <w:tab/>
      </w:r>
    </w:p>
    <w:p w:rsidR="00842837" w:rsidRPr="005F6415" w:rsidRDefault="00842837" w:rsidP="00B704B2">
      <w:pPr>
        <w:pStyle w:val="SingleTxtG"/>
        <w:tabs>
          <w:tab w:val="right" w:leader="dot" w:pos="8505"/>
        </w:tabs>
        <w:ind w:left="1701" w:hanging="567"/>
        <w:jc w:val="left"/>
        <w:rPr>
          <w:lang w:val="fr-FR"/>
        </w:rPr>
      </w:pPr>
      <w:r w:rsidRPr="005F6415">
        <w:rPr>
          <w:lang w:val="fr-FR"/>
        </w:rPr>
        <w:t>20.</w:t>
      </w:r>
      <w:r>
        <w:rPr>
          <w:lang w:val="fr-FR"/>
        </w:rPr>
        <w:t>2</w:t>
      </w:r>
      <w:r w:rsidRPr="005F6415">
        <w:rPr>
          <w:lang w:val="fr-FR"/>
        </w:rPr>
        <w:tab/>
        <w:t xml:space="preserve">Vitesse du véhicule au début de l’accélération (trois essais en moyenne) </w:t>
      </w:r>
      <w:r w:rsidR="00B704B2">
        <w:rPr>
          <w:lang w:val="fr-FR"/>
        </w:rPr>
        <w:br/>
      </w:r>
      <w:r w:rsidRPr="005F6415">
        <w:rPr>
          <w:lang w:val="fr-FR"/>
        </w:rPr>
        <w:t>sur le rapport (i)</w:t>
      </w:r>
      <w:r w:rsidRPr="005F6415">
        <w:rPr>
          <w:lang w:val="fr-FR"/>
        </w:rPr>
        <w:tab/>
        <w:t>km/h</w:t>
      </w:r>
    </w:p>
    <w:p w:rsidR="00842837" w:rsidRPr="005F6415" w:rsidRDefault="00842837" w:rsidP="00B704B2">
      <w:pPr>
        <w:pStyle w:val="SingleTxtG"/>
        <w:tabs>
          <w:tab w:val="right" w:leader="dot" w:pos="8505"/>
        </w:tabs>
        <w:ind w:left="1701" w:hanging="567"/>
        <w:jc w:val="left"/>
        <w:rPr>
          <w:lang w:val="fr-FR"/>
        </w:rPr>
      </w:pPr>
      <w:r w:rsidRPr="005F6415">
        <w:rPr>
          <w:lang w:val="fr-FR"/>
        </w:rPr>
        <w:t>20.3</w:t>
      </w:r>
      <w:r w:rsidRPr="005F6415">
        <w:rPr>
          <w:lang w:val="fr-FR"/>
        </w:rPr>
        <w:tab/>
        <w:t xml:space="preserve">Niveau de pression acoustique </w:t>
      </w:r>
      <w:r w:rsidRPr="005F6415">
        <w:rPr>
          <w:i/>
          <w:lang w:val="fr-FR"/>
        </w:rPr>
        <w:t>L</w:t>
      </w:r>
      <w:r w:rsidRPr="005F6415">
        <w:rPr>
          <w:rFonts w:ascii="Times New Roman Bold" w:hAnsi="Times New Roman Bold"/>
          <w:vertAlign w:val="subscript"/>
          <w:lang w:val="fr-FR"/>
        </w:rPr>
        <w:t>wot(i)</w:t>
      </w:r>
      <w:r w:rsidRPr="005F6415">
        <w:rPr>
          <w:lang w:val="fr-FR"/>
        </w:rPr>
        <w:tab/>
        <w:t>dB(a)</w:t>
      </w:r>
    </w:p>
    <w:p w:rsidR="00842837" w:rsidRPr="008933B9" w:rsidRDefault="00842837" w:rsidP="00B704B2">
      <w:pPr>
        <w:pStyle w:val="SingleTxtG"/>
        <w:tabs>
          <w:tab w:val="right" w:leader="dot" w:pos="8505"/>
        </w:tabs>
        <w:ind w:left="1701" w:hanging="567"/>
        <w:jc w:val="left"/>
        <w:rPr>
          <w:lang w:val="fr-FR"/>
        </w:rPr>
      </w:pPr>
      <w:r w:rsidRPr="008933B9">
        <w:rPr>
          <w:lang w:val="fr-FR"/>
        </w:rPr>
        <w:t>21.</w:t>
      </w:r>
      <w:r w:rsidRPr="008933B9">
        <w:rPr>
          <w:lang w:val="fr-FR"/>
        </w:rPr>
        <w:tab/>
      </w:r>
      <w:r w:rsidRPr="005F6415">
        <w:rPr>
          <w:lang w:val="fr-FR"/>
        </w:rPr>
        <w:t>Véhicule</w:t>
      </w:r>
      <w:r w:rsidRPr="008933B9">
        <w:rPr>
          <w:b/>
          <w:lang w:val="fr-FR"/>
        </w:rPr>
        <w:t xml:space="preserve"> </w:t>
      </w:r>
      <w:r w:rsidRPr="008933B9">
        <w:rPr>
          <w:lang w:val="fr-FR"/>
        </w:rPr>
        <w:t>présenté à l</w:t>
      </w:r>
      <w:r>
        <w:rPr>
          <w:lang w:val="fr-FR"/>
        </w:rPr>
        <w:t>’</w:t>
      </w:r>
      <w:r w:rsidRPr="008933B9">
        <w:rPr>
          <w:lang w:val="fr-FR"/>
        </w:rPr>
        <w:t>homologation le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22.</w:t>
      </w:r>
      <w:r w:rsidRPr="008933B9">
        <w:rPr>
          <w:lang w:val="fr-FR"/>
        </w:rPr>
        <w:tab/>
        <w:t>Service technique chargé des essais d</w:t>
      </w:r>
      <w:r>
        <w:rPr>
          <w:lang w:val="fr-FR"/>
        </w:rPr>
        <w:t>’</w:t>
      </w:r>
      <w:r w:rsidRPr="008933B9">
        <w:rPr>
          <w:lang w:val="fr-FR"/>
        </w:rPr>
        <w:t>homologation</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23.</w:t>
      </w:r>
      <w:r w:rsidRPr="008933B9">
        <w:rPr>
          <w:lang w:val="fr-FR"/>
        </w:rPr>
        <w:tab/>
        <w:t>Date du procès-verbal délivré par ce service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24.</w:t>
      </w:r>
      <w:r w:rsidRPr="008933B9">
        <w:rPr>
          <w:lang w:val="fr-FR"/>
        </w:rPr>
        <w:tab/>
        <w:t>Numéro</w:t>
      </w:r>
      <w:r w:rsidRPr="008933B9">
        <w:rPr>
          <w:szCs w:val="24"/>
          <w:lang w:val="fr-FR"/>
        </w:rPr>
        <w:t xml:space="preserve"> </w:t>
      </w:r>
      <w:r w:rsidRPr="008933B9">
        <w:rPr>
          <w:lang w:val="fr-FR"/>
        </w:rPr>
        <w:t>du procès-verbal délivré par ce service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25.</w:t>
      </w:r>
      <w:r w:rsidRPr="008933B9">
        <w:rPr>
          <w:lang w:val="fr-FR"/>
        </w:rPr>
        <w:tab/>
        <w:t>L</w:t>
      </w:r>
      <w:r>
        <w:rPr>
          <w:lang w:val="fr-FR"/>
        </w:rPr>
        <w:t>’</w:t>
      </w:r>
      <w:r w:rsidRPr="008933B9">
        <w:rPr>
          <w:lang w:val="fr-FR"/>
        </w:rPr>
        <w:t>homologation est accordée/étendue/refusée/retirée</w:t>
      </w:r>
      <w:r w:rsidRPr="008933B9">
        <w:rPr>
          <w:sz w:val="18"/>
          <w:szCs w:val="18"/>
          <w:vertAlign w:val="superscript"/>
          <w:lang w:val="fr-FR"/>
        </w:rPr>
        <w:t>2</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26.</w:t>
      </w:r>
      <w:r w:rsidRPr="008933B9">
        <w:rPr>
          <w:lang w:val="fr-FR"/>
        </w:rPr>
        <w:tab/>
        <w:t xml:space="preserve">Emplacement sur le </w:t>
      </w:r>
      <w:r w:rsidRPr="005F6415">
        <w:rPr>
          <w:lang w:val="fr-FR"/>
        </w:rPr>
        <w:t>véhicule</w:t>
      </w:r>
      <w:r w:rsidRPr="008933B9">
        <w:rPr>
          <w:b/>
          <w:lang w:val="fr-FR"/>
        </w:rPr>
        <w:t xml:space="preserve"> </w:t>
      </w:r>
      <w:r w:rsidRPr="008933B9">
        <w:rPr>
          <w:lang w:val="fr-FR"/>
        </w:rPr>
        <w:t>de la marque d</w:t>
      </w:r>
      <w:r>
        <w:rPr>
          <w:lang w:val="fr-FR"/>
        </w:rPr>
        <w:t>’</w:t>
      </w:r>
      <w:r w:rsidRPr="008933B9">
        <w:rPr>
          <w:lang w:val="fr-FR"/>
        </w:rPr>
        <w:t>homologation</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27.</w:t>
      </w:r>
      <w:r w:rsidRPr="008933B9">
        <w:rPr>
          <w:lang w:val="fr-FR"/>
        </w:rPr>
        <w:tab/>
        <w:t>Lieu</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28.</w:t>
      </w:r>
      <w:r w:rsidRPr="008933B9">
        <w:rPr>
          <w:lang w:val="fr-FR"/>
        </w:rPr>
        <w:tab/>
        <w:t>Date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29.</w:t>
      </w:r>
      <w:r w:rsidRPr="008933B9">
        <w:rPr>
          <w:lang w:val="fr-FR"/>
        </w:rPr>
        <w:tab/>
        <w:t>Signature</w:t>
      </w:r>
      <w:r w:rsidRPr="008933B9">
        <w:rPr>
          <w:lang w:val="fr-FR"/>
        </w:rPr>
        <w:tab/>
      </w:r>
    </w:p>
    <w:p w:rsidR="00842837" w:rsidRPr="008933B9" w:rsidRDefault="00842837" w:rsidP="00B704B2">
      <w:pPr>
        <w:pStyle w:val="SingleTxtG"/>
        <w:tabs>
          <w:tab w:val="right" w:leader="dot" w:pos="8505"/>
        </w:tabs>
        <w:ind w:left="1701" w:hanging="567"/>
        <w:jc w:val="left"/>
        <w:rPr>
          <w:lang w:val="fr-FR"/>
        </w:rPr>
      </w:pPr>
      <w:r w:rsidRPr="008933B9">
        <w:rPr>
          <w:lang w:val="fr-FR"/>
        </w:rPr>
        <w:t>30.</w:t>
      </w:r>
      <w:r w:rsidRPr="008933B9">
        <w:rPr>
          <w:lang w:val="fr-FR"/>
        </w:rPr>
        <w:tab/>
        <w:t>Sont annexées à la présente communication les pièces suivantes, qui portent le numéro d</w:t>
      </w:r>
      <w:r>
        <w:rPr>
          <w:lang w:val="fr-FR"/>
        </w:rPr>
        <w:t>’</w:t>
      </w:r>
      <w:r w:rsidRPr="008933B9">
        <w:rPr>
          <w:lang w:val="fr-FR"/>
        </w:rPr>
        <w:t>homologation indiqué ci-dessus</w:t>
      </w:r>
      <w:r>
        <w:rPr>
          <w:lang w:val="fr-FR"/>
        </w:rPr>
        <w:t> :</w:t>
      </w:r>
    </w:p>
    <w:p w:rsidR="00842837" w:rsidRPr="008933B9" w:rsidRDefault="00842837" w:rsidP="00B704B2">
      <w:pPr>
        <w:pStyle w:val="SingleTxtG"/>
        <w:ind w:left="2268" w:hanging="567"/>
        <w:jc w:val="left"/>
        <w:rPr>
          <w:lang w:val="fr-FR"/>
        </w:rPr>
      </w:pPr>
      <w:r w:rsidRPr="008933B9">
        <w:rPr>
          <w:lang w:val="fr-FR"/>
        </w:rPr>
        <w:t>a)</w:t>
      </w:r>
      <w:r w:rsidRPr="008933B9">
        <w:rPr>
          <w:lang w:val="fr-FR"/>
        </w:rPr>
        <w:tab/>
        <w:t>Dessins, schémas et plans du moteur et du dispositif d</w:t>
      </w:r>
      <w:r>
        <w:rPr>
          <w:lang w:val="fr-FR"/>
        </w:rPr>
        <w:t>’</w:t>
      </w:r>
      <w:r w:rsidRPr="008933B9">
        <w:rPr>
          <w:lang w:val="fr-FR"/>
        </w:rPr>
        <w:t>échappement ou du silencieux</w:t>
      </w:r>
      <w:r>
        <w:rPr>
          <w:lang w:val="fr-FR"/>
        </w:rPr>
        <w:t> ;</w:t>
      </w:r>
    </w:p>
    <w:p w:rsidR="00842837" w:rsidRPr="008933B9" w:rsidRDefault="00842837" w:rsidP="00B704B2">
      <w:pPr>
        <w:pStyle w:val="SingleTxtG"/>
        <w:ind w:left="2268" w:hanging="567"/>
        <w:jc w:val="left"/>
        <w:rPr>
          <w:lang w:val="fr-FR"/>
        </w:rPr>
      </w:pPr>
      <w:r w:rsidRPr="008933B9">
        <w:rPr>
          <w:lang w:val="fr-FR"/>
        </w:rPr>
        <w:t>b)</w:t>
      </w:r>
      <w:r w:rsidRPr="008933B9">
        <w:rPr>
          <w:lang w:val="fr-FR"/>
        </w:rPr>
        <w:tab/>
        <w:t>Photographies du moteur et du dispositif d</w:t>
      </w:r>
      <w:r>
        <w:rPr>
          <w:lang w:val="fr-FR"/>
        </w:rPr>
        <w:t>’</w:t>
      </w:r>
      <w:r w:rsidRPr="008933B9">
        <w:rPr>
          <w:lang w:val="fr-FR"/>
        </w:rPr>
        <w:t>échappement ou du silencieux</w:t>
      </w:r>
      <w:r>
        <w:rPr>
          <w:lang w:val="fr-FR"/>
        </w:rPr>
        <w:t> ;</w:t>
      </w:r>
    </w:p>
    <w:p w:rsidR="00B704B2" w:rsidRDefault="00842837" w:rsidP="00B704B2">
      <w:pPr>
        <w:pStyle w:val="SingleTxtG"/>
        <w:ind w:left="2268" w:hanging="567"/>
        <w:jc w:val="left"/>
        <w:rPr>
          <w:lang w:val="fr-FR"/>
        </w:rPr>
        <w:sectPr w:rsidR="00B704B2" w:rsidSect="00E618BE">
          <w:footnotePr>
            <w:numRestart w:val="eachSect"/>
          </w:footnotePr>
          <w:endnotePr>
            <w:numFmt w:val="decimal"/>
          </w:endnotePr>
          <w:pgSz w:w="11906" w:h="16838" w:code="9"/>
          <w:pgMar w:top="1417" w:right="1134" w:bottom="1134" w:left="1134" w:header="850" w:footer="567" w:gutter="0"/>
          <w:cols w:space="708"/>
          <w:docGrid w:linePitch="360"/>
        </w:sectPr>
      </w:pPr>
      <w:r w:rsidRPr="008933B9">
        <w:rPr>
          <w:lang w:val="fr-FR"/>
        </w:rPr>
        <w:t>c)</w:t>
      </w:r>
      <w:r w:rsidRPr="008933B9">
        <w:rPr>
          <w:lang w:val="fr-FR"/>
        </w:rPr>
        <w:tab/>
        <w:t>Bordereau des éléments, dûment identifiés, formant le dispositif d</w:t>
      </w:r>
      <w:r>
        <w:rPr>
          <w:lang w:val="fr-FR"/>
        </w:rPr>
        <w:t>’</w:t>
      </w:r>
      <w:r w:rsidRPr="008933B9">
        <w:rPr>
          <w:lang w:val="fr-FR"/>
        </w:rPr>
        <w:t>échappement ou le silencieux.</w:t>
      </w:r>
      <w:r w:rsidR="00B704B2">
        <w:rPr>
          <w:lang w:val="fr-FR"/>
        </w:rPr>
        <w:t xml:space="preserve"> </w:t>
      </w:r>
    </w:p>
    <w:p w:rsidR="00840F44" w:rsidRPr="00840F44" w:rsidRDefault="00300B9D" w:rsidP="00300B9D">
      <w:pPr>
        <w:pStyle w:val="HChG"/>
        <w:rPr>
          <w:lang w:val="fr-FR"/>
        </w:rPr>
      </w:pPr>
      <w:r>
        <w:rPr>
          <w:lang w:val="fr-FR"/>
        </w:rPr>
        <w:t>Annexe </w:t>
      </w:r>
      <w:r w:rsidR="00840F44" w:rsidRPr="00840F44">
        <w:rPr>
          <w:lang w:val="fr-FR"/>
        </w:rPr>
        <w:t>2</w:t>
      </w:r>
    </w:p>
    <w:p w:rsidR="00840F44" w:rsidRPr="00840F44" w:rsidRDefault="00840F44" w:rsidP="00300B9D">
      <w:pPr>
        <w:pStyle w:val="HChG"/>
        <w:rPr>
          <w:lang w:val="fr-FR"/>
        </w:rPr>
      </w:pPr>
      <w:r w:rsidRPr="00840F44">
        <w:rPr>
          <w:lang w:val="fr-FR"/>
        </w:rPr>
        <w:tab/>
      </w:r>
      <w:r w:rsidRPr="00840F44">
        <w:rPr>
          <w:lang w:val="fr-FR"/>
        </w:rPr>
        <w:tab/>
        <w:t>Exemples de marques d’homologation</w:t>
      </w:r>
    </w:p>
    <w:p w:rsidR="00840F44" w:rsidRPr="00840F44" w:rsidRDefault="00AF62BF" w:rsidP="00AF62BF">
      <w:pPr>
        <w:pStyle w:val="SingleTxtG"/>
        <w:spacing w:after="240"/>
        <w:jc w:val="left"/>
        <w:rPr>
          <w:lang w:val="fr-FR"/>
        </w:rPr>
      </w:pPr>
      <w:r>
        <w:rPr>
          <w:lang w:val="fr-FR"/>
        </w:rPr>
        <w:t>Modèle </w:t>
      </w:r>
      <w:r w:rsidR="00840F44" w:rsidRPr="00840F44">
        <w:rPr>
          <w:lang w:val="fr-FR"/>
        </w:rPr>
        <w:t>A</w:t>
      </w:r>
      <w:r>
        <w:rPr>
          <w:lang w:val="fr-FR"/>
        </w:rPr>
        <w:t xml:space="preserve"> </w:t>
      </w:r>
      <w:r w:rsidR="00840F44" w:rsidRPr="00840F44">
        <w:rPr>
          <w:lang w:val="fr-FR"/>
        </w:rPr>
        <w:br/>
        <w:t>(Voir par. 5.4 du présent Règlement)</w:t>
      </w:r>
    </w:p>
    <w:p w:rsidR="00840F44" w:rsidRDefault="00AF62BF" w:rsidP="00840F44">
      <w:pPr>
        <w:pStyle w:val="SingleTxtG"/>
        <w:rPr>
          <w:lang w:val="fr-FR"/>
        </w:rPr>
      </w:pPr>
      <w:r>
        <w:rPr>
          <w:noProof/>
          <w:lang w:val="en-GB" w:eastAsia="en-GB"/>
        </w:rPr>
        <w:drawing>
          <wp:inline distT="0" distB="0" distL="0" distR="0" wp14:anchorId="6D696984" wp14:editId="0001DED9">
            <wp:extent cx="4208780" cy="80899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8780" cy="808990"/>
                    </a:xfrm>
                    <a:prstGeom prst="rect">
                      <a:avLst/>
                    </a:prstGeom>
                    <a:noFill/>
                    <a:ln>
                      <a:noFill/>
                    </a:ln>
                  </pic:spPr>
                </pic:pic>
              </a:graphicData>
            </a:graphic>
          </wp:inline>
        </w:drawing>
      </w:r>
    </w:p>
    <w:p w:rsidR="00AF62BF" w:rsidRPr="00AF62BF" w:rsidRDefault="00AF62BF" w:rsidP="00AF62BF">
      <w:pPr>
        <w:pStyle w:val="SingleTxtG"/>
        <w:spacing w:before="240"/>
        <w:ind w:firstLine="567"/>
        <w:rPr>
          <w:lang w:val="fr-FR"/>
        </w:rPr>
      </w:pPr>
      <w:r w:rsidRPr="00AF62BF">
        <w:rPr>
          <w:lang w:val="fr-FR"/>
        </w:rPr>
        <w:t>La marque d’homologation ci-dessus, apposée sur un véhicule, indique que le type de ce véhicule</w:t>
      </w:r>
      <w:r w:rsidRPr="00AF62BF">
        <w:rPr>
          <w:b/>
          <w:lang w:val="fr-FR"/>
        </w:rPr>
        <w:t xml:space="preserve"> </w:t>
      </w:r>
      <w:r w:rsidRPr="00AF62BF">
        <w:rPr>
          <w:lang w:val="fr-FR"/>
        </w:rPr>
        <w:t>a été homologué aux Pays-Bas (E4), en ce qui concerne les émissions sonores, en application du Règlement n</w:t>
      </w:r>
      <w:r w:rsidRPr="00AF62BF">
        <w:rPr>
          <w:vertAlign w:val="superscript"/>
          <w:lang w:val="fr-FR"/>
        </w:rPr>
        <w:t>o</w:t>
      </w:r>
      <w:r w:rsidRPr="00AF62BF">
        <w:rPr>
          <w:lang w:val="fr-FR"/>
        </w:rPr>
        <w:t xml:space="preserve"> 63, et qu’il lui a été attribué le numéro d’homologation </w:t>
      </w:r>
      <w:r w:rsidRPr="00AF62BF">
        <w:rPr>
          <w:bCs/>
          <w:lang w:val="fr-FR"/>
        </w:rPr>
        <w:t>02</w:t>
      </w:r>
      <w:r w:rsidRPr="00AF62BF">
        <w:rPr>
          <w:lang w:val="fr-FR"/>
        </w:rPr>
        <w:t>2439. Le numéro indique que l’homologation a été délivrée conformément aux dispositions du Règlement n</w:t>
      </w:r>
      <w:r w:rsidRPr="00AF62BF">
        <w:rPr>
          <w:vertAlign w:val="superscript"/>
          <w:lang w:val="fr-FR"/>
        </w:rPr>
        <w:t>o</w:t>
      </w:r>
      <w:r w:rsidRPr="00AF62BF">
        <w:rPr>
          <w:lang w:val="fr-FR"/>
        </w:rPr>
        <w:t> 63 tel</w:t>
      </w:r>
      <w:r w:rsidR="00081AA8">
        <w:rPr>
          <w:lang w:val="fr-FR"/>
        </w:rPr>
        <w:t xml:space="preserve"> </w:t>
      </w:r>
      <w:r w:rsidRPr="00AF62BF">
        <w:rPr>
          <w:lang w:val="fr-FR"/>
        </w:rPr>
        <w:t>que modifié par la série d’amendements</w:t>
      </w:r>
      <w:r>
        <w:rPr>
          <w:lang w:val="fr-FR"/>
        </w:rPr>
        <w:t> </w:t>
      </w:r>
      <w:r w:rsidRPr="00AF62BF">
        <w:rPr>
          <w:bCs/>
          <w:lang w:val="fr-FR"/>
        </w:rPr>
        <w:t>02</w:t>
      </w:r>
      <w:r w:rsidRPr="00AF62BF">
        <w:rPr>
          <w:lang w:val="fr-FR"/>
        </w:rPr>
        <w:t>.</w:t>
      </w:r>
    </w:p>
    <w:p w:rsidR="00AF62BF" w:rsidRDefault="00C03857" w:rsidP="00AF62BF">
      <w:pPr>
        <w:pStyle w:val="SingleTxtG"/>
        <w:spacing w:after="240"/>
        <w:jc w:val="left"/>
        <w:rPr>
          <w:lang w:val="fr-FR"/>
        </w:rPr>
      </w:pPr>
      <w:r>
        <w:rPr>
          <w:lang w:val="fr-FR"/>
        </w:rPr>
        <w:t>Modèle </w:t>
      </w:r>
      <w:r w:rsidR="00AF62BF" w:rsidRPr="00AF62BF">
        <w:rPr>
          <w:lang w:val="fr-FR"/>
        </w:rPr>
        <w:t>B</w:t>
      </w:r>
      <w:r>
        <w:rPr>
          <w:lang w:val="fr-FR"/>
        </w:rPr>
        <w:t xml:space="preserve"> </w:t>
      </w:r>
      <w:r w:rsidR="00AF62BF" w:rsidRPr="00AF62BF">
        <w:rPr>
          <w:lang w:val="fr-FR"/>
        </w:rPr>
        <w:br/>
        <w:t>(Voir par. 5.5 du présent Règlement)</w:t>
      </w:r>
    </w:p>
    <w:p w:rsidR="00AF62BF" w:rsidRDefault="00AF62BF" w:rsidP="00AF62BF">
      <w:pPr>
        <w:pStyle w:val="SingleTxtG"/>
        <w:jc w:val="left"/>
        <w:rPr>
          <w:lang w:val="fr-FR"/>
        </w:rPr>
      </w:pPr>
      <w:r>
        <w:rPr>
          <w:noProof/>
          <w:lang w:val="en-GB" w:eastAsia="en-GB"/>
        </w:rPr>
        <w:drawing>
          <wp:inline distT="0" distB="0" distL="0" distR="0" wp14:anchorId="6449C4E9" wp14:editId="7D140A03">
            <wp:extent cx="4653915" cy="8439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3915" cy="843915"/>
                    </a:xfrm>
                    <a:prstGeom prst="rect">
                      <a:avLst/>
                    </a:prstGeom>
                    <a:noFill/>
                    <a:ln>
                      <a:noFill/>
                    </a:ln>
                  </pic:spPr>
                </pic:pic>
              </a:graphicData>
            </a:graphic>
          </wp:inline>
        </w:drawing>
      </w:r>
    </w:p>
    <w:p w:rsidR="008623F0" w:rsidRDefault="00AF62BF" w:rsidP="00AF62BF">
      <w:pPr>
        <w:suppressAutoHyphens w:val="0"/>
        <w:spacing w:before="240" w:after="240"/>
        <w:ind w:left="1134" w:right="1134" w:firstLine="567"/>
        <w:jc w:val="both"/>
        <w:rPr>
          <w:lang w:val="fr-FR"/>
        </w:rPr>
        <w:sectPr w:rsidR="008623F0" w:rsidSect="00E618BE">
          <w:footnotePr>
            <w:numRestart w:val="eachSect"/>
          </w:footnotePr>
          <w:endnotePr>
            <w:numFmt w:val="decimal"/>
          </w:endnotePr>
          <w:pgSz w:w="11906" w:h="16838" w:code="9"/>
          <w:pgMar w:top="1417" w:right="1134" w:bottom="1134" w:left="1134" w:header="850" w:footer="567" w:gutter="0"/>
          <w:cols w:space="708"/>
          <w:docGrid w:linePitch="360"/>
        </w:sectPr>
      </w:pPr>
      <w:r w:rsidRPr="008933B9">
        <w:rPr>
          <w:lang w:val="fr-FR"/>
        </w:rPr>
        <w:t>La marque d</w:t>
      </w:r>
      <w:r>
        <w:rPr>
          <w:lang w:val="fr-FR"/>
        </w:rPr>
        <w:t>’</w:t>
      </w:r>
      <w:r w:rsidRPr="008933B9">
        <w:rPr>
          <w:lang w:val="fr-FR"/>
        </w:rPr>
        <w:t xml:space="preserve">homologation ci-dessus, apposée sur un </w:t>
      </w:r>
      <w:r w:rsidRPr="005F6415">
        <w:rPr>
          <w:lang w:val="fr-FR"/>
        </w:rPr>
        <w:t>véhicule</w:t>
      </w:r>
      <w:r w:rsidRPr="008933B9">
        <w:rPr>
          <w:lang w:val="fr-FR"/>
        </w:rPr>
        <w:t xml:space="preserve">, indique que le type de ce </w:t>
      </w:r>
      <w:r w:rsidRPr="005F6415">
        <w:rPr>
          <w:lang w:val="fr-FR"/>
        </w:rPr>
        <w:t>véhicule</w:t>
      </w:r>
      <w:r w:rsidRPr="008933B9">
        <w:rPr>
          <w:b/>
          <w:lang w:val="fr-FR"/>
        </w:rPr>
        <w:t xml:space="preserve"> </w:t>
      </w:r>
      <w:r w:rsidRPr="008933B9">
        <w:rPr>
          <w:lang w:val="fr-FR"/>
        </w:rPr>
        <w:t xml:space="preserve">a été homologué aux Pays-Bas (E4), en application des Règlements </w:t>
      </w:r>
      <w:r w:rsidRPr="008933B9">
        <w:rPr>
          <w:rFonts w:eastAsia="MS Mincho"/>
          <w:lang w:val="fr-FR"/>
        </w:rPr>
        <w:t>n</w:t>
      </w:r>
      <w:r w:rsidRPr="008933B9">
        <w:rPr>
          <w:rFonts w:eastAsia="MS Mincho"/>
          <w:vertAlign w:val="superscript"/>
          <w:lang w:val="fr-FR"/>
        </w:rPr>
        <w:t>os</w:t>
      </w:r>
      <w:r w:rsidRPr="008933B9">
        <w:rPr>
          <w:lang w:val="fr-FR"/>
        </w:rPr>
        <w:t> 63 et</w:t>
      </w:r>
      <w:r>
        <w:rPr>
          <w:lang w:val="fr-FR"/>
        </w:rPr>
        <w:t> </w:t>
      </w:r>
      <w:r w:rsidRPr="008933B9">
        <w:rPr>
          <w:lang w:val="fr-FR"/>
        </w:rPr>
        <w:t>33</w:t>
      </w:r>
      <w:r w:rsidRPr="005F6415">
        <w:rPr>
          <w:rStyle w:val="FootnoteReference"/>
        </w:rPr>
        <w:footnoteReference w:id="11"/>
      </w:r>
      <w:r w:rsidRPr="008933B9">
        <w:rPr>
          <w:lang w:val="fr-FR"/>
        </w:rPr>
        <w:t>. Les numéros d</w:t>
      </w:r>
      <w:r>
        <w:rPr>
          <w:lang w:val="fr-FR"/>
        </w:rPr>
        <w:t>’</w:t>
      </w:r>
      <w:r w:rsidRPr="008933B9">
        <w:rPr>
          <w:lang w:val="fr-FR"/>
        </w:rPr>
        <w:t>homologation signifient qu</w:t>
      </w:r>
      <w:r>
        <w:rPr>
          <w:lang w:val="fr-FR"/>
        </w:rPr>
        <w:t>’</w:t>
      </w:r>
      <w:r w:rsidRPr="008933B9">
        <w:rPr>
          <w:lang w:val="fr-FR"/>
        </w:rPr>
        <w:t xml:space="preserve">aux dates où les homologations respectives ont été délivrées, le Règlement </w:t>
      </w:r>
      <w:r w:rsidRPr="008933B9">
        <w:rPr>
          <w:rFonts w:eastAsia="MS Mincho"/>
          <w:lang w:val="fr-FR"/>
        </w:rPr>
        <w:t>n</w:t>
      </w:r>
      <w:r w:rsidRPr="008933B9">
        <w:rPr>
          <w:rFonts w:eastAsia="MS Mincho"/>
          <w:vertAlign w:val="superscript"/>
          <w:lang w:val="fr-FR"/>
        </w:rPr>
        <w:t>o</w:t>
      </w:r>
      <w:r w:rsidRPr="008933B9">
        <w:rPr>
          <w:lang w:val="fr-FR"/>
        </w:rPr>
        <w:t> 63 comprenait déjà la série</w:t>
      </w:r>
      <w:r>
        <w:rPr>
          <w:lang w:val="fr-FR"/>
        </w:rPr>
        <w:t> </w:t>
      </w:r>
      <w:r w:rsidRPr="008933B9">
        <w:rPr>
          <w:lang w:val="fr-FR"/>
        </w:rPr>
        <w:t>02 d</w:t>
      </w:r>
      <w:r>
        <w:rPr>
          <w:lang w:val="fr-FR"/>
        </w:rPr>
        <w:t>’</w:t>
      </w:r>
      <w:r w:rsidRPr="008933B9">
        <w:rPr>
          <w:lang w:val="fr-FR"/>
        </w:rPr>
        <w:t xml:space="preserve">amendements et que le Règlement </w:t>
      </w:r>
      <w:r w:rsidRPr="008933B9">
        <w:rPr>
          <w:rFonts w:eastAsia="MS Mincho"/>
          <w:lang w:val="fr-FR"/>
        </w:rPr>
        <w:t>n</w:t>
      </w:r>
      <w:r w:rsidRPr="008933B9">
        <w:rPr>
          <w:rFonts w:eastAsia="MS Mincho"/>
          <w:vertAlign w:val="superscript"/>
          <w:lang w:val="fr-FR"/>
        </w:rPr>
        <w:t>o</w:t>
      </w:r>
      <w:r w:rsidRPr="008933B9">
        <w:rPr>
          <w:lang w:val="fr-FR"/>
        </w:rPr>
        <w:t> 33 avait été aussi modifié</w:t>
      </w:r>
      <w:r>
        <w:rPr>
          <w:lang w:val="fr-FR"/>
        </w:rPr>
        <w:t>,</w:t>
      </w:r>
      <w:r w:rsidRPr="008933B9">
        <w:rPr>
          <w:lang w:val="fr-FR"/>
        </w:rPr>
        <w:t xml:space="preserve"> par la série</w:t>
      </w:r>
      <w:r>
        <w:rPr>
          <w:lang w:val="fr-FR"/>
        </w:rPr>
        <w:t> </w:t>
      </w:r>
      <w:r w:rsidRPr="008933B9">
        <w:rPr>
          <w:lang w:val="fr-FR"/>
        </w:rPr>
        <w:t>01 d</w:t>
      </w:r>
      <w:r>
        <w:rPr>
          <w:lang w:val="fr-FR"/>
        </w:rPr>
        <w:t>’</w:t>
      </w:r>
      <w:r w:rsidRPr="008933B9">
        <w:rPr>
          <w:lang w:val="fr-FR"/>
        </w:rPr>
        <w:t>amendements.</w:t>
      </w:r>
      <w:r w:rsidR="008623F0">
        <w:rPr>
          <w:lang w:val="fr-FR"/>
        </w:rPr>
        <w:t xml:space="preserve"> </w:t>
      </w:r>
    </w:p>
    <w:p w:rsidR="00AF62BF" w:rsidRPr="00AF62BF" w:rsidRDefault="00AF62BF" w:rsidP="00AF62BF">
      <w:pPr>
        <w:pStyle w:val="HChG"/>
        <w:rPr>
          <w:lang w:val="fr-FR"/>
        </w:rPr>
      </w:pPr>
      <w:r>
        <w:rPr>
          <w:lang w:val="fr-FR"/>
        </w:rPr>
        <w:t>Annexe </w:t>
      </w:r>
      <w:r w:rsidRPr="00AF62BF">
        <w:rPr>
          <w:lang w:val="fr-FR"/>
        </w:rPr>
        <w:t>3</w:t>
      </w:r>
    </w:p>
    <w:p w:rsidR="00AF62BF" w:rsidRPr="00AF62BF" w:rsidRDefault="00AF62BF" w:rsidP="00AF62BF">
      <w:pPr>
        <w:pStyle w:val="HChG"/>
        <w:rPr>
          <w:u w:val="single"/>
          <w:lang w:val="fr-FR"/>
        </w:rPr>
      </w:pPr>
      <w:r>
        <w:rPr>
          <w:lang w:val="fr-FR"/>
        </w:rPr>
        <w:tab/>
      </w:r>
      <w:r>
        <w:rPr>
          <w:lang w:val="fr-FR"/>
        </w:rPr>
        <w:tab/>
      </w:r>
      <w:r w:rsidRPr="00AF62BF">
        <w:rPr>
          <w:lang w:val="fr-FR"/>
        </w:rPr>
        <w:t>Méthodes et appareils de mesure</w:t>
      </w:r>
      <w:r w:rsidR="00081AA8">
        <w:rPr>
          <w:lang w:val="fr-FR"/>
        </w:rPr>
        <w:t xml:space="preserve"> </w:t>
      </w:r>
      <w:r w:rsidRPr="00AF62BF">
        <w:rPr>
          <w:lang w:val="fr-FR"/>
        </w:rPr>
        <w:t xml:space="preserve">des émissions sonores </w:t>
      </w:r>
      <w:r>
        <w:rPr>
          <w:lang w:val="fr-FR"/>
        </w:rPr>
        <w:br/>
      </w:r>
      <w:r w:rsidRPr="00AF62BF">
        <w:rPr>
          <w:lang w:val="fr-FR"/>
        </w:rPr>
        <w:t xml:space="preserve">des véhicules </w:t>
      </w:r>
      <w:r>
        <w:rPr>
          <w:lang w:val="fr-FR"/>
        </w:rPr>
        <w:t>de la catégorie </w:t>
      </w:r>
      <w:r w:rsidRPr="00AF62BF">
        <w:rPr>
          <w:lang w:val="fr-FR"/>
        </w:rPr>
        <w:t>L</w:t>
      </w:r>
      <w:r w:rsidRPr="00AF62BF">
        <w:rPr>
          <w:vertAlign w:val="subscript"/>
          <w:lang w:val="fr-FR"/>
        </w:rPr>
        <w:t>1</w:t>
      </w:r>
    </w:p>
    <w:p w:rsidR="00AF62BF" w:rsidRPr="00AF62BF" w:rsidRDefault="00AF62BF" w:rsidP="008330FB">
      <w:pPr>
        <w:pStyle w:val="SingleTxtG"/>
        <w:keepNext/>
        <w:keepLines/>
        <w:ind w:left="2268" w:hanging="1134"/>
        <w:jc w:val="left"/>
        <w:rPr>
          <w:lang w:val="fr-FR"/>
        </w:rPr>
      </w:pPr>
      <w:r w:rsidRPr="00AF62BF">
        <w:rPr>
          <w:lang w:val="fr-FR"/>
        </w:rPr>
        <w:t>1.</w:t>
      </w:r>
      <w:r w:rsidRPr="00AF62BF">
        <w:rPr>
          <w:lang w:val="fr-FR"/>
        </w:rPr>
        <w:tab/>
        <w:t>Appareils de mesure</w:t>
      </w:r>
    </w:p>
    <w:p w:rsidR="00AF62BF" w:rsidRPr="00AF62BF" w:rsidRDefault="00AF62BF" w:rsidP="008330FB">
      <w:pPr>
        <w:pStyle w:val="SingleTxtG"/>
        <w:keepNext/>
        <w:keepLines/>
        <w:ind w:left="2268" w:hanging="1134"/>
        <w:jc w:val="left"/>
        <w:rPr>
          <w:lang w:val="fr-FR"/>
        </w:rPr>
      </w:pPr>
      <w:r w:rsidRPr="00AF62BF">
        <w:rPr>
          <w:lang w:val="fr-FR"/>
        </w:rPr>
        <w:t>1.1</w:t>
      </w:r>
      <w:r w:rsidRPr="00AF62BF">
        <w:rPr>
          <w:lang w:val="fr-FR"/>
        </w:rPr>
        <w:tab/>
        <w:t>Mesures acoustiques</w:t>
      </w:r>
    </w:p>
    <w:p w:rsidR="00AF62BF" w:rsidRPr="00AF62BF" w:rsidRDefault="00AF62BF" w:rsidP="008330FB">
      <w:pPr>
        <w:pStyle w:val="SingleTxtG"/>
        <w:keepNext/>
        <w:keepLines/>
        <w:ind w:left="2268" w:hanging="1134"/>
        <w:jc w:val="left"/>
        <w:rPr>
          <w:lang w:val="fr-FR"/>
        </w:rPr>
      </w:pPr>
      <w:r w:rsidRPr="00AF62BF">
        <w:rPr>
          <w:lang w:val="fr-FR"/>
        </w:rPr>
        <w:t>1.1.1</w:t>
      </w:r>
      <w:r w:rsidRPr="00AF62BF">
        <w:rPr>
          <w:lang w:val="fr-FR"/>
        </w:rPr>
        <w:tab/>
        <w:t>Considérations générales</w:t>
      </w:r>
    </w:p>
    <w:p w:rsidR="00AF62BF" w:rsidRPr="00AF62BF" w:rsidRDefault="00AF62BF" w:rsidP="008330FB">
      <w:pPr>
        <w:pStyle w:val="SingleTxtG"/>
        <w:ind w:left="2268"/>
        <w:rPr>
          <w:lang w:val="fr-FR"/>
        </w:rPr>
      </w:pPr>
      <w:r w:rsidRPr="00AF62BF">
        <w:rPr>
          <w:lang w:val="fr-FR"/>
        </w:rPr>
        <w:t>Le niveau sonore doit être mesuré au moyen d’un sonomètre ou d’un appareil de mesure équivalent conforme aux prescriptions des instruments de classe 1 (y compris le pare-vent recommandé, le cas échéant). Ces prescriptions sont définies dans la norme 61672</w:t>
      </w:r>
      <w:r w:rsidRPr="00AF62BF">
        <w:rPr>
          <w:lang w:val="fr-FR"/>
        </w:rPr>
        <w:noBreakHyphen/>
        <w:t xml:space="preserve">1:2013 de la CEI. Les mesures doivent être effectuées en utilisant la courbe </w:t>
      </w:r>
      <w:r w:rsidRPr="00AF62BF">
        <w:t>“</w:t>
      </w:r>
      <w:r w:rsidRPr="00AF62BF">
        <w:rPr>
          <w:lang w:val="fr-FR"/>
        </w:rPr>
        <w:t>F</w:t>
      </w:r>
      <w:r w:rsidRPr="00AF62BF">
        <w:t>”</w:t>
      </w:r>
      <w:r w:rsidRPr="00AF62BF">
        <w:rPr>
          <w:lang w:val="fr-FR"/>
        </w:rPr>
        <w:t xml:space="preserve"> de pondération en fonction du temps de l’instrument de mesure acoustique et la courbe de pondération de fréquence </w:t>
      </w:r>
      <w:r w:rsidRPr="00AF62BF">
        <w:t>“</w:t>
      </w:r>
      <w:r w:rsidRPr="00AF62BF">
        <w:rPr>
          <w:lang w:val="fr-FR"/>
        </w:rPr>
        <w:t>A</w:t>
      </w:r>
      <w:r w:rsidRPr="00AF62BF">
        <w:t>”,</w:t>
      </w:r>
      <w:r w:rsidRPr="00AF62BF">
        <w:rPr>
          <w:lang w:val="fr-FR"/>
        </w:rPr>
        <w:t xml:space="preserve"> qui</w:t>
      </w:r>
      <w:r w:rsidR="00081AA8">
        <w:rPr>
          <w:lang w:val="fr-FR"/>
        </w:rPr>
        <w:t xml:space="preserve"> </w:t>
      </w:r>
      <w:r w:rsidRPr="00AF62BF">
        <w:rPr>
          <w:lang w:val="fr-FR"/>
        </w:rPr>
        <w:t>sont elles aussi définies dans la norme CEI 61672</w:t>
      </w:r>
      <w:r w:rsidRPr="00AF62BF">
        <w:rPr>
          <w:lang w:val="fr-FR"/>
        </w:rPr>
        <w:noBreakHyphen/>
        <w:t>1:2013. Si l’appareil utilisé permet la surveillance périodique du niveau de pression acoustique pondéré A, la lecture des résultats devrait se faire à des intervalles ne dépassant pas 30 ms. Les appareils doivent être entretenus et étalonnés conformément aux instructions de leur fabricant.</w:t>
      </w:r>
    </w:p>
    <w:p w:rsidR="00AF62BF" w:rsidRPr="00AF62BF" w:rsidRDefault="00AF62BF" w:rsidP="008330FB">
      <w:pPr>
        <w:pStyle w:val="SingleTxtG"/>
        <w:keepNext/>
        <w:keepLines/>
        <w:ind w:left="2268" w:hanging="1134"/>
        <w:jc w:val="left"/>
        <w:rPr>
          <w:lang w:val="fr-FR"/>
        </w:rPr>
      </w:pPr>
      <w:r w:rsidRPr="00AF62BF">
        <w:rPr>
          <w:lang w:val="fr-FR"/>
        </w:rPr>
        <w:t>1.1.2</w:t>
      </w:r>
      <w:r w:rsidRPr="00AF62BF">
        <w:rPr>
          <w:lang w:val="fr-FR"/>
        </w:rPr>
        <w:tab/>
        <w:t>Étalonnage</w:t>
      </w:r>
    </w:p>
    <w:p w:rsidR="00AF62BF" w:rsidRPr="00AF62BF" w:rsidRDefault="00AF62BF" w:rsidP="008330FB">
      <w:pPr>
        <w:pStyle w:val="SingleTxtG"/>
        <w:ind w:left="2268"/>
        <w:rPr>
          <w:lang w:val="fr-FR"/>
        </w:rPr>
      </w:pPr>
      <w:r w:rsidRPr="00AF62BF">
        <w:rPr>
          <w:lang w:val="fr-FR"/>
        </w:rPr>
        <w:t>Au début et à la fin de chaque séance de mesure, la totalité du système de mesure acoustique doit être vérifiée au moyen d’un appareil d’étalonnage conforme aux prescriptions des appareils de la classe 1, conformément à la norme CEI 60942:2003. Sans aucun réglage ultérieur, la différence entre les valeurs obtenues ne doit pas dépasser 0,5 dB(A). Si tel n’est pas le cas, les valeurs obtenues après la dernière vérification satisfaisante ne sont pas prises en considération.</w:t>
      </w:r>
    </w:p>
    <w:p w:rsidR="00AF62BF" w:rsidRPr="00AF62BF" w:rsidRDefault="00AF62BF" w:rsidP="008330FB">
      <w:pPr>
        <w:pStyle w:val="SingleTxtG"/>
        <w:keepNext/>
        <w:keepLines/>
        <w:ind w:left="2268" w:hanging="1134"/>
        <w:jc w:val="left"/>
        <w:rPr>
          <w:lang w:val="fr-FR"/>
        </w:rPr>
      </w:pPr>
      <w:r w:rsidRPr="00AF62BF">
        <w:rPr>
          <w:lang w:val="fr-FR"/>
        </w:rPr>
        <w:t>1.1.3</w:t>
      </w:r>
      <w:r w:rsidRPr="00AF62BF">
        <w:rPr>
          <w:lang w:val="fr-FR"/>
        </w:rPr>
        <w:tab/>
        <w:t>Vérification de la conformité</w:t>
      </w:r>
    </w:p>
    <w:p w:rsidR="00AF62BF" w:rsidRPr="00AF62BF" w:rsidRDefault="00AF62BF" w:rsidP="008330FB">
      <w:pPr>
        <w:pStyle w:val="SingleTxtG"/>
        <w:ind w:left="2268"/>
        <w:rPr>
          <w:lang w:val="fr-FR"/>
        </w:rPr>
      </w:pPr>
      <w:r w:rsidRPr="00AF62BF">
        <w:rPr>
          <w:lang w:val="fr-FR"/>
        </w:rPr>
        <w:tab/>
        <w:t>La conformité de l’appareil d’étalonnage avec les prescriptions de la norme CEI 60942:2003 doit être vérifiée une fois par an. La conformité des appareils de mesure avec les prescriptions de la norme CEI 61672-1:2013 doit être vérifiée au moins tous les deux ans. Toutes ces vérifications doivent être effectuées par un laboratoire agréé pour procéder à des étalonnages conformément aux normes appropriées.</w:t>
      </w:r>
    </w:p>
    <w:p w:rsidR="00AF62BF" w:rsidRPr="00AF62BF" w:rsidRDefault="00AF62BF" w:rsidP="008330FB">
      <w:pPr>
        <w:pStyle w:val="SingleTxtG"/>
        <w:keepNext/>
        <w:keepLines/>
        <w:ind w:left="2268" w:hanging="1134"/>
        <w:jc w:val="left"/>
        <w:rPr>
          <w:lang w:val="fr-FR"/>
        </w:rPr>
      </w:pPr>
      <w:r w:rsidRPr="00AF62BF">
        <w:rPr>
          <w:lang w:val="fr-FR"/>
        </w:rPr>
        <w:t>1.2</w:t>
      </w:r>
      <w:r w:rsidRPr="00AF62BF">
        <w:rPr>
          <w:lang w:val="fr-FR"/>
        </w:rPr>
        <w:tab/>
        <w:t>Instruments de mesure du régime moteur et de la vitesse du véhicule</w:t>
      </w:r>
    </w:p>
    <w:p w:rsidR="00AF62BF" w:rsidRPr="00AF62BF" w:rsidRDefault="00AF62BF" w:rsidP="008330FB">
      <w:pPr>
        <w:pStyle w:val="SingleTxtG"/>
        <w:ind w:left="2268"/>
        <w:rPr>
          <w:lang w:val="fr-FR"/>
        </w:rPr>
      </w:pPr>
      <w:r w:rsidRPr="00AF62BF">
        <w:rPr>
          <w:lang w:val="fr-FR"/>
        </w:rPr>
        <w:t xml:space="preserve">Le régime moteur doit être mesuré au moyen d’un instrument d’une exactitude d’au moins </w:t>
      </w:r>
      <w:r w:rsidRPr="00AF62BF">
        <w:rPr>
          <w:lang w:val="fr-FR"/>
        </w:rPr>
        <w:sym w:font="Symbol" w:char="F0B1"/>
      </w:r>
      <w:r w:rsidRPr="00AF62BF">
        <w:rPr>
          <w:lang w:val="fr-FR"/>
        </w:rPr>
        <w:t>2 % aux régimes moteur prescrits pour les mesures.</w:t>
      </w:r>
    </w:p>
    <w:p w:rsidR="00AF62BF" w:rsidRPr="00AF62BF" w:rsidRDefault="00AF62BF" w:rsidP="008330FB">
      <w:pPr>
        <w:pStyle w:val="SingleTxtG"/>
        <w:ind w:left="2268"/>
        <w:rPr>
          <w:lang w:val="fr-FR"/>
        </w:rPr>
      </w:pPr>
      <w:r w:rsidRPr="00AF62BF">
        <w:rPr>
          <w:lang w:val="fr-FR"/>
        </w:rPr>
        <w:t xml:space="preserve">La vitesse du véhicule doit être mesurée au moyen d’instruments d’une exactitude d’au moins </w:t>
      </w:r>
      <w:r w:rsidRPr="00AF62BF">
        <w:rPr>
          <w:lang w:val="fr-FR"/>
        </w:rPr>
        <w:sym w:font="Symbol" w:char="F0B1"/>
      </w:r>
      <w:r w:rsidRPr="00AF62BF">
        <w:rPr>
          <w:lang w:val="fr-FR"/>
        </w:rPr>
        <w:t xml:space="preserve">0,5 km/h en mesure continue. Si la mesure de la vitesse est effectuée à l’aide d’appareils distincts, ceux-ci doivent être conformes aux spécifications dans la limite de </w:t>
      </w:r>
      <w:r w:rsidRPr="00AF62BF">
        <w:rPr>
          <w:lang w:val="fr-FR"/>
        </w:rPr>
        <w:sym w:font="Symbol" w:char="F0B1"/>
      </w:r>
      <w:r w:rsidRPr="00AF62BF">
        <w:rPr>
          <w:lang w:val="fr-FR"/>
        </w:rPr>
        <w:t>0,2 km/h</w:t>
      </w:r>
      <w:r w:rsidRPr="00AF62BF">
        <w:rPr>
          <w:vertAlign w:val="superscript"/>
        </w:rPr>
        <w:footnoteReference w:id="12"/>
      </w:r>
      <w:r w:rsidRPr="00AF62BF">
        <w:rPr>
          <w:lang w:val="fr-FR"/>
        </w:rPr>
        <w:t>.</w:t>
      </w:r>
    </w:p>
    <w:p w:rsidR="00AF62BF" w:rsidRPr="00AF62BF" w:rsidRDefault="00AF62BF" w:rsidP="008330FB">
      <w:pPr>
        <w:pStyle w:val="SingleTxtG"/>
        <w:keepNext/>
        <w:keepLines/>
        <w:ind w:left="2268" w:hanging="1134"/>
        <w:jc w:val="left"/>
        <w:rPr>
          <w:lang w:val="fr-FR"/>
        </w:rPr>
      </w:pPr>
      <w:r w:rsidRPr="00AF62BF">
        <w:rPr>
          <w:lang w:val="fr-FR"/>
        </w:rPr>
        <w:t>1.5</w:t>
      </w:r>
      <w:r w:rsidRPr="00AF62BF">
        <w:rPr>
          <w:lang w:val="fr-FR"/>
        </w:rPr>
        <w:tab/>
        <w:t>Appareils de mesure météorologiques</w:t>
      </w:r>
    </w:p>
    <w:p w:rsidR="00AF62BF" w:rsidRPr="00AF62BF" w:rsidRDefault="00AF62BF" w:rsidP="00C528E2">
      <w:pPr>
        <w:pStyle w:val="SingleTxtG"/>
        <w:keepNext/>
        <w:keepLines/>
        <w:ind w:left="2268"/>
        <w:rPr>
          <w:lang w:val="fr-FR"/>
        </w:rPr>
      </w:pPr>
      <w:r w:rsidRPr="00AF62BF">
        <w:rPr>
          <w:lang w:val="fr-FR"/>
        </w:rPr>
        <w:t>Les appareils de mesure météorologiques utilisés pendant l’essai doivent satisfaire aux prescriptions suivantes :</w:t>
      </w:r>
    </w:p>
    <w:p w:rsidR="00AF62BF" w:rsidRPr="00AF62BF" w:rsidRDefault="00AF62BF" w:rsidP="008330FB">
      <w:pPr>
        <w:pStyle w:val="SingleTxtG"/>
        <w:ind w:left="2268"/>
        <w:rPr>
          <w:lang w:val="fr-FR"/>
        </w:rPr>
      </w:pPr>
      <w:r w:rsidRPr="00AF62BF">
        <w:rPr>
          <w:lang w:val="fr-FR"/>
        </w:rPr>
        <w:sym w:font="Symbol" w:char="F0B1"/>
      </w:r>
      <w:r w:rsidRPr="00AF62BF">
        <w:rPr>
          <w:lang w:val="fr-FR"/>
        </w:rPr>
        <w:t>1 °C au maximum pour les appareils servant à mesurer la température ;</w:t>
      </w:r>
    </w:p>
    <w:p w:rsidR="00AF62BF" w:rsidRPr="00AF62BF" w:rsidRDefault="00AF62BF" w:rsidP="008330FB">
      <w:pPr>
        <w:pStyle w:val="SingleTxtG"/>
        <w:ind w:left="2268"/>
        <w:rPr>
          <w:lang w:val="fr-FR"/>
        </w:rPr>
      </w:pPr>
      <w:r w:rsidRPr="00AF62BF">
        <w:rPr>
          <w:lang w:val="fr-FR"/>
        </w:rPr>
        <w:sym w:font="Symbol" w:char="F0B1"/>
      </w:r>
      <w:r w:rsidRPr="00AF62BF">
        <w:rPr>
          <w:lang w:val="fr-FR"/>
        </w:rPr>
        <w:t>1,0 m/s pour les appareils servant à mesurer la vitesse du vent ;</w:t>
      </w:r>
    </w:p>
    <w:p w:rsidR="00AF62BF" w:rsidRPr="00AF62BF" w:rsidRDefault="00AF62BF" w:rsidP="008330FB">
      <w:pPr>
        <w:pStyle w:val="SingleTxtG"/>
        <w:ind w:left="2268"/>
        <w:rPr>
          <w:lang w:val="fr-FR"/>
        </w:rPr>
      </w:pPr>
      <w:r w:rsidRPr="00AF62BF">
        <w:rPr>
          <w:lang w:val="fr-FR"/>
        </w:rPr>
        <w:sym w:font="Symbol" w:char="F0B1"/>
      </w:r>
      <w:r w:rsidRPr="00AF62BF">
        <w:rPr>
          <w:lang w:val="fr-FR"/>
        </w:rPr>
        <w:t>5 hPa pour les appareils servant à mesurer la pression atmosphérique ;</w:t>
      </w:r>
    </w:p>
    <w:p w:rsidR="00AF62BF" w:rsidRPr="00AF62BF" w:rsidRDefault="00AF62BF" w:rsidP="008330FB">
      <w:pPr>
        <w:pStyle w:val="SingleTxtG"/>
        <w:ind w:left="2268"/>
        <w:rPr>
          <w:lang w:val="fr-FR"/>
        </w:rPr>
      </w:pPr>
      <w:r w:rsidRPr="00AF62BF">
        <w:rPr>
          <w:lang w:val="fr-FR"/>
        </w:rPr>
        <w:sym w:font="Symbol" w:char="F0B1"/>
      </w:r>
      <w:r w:rsidRPr="00AF62BF">
        <w:rPr>
          <w:lang w:val="fr-FR"/>
        </w:rPr>
        <w:t>5 % pour les appareils servant à mesurer l’humidité relative.</w:t>
      </w:r>
    </w:p>
    <w:p w:rsidR="00AF62BF" w:rsidRPr="00AF62BF" w:rsidRDefault="00AF62BF" w:rsidP="008330FB">
      <w:pPr>
        <w:pStyle w:val="SingleTxtG"/>
        <w:keepNext/>
        <w:keepLines/>
        <w:ind w:left="2268" w:hanging="1134"/>
        <w:jc w:val="left"/>
        <w:rPr>
          <w:lang w:val="fr-FR"/>
        </w:rPr>
      </w:pPr>
      <w:r w:rsidRPr="00AF62BF">
        <w:rPr>
          <w:lang w:val="fr-FR"/>
        </w:rPr>
        <w:t>2.</w:t>
      </w:r>
      <w:r w:rsidRPr="00AF62BF">
        <w:rPr>
          <w:lang w:val="fr-FR"/>
        </w:rPr>
        <w:tab/>
        <w:t>Conditions de mesure</w:t>
      </w:r>
    </w:p>
    <w:p w:rsidR="00AF62BF" w:rsidRPr="00AF62BF" w:rsidRDefault="00AF62BF" w:rsidP="008330FB">
      <w:pPr>
        <w:pStyle w:val="SingleTxtG"/>
        <w:keepNext/>
        <w:keepLines/>
        <w:ind w:left="2268" w:hanging="1134"/>
        <w:jc w:val="left"/>
        <w:rPr>
          <w:b/>
          <w:lang w:val="fr-FR"/>
        </w:rPr>
      </w:pPr>
      <w:r w:rsidRPr="00AF62BF">
        <w:rPr>
          <w:lang w:val="fr-FR"/>
        </w:rPr>
        <w:t>2.1</w:t>
      </w:r>
      <w:r w:rsidRPr="00AF62BF">
        <w:rPr>
          <w:lang w:val="fr-FR"/>
        </w:rPr>
        <w:tab/>
        <w:t>Terrain d’essai, conditions météorologiques et correction du niveau de bruit de fond</w:t>
      </w:r>
    </w:p>
    <w:p w:rsidR="00AF62BF" w:rsidRPr="00AF62BF" w:rsidRDefault="00AF62BF" w:rsidP="008330FB">
      <w:pPr>
        <w:pStyle w:val="SingleTxtG"/>
        <w:keepNext/>
        <w:keepLines/>
        <w:ind w:left="2268" w:hanging="1134"/>
        <w:jc w:val="left"/>
        <w:rPr>
          <w:b/>
          <w:lang w:val="fr-FR"/>
        </w:rPr>
      </w:pPr>
      <w:r w:rsidRPr="00AF62BF">
        <w:rPr>
          <w:lang w:val="fr-FR"/>
        </w:rPr>
        <w:t>2.1.1</w:t>
      </w:r>
      <w:r w:rsidRPr="00AF62BF">
        <w:rPr>
          <w:lang w:val="fr-FR"/>
        </w:rPr>
        <w:tab/>
        <w:t>Terrain d’essai</w:t>
      </w:r>
    </w:p>
    <w:p w:rsidR="00AF62BF" w:rsidRPr="00AF62BF" w:rsidRDefault="00AF62BF" w:rsidP="008330FB">
      <w:pPr>
        <w:pStyle w:val="SingleTxtG"/>
        <w:ind w:left="2268"/>
        <w:rPr>
          <w:lang w:val="fr-FR"/>
        </w:rPr>
      </w:pPr>
      <w:r w:rsidRPr="00AF62BF">
        <w:rPr>
          <w:lang w:val="fr-FR"/>
        </w:rPr>
        <w:t>Le terrain d’essai se compose d’une piste d’accélération centrale entourée d’une zone d’essai pratiquement plane. La piste d’accélération doit être horizontale ; son revêtement doit être sec et conçu de façon que les émissions de bruit de roulement restent faibles.</w:t>
      </w:r>
    </w:p>
    <w:p w:rsidR="00AF62BF" w:rsidRPr="00AF62BF" w:rsidRDefault="00AF62BF" w:rsidP="008330FB">
      <w:pPr>
        <w:pStyle w:val="SingleTxtG"/>
        <w:ind w:left="2268"/>
        <w:rPr>
          <w:lang w:val="fr-FR"/>
        </w:rPr>
      </w:pPr>
      <w:r w:rsidRPr="00AF62BF">
        <w:rPr>
          <w:lang w:val="fr-FR"/>
        </w:rPr>
        <w:t>Sur le terrain d’essai, les variations d’un champ acoustique libre entre la source sonore au centre de la piste d’accélération et le microphone sont maintenues dans un écart de moins de 1 dB. Cette condition est considérée comme remplie s’il n’y a pas d’objets volumineux réfléchissant le son, tels que clôture, rocher, pont ou bâtiment, à moins de 50 m du centre de la piste d’accélération.</w:t>
      </w:r>
    </w:p>
    <w:p w:rsidR="00AF62BF" w:rsidRPr="00AF62BF" w:rsidRDefault="00AF62BF" w:rsidP="008330FB">
      <w:pPr>
        <w:pStyle w:val="SingleTxtG"/>
        <w:ind w:left="2268"/>
        <w:rPr>
          <w:lang w:val="fr-FR"/>
        </w:rPr>
      </w:pPr>
      <w:r w:rsidRPr="00AF62BF">
        <w:rPr>
          <w:lang w:val="fr-FR"/>
        </w:rPr>
        <w:t>Aucun obstacle ne doit pouvoir perturber le champ acoustique au voisinage du microphone et personne ne doit se trouver entre le microphone et la source sonore. L’observateur chargé de faire les mesures doit se placer de façon à ne pas influencer les valeurs indiquées par l’appareil de mesure.</w:t>
      </w:r>
    </w:p>
    <w:p w:rsidR="00AF62BF" w:rsidRPr="00AF62BF" w:rsidRDefault="00AF62BF" w:rsidP="008330FB">
      <w:pPr>
        <w:pStyle w:val="SingleTxtG"/>
        <w:ind w:left="2268"/>
        <w:rPr>
          <w:b/>
          <w:lang w:val="fr-FR"/>
        </w:rPr>
      </w:pPr>
      <w:r w:rsidRPr="00AF62BF">
        <w:rPr>
          <w:lang w:val="fr-FR"/>
        </w:rPr>
        <w:tab/>
        <w:t>Le revêtement de la piste d’essai doit être conforme aux prescriptions de l’</w:t>
      </w:r>
      <w:r w:rsidR="008330FB">
        <w:rPr>
          <w:lang w:val="fr-FR"/>
        </w:rPr>
        <w:t>annexe </w:t>
      </w:r>
      <w:r w:rsidRPr="00AF62BF">
        <w:rPr>
          <w:lang w:val="fr-FR"/>
        </w:rPr>
        <w:t xml:space="preserve">5 du présent Règlement ou de </w:t>
      </w:r>
      <w:r w:rsidR="008330FB">
        <w:rPr>
          <w:lang w:val="fr-FR"/>
        </w:rPr>
        <w:t>la norme ISO </w:t>
      </w:r>
      <w:r w:rsidRPr="00AF62BF">
        <w:rPr>
          <w:lang w:val="fr-FR"/>
        </w:rPr>
        <w:t>10844:2014. Passé le délai indiqué au pa</w:t>
      </w:r>
      <w:r w:rsidR="008330FB">
        <w:rPr>
          <w:lang w:val="fr-FR"/>
        </w:rPr>
        <w:t>ragraphe </w:t>
      </w:r>
      <w:r w:rsidRPr="00AF62BF">
        <w:rPr>
          <w:lang w:val="fr-FR"/>
        </w:rPr>
        <w:t>10.8 du présent Règlement, on se réf</w:t>
      </w:r>
      <w:r w:rsidR="008330FB">
        <w:rPr>
          <w:lang w:val="fr-FR"/>
        </w:rPr>
        <w:t>érera uniquement à la norme ISO </w:t>
      </w:r>
      <w:r w:rsidRPr="00AF62BF">
        <w:rPr>
          <w:lang w:val="fr-FR"/>
        </w:rPr>
        <w:t>10844:2014.</w:t>
      </w:r>
    </w:p>
    <w:p w:rsidR="00AF62BF" w:rsidRPr="00AF62BF" w:rsidRDefault="00AF62BF" w:rsidP="008330FB">
      <w:pPr>
        <w:pStyle w:val="SingleTxtG"/>
        <w:keepNext/>
        <w:keepLines/>
        <w:ind w:left="2268" w:hanging="1134"/>
        <w:jc w:val="left"/>
        <w:rPr>
          <w:b/>
          <w:lang w:val="fr-FR"/>
        </w:rPr>
      </w:pPr>
      <w:r w:rsidRPr="00AF62BF">
        <w:rPr>
          <w:lang w:val="fr-FR"/>
        </w:rPr>
        <w:t>2.1.2</w:t>
      </w:r>
      <w:r w:rsidRPr="00AF62BF">
        <w:rPr>
          <w:lang w:val="fr-FR"/>
        </w:rPr>
        <w:tab/>
        <w:t>Conditions météorologiques et correction du niveau de bruit de fond</w:t>
      </w:r>
    </w:p>
    <w:p w:rsidR="00AF62BF" w:rsidRPr="00AF62BF" w:rsidRDefault="00AF62BF" w:rsidP="008330FB">
      <w:pPr>
        <w:pStyle w:val="SingleTxtG"/>
        <w:ind w:left="2268"/>
        <w:rPr>
          <w:bCs/>
          <w:lang w:val="fr-FR"/>
        </w:rPr>
      </w:pPr>
      <w:r w:rsidRPr="00AF62BF">
        <w:rPr>
          <w:lang w:val="fr-FR"/>
        </w:rPr>
        <w:t xml:space="preserve">Les mesures ne doivent pas être effectuées dans de mauvaises conditions atmosphériques. </w:t>
      </w:r>
      <w:r w:rsidRPr="00AF62BF">
        <w:rPr>
          <w:bCs/>
          <w:lang w:val="fr-FR"/>
        </w:rPr>
        <w:t>Les essais ne doivent pas être effectués si la vitesse du ven</w:t>
      </w:r>
      <w:r w:rsidR="00C528E2">
        <w:rPr>
          <w:bCs/>
          <w:lang w:val="fr-FR"/>
        </w:rPr>
        <w:t>t, y compris en rafale, dépasse </w:t>
      </w:r>
      <w:r w:rsidRPr="00AF62BF">
        <w:rPr>
          <w:bCs/>
          <w:lang w:val="fr-FR"/>
        </w:rPr>
        <w:t>5 m/s pendant la mesure du bruit.</w:t>
      </w:r>
    </w:p>
    <w:p w:rsidR="00AF62BF" w:rsidRPr="00AF62BF" w:rsidRDefault="00AF62BF" w:rsidP="008330FB">
      <w:pPr>
        <w:pStyle w:val="SingleTxtG"/>
        <w:ind w:left="2268"/>
        <w:rPr>
          <w:lang w:val="fr-FR"/>
        </w:rPr>
      </w:pPr>
      <w:r w:rsidRPr="00AF62BF">
        <w:rPr>
          <w:lang w:val="fr-FR"/>
        </w:rPr>
        <w:t>Pour les mesures, le niveau sonore pondéré (A) des sources acoustiques autres que celles</w:t>
      </w:r>
      <w:r w:rsidRPr="00AF62BF">
        <w:rPr>
          <w:b/>
          <w:lang w:val="fr-FR"/>
        </w:rPr>
        <w:t xml:space="preserve"> </w:t>
      </w:r>
      <w:r w:rsidRPr="00AF62BF">
        <w:rPr>
          <w:lang w:val="fr-FR"/>
        </w:rPr>
        <w:t>du véhicule à l’essai et le niveau sonore résultant de l’effet du vent doivent être inférieurs d’au moins 10 dB(A) au niveau sonore produit par le véhicule. Le microphone peut être doté d’un pare-vent approprié, à condition que son influence sur la sensibilité et les caractéristiques directionnelles du microphone soient prises en considération.</w:t>
      </w:r>
    </w:p>
    <w:p w:rsidR="00AF62BF" w:rsidRPr="00AF62BF" w:rsidRDefault="00AF62BF" w:rsidP="008330FB">
      <w:pPr>
        <w:pStyle w:val="SingleTxtG"/>
        <w:ind w:left="2268"/>
        <w:rPr>
          <w:lang w:val="fr-FR"/>
        </w:rPr>
      </w:pPr>
      <w:r w:rsidRPr="00AF62BF">
        <w:rPr>
          <w:lang w:val="fr-FR"/>
        </w:rPr>
        <w:t>Si la différence entre le bruit ambiant et les émissions sonores</w:t>
      </w:r>
      <w:r w:rsidRPr="00AF62BF">
        <w:rPr>
          <w:b/>
          <w:lang w:val="fr-FR"/>
        </w:rPr>
        <w:t xml:space="preserve"> </w:t>
      </w:r>
      <w:r w:rsidRPr="00AF62BF">
        <w:rPr>
          <w:lang w:val="fr-FR"/>
        </w:rPr>
        <w:t>à mesurer est comprise entre</w:t>
      </w:r>
      <w:r w:rsidR="008330FB">
        <w:rPr>
          <w:lang w:val="fr-FR"/>
        </w:rPr>
        <w:t> </w:t>
      </w:r>
      <w:r w:rsidRPr="00AF62BF">
        <w:rPr>
          <w:lang w:val="fr-FR"/>
        </w:rPr>
        <w:t>10 et 15</w:t>
      </w:r>
      <w:r w:rsidRPr="00AF62BF">
        <w:rPr>
          <w:b/>
          <w:lang w:val="fr-FR"/>
        </w:rPr>
        <w:t> </w:t>
      </w:r>
      <w:r w:rsidRPr="00AF62BF">
        <w:rPr>
          <w:lang w:val="fr-FR"/>
        </w:rPr>
        <w:t>dB(A), il convient de corriger en conséquence les valeurs données par le sonomètre, comme indiqué au table</w:t>
      </w:r>
      <w:r w:rsidR="008330FB">
        <w:rPr>
          <w:lang w:val="fr-FR"/>
        </w:rPr>
        <w:t>au </w:t>
      </w:r>
      <w:r w:rsidRPr="00AF62BF">
        <w:rPr>
          <w:lang w:val="fr-FR"/>
        </w:rPr>
        <w:t>1, pour calculer le résultat des essais.</w:t>
      </w:r>
    </w:p>
    <w:p w:rsidR="00AF62BF" w:rsidRDefault="00C528E2" w:rsidP="008330FB">
      <w:pPr>
        <w:pStyle w:val="SingleTxtG"/>
        <w:ind w:left="2268"/>
        <w:jc w:val="left"/>
        <w:rPr>
          <w:b/>
          <w:lang w:val="fr-FR"/>
        </w:rPr>
      </w:pPr>
      <w:r>
        <w:rPr>
          <w:lang w:val="fr-FR"/>
        </w:rPr>
        <w:t>Tableau </w:t>
      </w:r>
      <w:r w:rsidR="00AF62BF" w:rsidRPr="00AF62BF">
        <w:rPr>
          <w:lang w:val="fr-FR"/>
        </w:rPr>
        <w:t>1</w:t>
      </w:r>
      <w:r>
        <w:rPr>
          <w:lang w:val="fr-FR"/>
        </w:rPr>
        <w:t xml:space="preserve"> </w:t>
      </w:r>
      <w:r w:rsidR="00AF62BF" w:rsidRPr="00AF62BF">
        <w:rPr>
          <w:lang w:val="fr-FR"/>
        </w:rPr>
        <w:br/>
      </w:r>
      <w:r w:rsidR="00AF62BF" w:rsidRPr="00AF62BF">
        <w:rPr>
          <w:b/>
          <w:lang w:val="fr-FR"/>
        </w:rPr>
        <w:t>Correction appliquée aux valeurs d’essai mesurées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51"/>
        <w:gridCol w:w="481"/>
        <w:gridCol w:w="481"/>
        <w:gridCol w:w="481"/>
        <w:gridCol w:w="481"/>
        <w:gridCol w:w="481"/>
        <w:gridCol w:w="481"/>
      </w:tblGrid>
      <w:tr w:rsidR="008330FB" w:rsidRPr="008330FB" w:rsidTr="0012315E">
        <w:trPr>
          <w:tblHeader/>
        </w:trPr>
        <w:tc>
          <w:tcPr>
            <w:tcW w:w="3351" w:type="dxa"/>
            <w:tcBorders>
              <w:bottom w:val="single" w:sz="12" w:space="0" w:color="auto"/>
            </w:tcBorders>
            <w:shd w:val="clear" w:color="auto" w:fill="auto"/>
            <w:vAlign w:val="bottom"/>
          </w:tcPr>
          <w:p w:rsidR="008330FB" w:rsidRPr="008330FB" w:rsidRDefault="008330FB" w:rsidP="00816D45">
            <w:pPr>
              <w:suppressAutoHyphens w:val="0"/>
              <w:spacing w:before="80" w:after="80" w:line="200" w:lineRule="exact"/>
              <w:ind w:left="57" w:right="57"/>
              <w:rPr>
                <w:i/>
                <w:sz w:val="16"/>
                <w:lang w:val="fr-FR"/>
              </w:rPr>
            </w:pPr>
            <w:r w:rsidRPr="008330FB">
              <w:rPr>
                <w:i/>
                <w:sz w:val="16"/>
                <w:lang w:val="fr-FR"/>
              </w:rPr>
              <w:t>Différence entre la pression acoustique du bruit</w:t>
            </w:r>
            <w:r w:rsidR="00816D45">
              <w:rPr>
                <w:i/>
                <w:sz w:val="16"/>
                <w:lang w:val="fr-FR"/>
              </w:rPr>
              <w:t xml:space="preserve"> </w:t>
            </w:r>
            <w:r w:rsidRPr="008330FB">
              <w:rPr>
                <w:i/>
                <w:sz w:val="16"/>
                <w:lang w:val="fr-FR"/>
              </w:rPr>
              <w:br/>
              <w:t>de fond et la pression acoustique mesurée (en dB)</w:t>
            </w:r>
          </w:p>
        </w:tc>
        <w:tc>
          <w:tcPr>
            <w:tcW w:w="481" w:type="dxa"/>
            <w:tcBorders>
              <w:bottom w:val="single" w:sz="12" w:space="0" w:color="auto"/>
            </w:tcBorders>
            <w:shd w:val="clear" w:color="auto" w:fill="auto"/>
            <w:vAlign w:val="bottom"/>
          </w:tcPr>
          <w:p w:rsidR="008330FB" w:rsidRPr="008330FB" w:rsidRDefault="008330FB" w:rsidP="00816D45">
            <w:pPr>
              <w:suppressAutoHyphens w:val="0"/>
              <w:spacing w:before="80" w:after="80" w:line="200" w:lineRule="exact"/>
              <w:ind w:left="57" w:right="57"/>
              <w:jc w:val="right"/>
              <w:rPr>
                <w:i/>
                <w:sz w:val="16"/>
                <w:lang w:val="fr-FR"/>
              </w:rPr>
            </w:pPr>
            <w:r w:rsidRPr="008330FB">
              <w:rPr>
                <w:i/>
                <w:sz w:val="16"/>
                <w:lang w:val="fr-FR"/>
              </w:rPr>
              <w:t>10</w:t>
            </w:r>
          </w:p>
        </w:tc>
        <w:tc>
          <w:tcPr>
            <w:tcW w:w="481" w:type="dxa"/>
            <w:tcBorders>
              <w:bottom w:val="single" w:sz="12" w:space="0" w:color="auto"/>
            </w:tcBorders>
            <w:shd w:val="clear" w:color="auto" w:fill="auto"/>
            <w:vAlign w:val="bottom"/>
          </w:tcPr>
          <w:p w:rsidR="008330FB" w:rsidRPr="008330FB" w:rsidRDefault="008330FB" w:rsidP="00816D45">
            <w:pPr>
              <w:suppressAutoHyphens w:val="0"/>
              <w:spacing w:before="80" w:after="80" w:line="200" w:lineRule="exact"/>
              <w:ind w:left="57" w:right="57"/>
              <w:jc w:val="right"/>
              <w:rPr>
                <w:i/>
                <w:sz w:val="16"/>
                <w:lang w:val="fr-FR"/>
              </w:rPr>
            </w:pPr>
            <w:r w:rsidRPr="008330FB">
              <w:rPr>
                <w:i/>
                <w:sz w:val="16"/>
                <w:lang w:val="fr-FR"/>
              </w:rPr>
              <w:t>11</w:t>
            </w:r>
          </w:p>
        </w:tc>
        <w:tc>
          <w:tcPr>
            <w:tcW w:w="481" w:type="dxa"/>
            <w:tcBorders>
              <w:bottom w:val="single" w:sz="12" w:space="0" w:color="auto"/>
            </w:tcBorders>
            <w:shd w:val="clear" w:color="auto" w:fill="auto"/>
            <w:vAlign w:val="bottom"/>
          </w:tcPr>
          <w:p w:rsidR="008330FB" w:rsidRPr="008330FB" w:rsidRDefault="008330FB" w:rsidP="00816D45">
            <w:pPr>
              <w:suppressAutoHyphens w:val="0"/>
              <w:spacing w:before="80" w:after="80" w:line="200" w:lineRule="exact"/>
              <w:ind w:left="57" w:right="57"/>
              <w:jc w:val="right"/>
              <w:rPr>
                <w:i/>
                <w:sz w:val="16"/>
                <w:lang w:val="fr-FR"/>
              </w:rPr>
            </w:pPr>
            <w:r w:rsidRPr="008330FB">
              <w:rPr>
                <w:i/>
                <w:sz w:val="16"/>
                <w:lang w:val="fr-FR"/>
              </w:rPr>
              <w:t>12</w:t>
            </w:r>
          </w:p>
        </w:tc>
        <w:tc>
          <w:tcPr>
            <w:tcW w:w="481" w:type="dxa"/>
            <w:tcBorders>
              <w:bottom w:val="single" w:sz="12" w:space="0" w:color="auto"/>
            </w:tcBorders>
            <w:shd w:val="clear" w:color="auto" w:fill="auto"/>
            <w:vAlign w:val="bottom"/>
          </w:tcPr>
          <w:p w:rsidR="008330FB" w:rsidRPr="008330FB" w:rsidRDefault="008330FB" w:rsidP="00816D45">
            <w:pPr>
              <w:suppressAutoHyphens w:val="0"/>
              <w:spacing w:before="80" w:after="80" w:line="200" w:lineRule="exact"/>
              <w:ind w:left="57" w:right="57"/>
              <w:jc w:val="right"/>
              <w:rPr>
                <w:i/>
                <w:sz w:val="16"/>
                <w:lang w:val="fr-FR"/>
              </w:rPr>
            </w:pPr>
            <w:r w:rsidRPr="008330FB">
              <w:rPr>
                <w:i/>
                <w:sz w:val="16"/>
                <w:lang w:val="fr-FR"/>
              </w:rPr>
              <w:t>13</w:t>
            </w:r>
          </w:p>
        </w:tc>
        <w:tc>
          <w:tcPr>
            <w:tcW w:w="481" w:type="dxa"/>
            <w:tcBorders>
              <w:bottom w:val="single" w:sz="12" w:space="0" w:color="auto"/>
            </w:tcBorders>
            <w:shd w:val="clear" w:color="auto" w:fill="auto"/>
            <w:vAlign w:val="bottom"/>
          </w:tcPr>
          <w:p w:rsidR="008330FB" w:rsidRPr="008330FB" w:rsidRDefault="008330FB" w:rsidP="00816D45">
            <w:pPr>
              <w:suppressAutoHyphens w:val="0"/>
              <w:spacing w:before="80" w:after="80" w:line="200" w:lineRule="exact"/>
              <w:ind w:left="57" w:right="57"/>
              <w:jc w:val="right"/>
              <w:rPr>
                <w:i/>
                <w:sz w:val="16"/>
                <w:lang w:val="fr-FR"/>
              </w:rPr>
            </w:pPr>
            <w:r w:rsidRPr="008330FB">
              <w:rPr>
                <w:i/>
                <w:sz w:val="16"/>
                <w:lang w:val="fr-FR"/>
              </w:rPr>
              <w:t>14</w:t>
            </w:r>
          </w:p>
        </w:tc>
        <w:tc>
          <w:tcPr>
            <w:tcW w:w="481" w:type="dxa"/>
            <w:tcBorders>
              <w:bottom w:val="single" w:sz="12" w:space="0" w:color="auto"/>
            </w:tcBorders>
            <w:shd w:val="clear" w:color="auto" w:fill="auto"/>
            <w:vAlign w:val="bottom"/>
          </w:tcPr>
          <w:p w:rsidR="008330FB" w:rsidRPr="008330FB" w:rsidRDefault="008330FB" w:rsidP="00816D45">
            <w:pPr>
              <w:suppressAutoHyphens w:val="0"/>
              <w:spacing w:before="80" w:after="80" w:line="200" w:lineRule="exact"/>
              <w:ind w:left="57" w:right="57"/>
              <w:jc w:val="right"/>
              <w:rPr>
                <w:i/>
                <w:sz w:val="16"/>
                <w:lang w:val="fr-FR"/>
              </w:rPr>
            </w:pPr>
            <w:r w:rsidRPr="008330FB">
              <w:rPr>
                <w:i/>
                <w:sz w:val="16"/>
                <w:lang w:val="fr-FR"/>
              </w:rPr>
              <w:t>≥15</w:t>
            </w:r>
          </w:p>
        </w:tc>
      </w:tr>
      <w:tr w:rsidR="008330FB" w:rsidRPr="008330FB" w:rsidTr="0012315E">
        <w:tc>
          <w:tcPr>
            <w:tcW w:w="3351" w:type="dxa"/>
            <w:tcBorders>
              <w:top w:val="single" w:sz="12" w:space="0" w:color="auto"/>
              <w:bottom w:val="single" w:sz="12" w:space="0" w:color="auto"/>
            </w:tcBorders>
            <w:shd w:val="clear" w:color="auto" w:fill="auto"/>
          </w:tcPr>
          <w:p w:rsidR="008330FB" w:rsidRPr="008330FB" w:rsidRDefault="008330FB" w:rsidP="00816D45">
            <w:pPr>
              <w:suppressAutoHyphens w:val="0"/>
              <w:spacing w:before="40" w:after="40" w:line="220" w:lineRule="exact"/>
              <w:ind w:left="57" w:right="57"/>
              <w:rPr>
                <w:sz w:val="18"/>
                <w:lang w:val="fr-FR"/>
              </w:rPr>
            </w:pPr>
            <w:r w:rsidRPr="008330FB">
              <w:rPr>
                <w:sz w:val="18"/>
                <w:lang w:val="fr-FR"/>
              </w:rPr>
              <w:t>Correction (en dB(A))</w:t>
            </w:r>
          </w:p>
        </w:tc>
        <w:tc>
          <w:tcPr>
            <w:tcW w:w="481" w:type="dxa"/>
            <w:tcBorders>
              <w:top w:val="single" w:sz="12" w:space="0" w:color="auto"/>
              <w:bottom w:val="single" w:sz="12" w:space="0" w:color="auto"/>
            </w:tcBorders>
            <w:shd w:val="clear" w:color="auto" w:fill="auto"/>
            <w:vAlign w:val="bottom"/>
          </w:tcPr>
          <w:p w:rsidR="008330FB" w:rsidRPr="008330FB" w:rsidRDefault="008330FB" w:rsidP="00816D45">
            <w:pPr>
              <w:suppressAutoHyphens w:val="0"/>
              <w:spacing w:before="40" w:after="40" w:line="220" w:lineRule="exact"/>
              <w:ind w:left="57" w:right="57"/>
              <w:jc w:val="right"/>
              <w:rPr>
                <w:sz w:val="18"/>
                <w:lang w:val="fr-FR"/>
              </w:rPr>
            </w:pPr>
            <w:r w:rsidRPr="008330FB">
              <w:rPr>
                <w:sz w:val="18"/>
                <w:lang w:val="fr-FR"/>
              </w:rPr>
              <w:t>0,5</w:t>
            </w:r>
          </w:p>
        </w:tc>
        <w:tc>
          <w:tcPr>
            <w:tcW w:w="481" w:type="dxa"/>
            <w:tcBorders>
              <w:top w:val="single" w:sz="12" w:space="0" w:color="auto"/>
              <w:bottom w:val="single" w:sz="12" w:space="0" w:color="auto"/>
            </w:tcBorders>
            <w:shd w:val="clear" w:color="auto" w:fill="auto"/>
            <w:vAlign w:val="bottom"/>
          </w:tcPr>
          <w:p w:rsidR="008330FB" w:rsidRPr="008330FB" w:rsidRDefault="008330FB" w:rsidP="00816D45">
            <w:pPr>
              <w:suppressAutoHyphens w:val="0"/>
              <w:spacing w:before="40" w:after="40" w:line="220" w:lineRule="exact"/>
              <w:ind w:left="57" w:right="57"/>
              <w:jc w:val="right"/>
              <w:rPr>
                <w:sz w:val="18"/>
                <w:lang w:val="fr-FR"/>
              </w:rPr>
            </w:pPr>
            <w:r w:rsidRPr="008330FB">
              <w:rPr>
                <w:sz w:val="18"/>
                <w:lang w:val="fr-FR"/>
              </w:rPr>
              <w:t>0,4</w:t>
            </w:r>
          </w:p>
        </w:tc>
        <w:tc>
          <w:tcPr>
            <w:tcW w:w="481" w:type="dxa"/>
            <w:tcBorders>
              <w:top w:val="single" w:sz="12" w:space="0" w:color="auto"/>
              <w:bottom w:val="single" w:sz="12" w:space="0" w:color="auto"/>
            </w:tcBorders>
            <w:shd w:val="clear" w:color="auto" w:fill="auto"/>
            <w:vAlign w:val="bottom"/>
          </w:tcPr>
          <w:p w:rsidR="008330FB" w:rsidRPr="008330FB" w:rsidRDefault="008330FB" w:rsidP="00816D45">
            <w:pPr>
              <w:suppressAutoHyphens w:val="0"/>
              <w:spacing w:before="40" w:after="40" w:line="220" w:lineRule="exact"/>
              <w:ind w:left="57" w:right="57"/>
              <w:jc w:val="right"/>
              <w:rPr>
                <w:sz w:val="18"/>
                <w:lang w:val="fr-FR"/>
              </w:rPr>
            </w:pPr>
            <w:r w:rsidRPr="008330FB">
              <w:rPr>
                <w:sz w:val="18"/>
                <w:lang w:val="fr-FR"/>
              </w:rPr>
              <w:t>0,3</w:t>
            </w:r>
          </w:p>
        </w:tc>
        <w:tc>
          <w:tcPr>
            <w:tcW w:w="481" w:type="dxa"/>
            <w:tcBorders>
              <w:top w:val="single" w:sz="12" w:space="0" w:color="auto"/>
              <w:bottom w:val="single" w:sz="12" w:space="0" w:color="auto"/>
            </w:tcBorders>
            <w:shd w:val="clear" w:color="auto" w:fill="auto"/>
            <w:vAlign w:val="bottom"/>
          </w:tcPr>
          <w:p w:rsidR="008330FB" w:rsidRPr="008330FB" w:rsidRDefault="008330FB" w:rsidP="00816D45">
            <w:pPr>
              <w:suppressAutoHyphens w:val="0"/>
              <w:spacing w:before="40" w:after="40" w:line="220" w:lineRule="exact"/>
              <w:ind w:left="57" w:right="57"/>
              <w:jc w:val="right"/>
              <w:rPr>
                <w:sz w:val="18"/>
                <w:lang w:val="fr-FR"/>
              </w:rPr>
            </w:pPr>
            <w:r w:rsidRPr="008330FB">
              <w:rPr>
                <w:sz w:val="18"/>
                <w:lang w:val="fr-FR"/>
              </w:rPr>
              <w:t>0,2</w:t>
            </w:r>
          </w:p>
        </w:tc>
        <w:tc>
          <w:tcPr>
            <w:tcW w:w="481" w:type="dxa"/>
            <w:tcBorders>
              <w:top w:val="single" w:sz="12" w:space="0" w:color="auto"/>
              <w:bottom w:val="single" w:sz="12" w:space="0" w:color="auto"/>
            </w:tcBorders>
            <w:shd w:val="clear" w:color="auto" w:fill="auto"/>
            <w:vAlign w:val="bottom"/>
          </w:tcPr>
          <w:p w:rsidR="008330FB" w:rsidRPr="008330FB" w:rsidRDefault="008330FB" w:rsidP="00816D45">
            <w:pPr>
              <w:suppressAutoHyphens w:val="0"/>
              <w:spacing w:before="40" w:after="40" w:line="220" w:lineRule="exact"/>
              <w:ind w:left="57" w:right="57"/>
              <w:jc w:val="right"/>
              <w:rPr>
                <w:sz w:val="18"/>
                <w:lang w:val="fr-FR"/>
              </w:rPr>
            </w:pPr>
            <w:r w:rsidRPr="008330FB">
              <w:rPr>
                <w:sz w:val="18"/>
                <w:lang w:val="fr-FR"/>
              </w:rPr>
              <w:t>0,1</w:t>
            </w:r>
          </w:p>
        </w:tc>
        <w:tc>
          <w:tcPr>
            <w:tcW w:w="481" w:type="dxa"/>
            <w:tcBorders>
              <w:top w:val="single" w:sz="12" w:space="0" w:color="auto"/>
              <w:bottom w:val="single" w:sz="12" w:space="0" w:color="auto"/>
            </w:tcBorders>
            <w:shd w:val="clear" w:color="auto" w:fill="auto"/>
            <w:vAlign w:val="bottom"/>
          </w:tcPr>
          <w:p w:rsidR="008330FB" w:rsidRPr="008330FB" w:rsidRDefault="008330FB" w:rsidP="00816D45">
            <w:pPr>
              <w:suppressAutoHyphens w:val="0"/>
              <w:spacing w:before="40" w:after="40" w:line="220" w:lineRule="exact"/>
              <w:ind w:left="57" w:right="57"/>
              <w:jc w:val="right"/>
              <w:rPr>
                <w:sz w:val="18"/>
                <w:lang w:val="fr-FR"/>
              </w:rPr>
            </w:pPr>
            <w:r w:rsidRPr="008330FB">
              <w:rPr>
                <w:sz w:val="18"/>
                <w:lang w:val="fr-FR"/>
              </w:rPr>
              <w:t>0,0</w:t>
            </w:r>
          </w:p>
        </w:tc>
      </w:tr>
    </w:tbl>
    <w:p w:rsidR="008330FB" w:rsidRPr="008330FB" w:rsidRDefault="008330FB" w:rsidP="00816D45">
      <w:pPr>
        <w:pStyle w:val="SingleTxtG"/>
        <w:keepNext/>
        <w:keepLines/>
        <w:spacing w:before="240"/>
        <w:ind w:left="2268" w:hanging="1134"/>
        <w:jc w:val="left"/>
        <w:rPr>
          <w:b/>
          <w:lang w:val="fr-FR"/>
        </w:rPr>
      </w:pPr>
      <w:r w:rsidRPr="008330FB">
        <w:rPr>
          <w:lang w:val="fr-FR"/>
        </w:rPr>
        <w:t>2.2</w:t>
      </w:r>
      <w:r w:rsidRPr="008330FB">
        <w:rPr>
          <w:lang w:val="fr-FR"/>
        </w:rPr>
        <w:tab/>
        <w:t>État du véhicule</w:t>
      </w:r>
    </w:p>
    <w:p w:rsidR="008330FB" w:rsidRPr="008330FB" w:rsidRDefault="008330FB" w:rsidP="008330FB">
      <w:pPr>
        <w:pStyle w:val="SingleTxtG"/>
        <w:keepNext/>
        <w:keepLines/>
        <w:ind w:left="2268" w:hanging="1134"/>
        <w:jc w:val="left"/>
        <w:rPr>
          <w:lang w:val="fr-FR"/>
        </w:rPr>
      </w:pPr>
      <w:r w:rsidRPr="008330FB">
        <w:rPr>
          <w:lang w:val="fr-FR"/>
        </w:rPr>
        <w:t>2.2.1</w:t>
      </w:r>
      <w:r w:rsidRPr="008330FB">
        <w:rPr>
          <w:lang w:val="fr-FR"/>
        </w:rPr>
        <w:tab/>
        <w:t>État général</w:t>
      </w:r>
    </w:p>
    <w:p w:rsidR="008330FB" w:rsidRPr="008330FB" w:rsidRDefault="008330FB" w:rsidP="00816D45">
      <w:pPr>
        <w:pStyle w:val="SingleTxtG"/>
        <w:keepNext/>
        <w:keepLines/>
        <w:ind w:left="2268"/>
        <w:rPr>
          <w:lang w:val="fr-FR"/>
        </w:rPr>
      </w:pPr>
      <w:r w:rsidRPr="008330FB">
        <w:rPr>
          <w:lang w:val="fr-FR"/>
        </w:rPr>
        <w:t>Avant qu’il soit procédé aux mesures, le moteur doit être porté à ses conditions normales de fonctionnement en ce qui concerne :</w:t>
      </w:r>
    </w:p>
    <w:p w:rsidR="008330FB" w:rsidRPr="008330FB" w:rsidRDefault="008330FB" w:rsidP="008330FB">
      <w:pPr>
        <w:pStyle w:val="Bullet2G"/>
        <w:ind w:left="2835"/>
        <w:rPr>
          <w:lang w:val="fr-FR"/>
        </w:rPr>
      </w:pPr>
      <w:r w:rsidRPr="008330FB">
        <w:rPr>
          <w:lang w:val="fr-FR"/>
        </w:rPr>
        <w:t>Les températures ;</w:t>
      </w:r>
    </w:p>
    <w:p w:rsidR="008330FB" w:rsidRPr="008330FB" w:rsidRDefault="008330FB" w:rsidP="008330FB">
      <w:pPr>
        <w:pStyle w:val="Bullet2G"/>
        <w:ind w:left="2835"/>
        <w:rPr>
          <w:lang w:val="fr-FR"/>
        </w:rPr>
      </w:pPr>
      <w:r w:rsidRPr="008330FB">
        <w:rPr>
          <w:lang w:val="fr-FR"/>
        </w:rPr>
        <w:t>Les réglages ;</w:t>
      </w:r>
    </w:p>
    <w:p w:rsidR="008330FB" w:rsidRPr="008330FB" w:rsidRDefault="008330FB" w:rsidP="008330FB">
      <w:pPr>
        <w:pStyle w:val="Bullet2G"/>
        <w:ind w:left="2835"/>
        <w:rPr>
          <w:lang w:val="fr-FR"/>
        </w:rPr>
      </w:pPr>
      <w:r w:rsidRPr="008330FB">
        <w:rPr>
          <w:lang w:val="fr-FR"/>
        </w:rPr>
        <w:t>Le carburant ;</w:t>
      </w:r>
    </w:p>
    <w:p w:rsidR="008330FB" w:rsidRPr="008330FB" w:rsidRDefault="008330FB" w:rsidP="008330FB">
      <w:pPr>
        <w:pStyle w:val="Bullet2G"/>
        <w:ind w:left="2835"/>
        <w:rPr>
          <w:lang w:val="fr-FR"/>
        </w:rPr>
      </w:pPr>
      <w:r w:rsidRPr="008330FB">
        <w:rPr>
          <w:lang w:val="fr-FR"/>
        </w:rPr>
        <w:t>Les bougies, le(s) carburateur(s), etc. (selon qu’il convient).</w:t>
      </w:r>
    </w:p>
    <w:p w:rsidR="008330FB" w:rsidRPr="008330FB" w:rsidRDefault="008330FB" w:rsidP="00E831CA">
      <w:pPr>
        <w:pStyle w:val="SingleTxtG"/>
        <w:ind w:left="2268"/>
        <w:rPr>
          <w:lang w:val="fr-FR"/>
        </w:rPr>
      </w:pPr>
      <w:r w:rsidRPr="008330FB">
        <w:rPr>
          <w:lang w:val="fr-FR"/>
        </w:rPr>
        <w:t>Si le véhicule est équipé de ventilateurs à enclenchement automatique, leur fonctionnement ne doit pas être perturbé pendant la mesure des émissions sonores.</w:t>
      </w:r>
    </w:p>
    <w:p w:rsidR="008330FB" w:rsidRPr="008330FB" w:rsidRDefault="008330FB" w:rsidP="00E831CA">
      <w:pPr>
        <w:pStyle w:val="SingleTxtG"/>
        <w:ind w:left="2268"/>
        <w:rPr>
          <w:b/>
          <w:lang w:val="fr-FR"/>
        </w:rPr>
      </w:pPr>
      <w:r w:rsidRPr="008330FB">
        <w:rPr>
          <w:lang w:val="fr-FR"/>
        </w:rPr>
        <w:t>Si le véhicule est équipé de dispositifs qui ne sont pas nécessaires à sa propulsion mais qui sont utilisés quand le véhicule est en circulation normale sur route, ces dispositifs doivent être en fonctionnement conformément aux spécifications du fabricant.</w:t>
      </w:r>
    </w:p>
    <w:p w:rsidR="008330FB" w:rsidRPr="008330FB" w:rsidRDefault="008330FB" w:rsidP="008330FB">
      <w:pPr>
        <w:pStyle w:val="SingleTxtG"/>
        <w:keepNext/>
        <w:keepLines/>
        <w:ind w:left="2268" w:hanging="1134"/>
        <w:jc w:val="left"/>
        <w:rPr>
          <w:lang w:val="fr-FR"/>
        </w:rPr>
      </w:pPr>
      <w:r w:rsidRPr="008330FB">
        <w:rPr>
          <w:lang w:val="fr-FR"/>
        </w:rPr>
        <w:t>2.2.2</w:t>
      </w:r>
      <w:r w:rsidRPr="008330FB">
        <w:rPr>
          <w:lang w:val="fr-FR"/>
        </w:rPr>
        <w:tab/>
        <w:t>Masse d’essai et choix des pneumatiques</w:t>
      </w:r>
    </w:p>
    <w:p w:rsidR="008330FB" w:rsidRPr="008330FB" w:rsidRDefault="008330FB" w:rsidP="00E831CA">
      <w:pPr>
        <w:pStyle w:val="SingleTxtG"/>
        <w:keepNext/>
        <w:keepLines/>
        <w:ind w:left="2268" w:hanging="1134"/>
        <w:rPr>
          <w:b/>
          <w:lang w:val="fr-FR"/>
        </w:rPr>
      </w:pPr>
      <w:r w:rsidRPr="008330FB">
        <w:rPr>
          <w:lang w:val="fr-FR"/>
        </w:rPr>
        <w:t>2.2.2.1</w:t>
      </w:r>
      <w:r w:rsidRPr="008330FB">
        <w:rPr>
          <w:lang w:val="fr-FR"/>
        </w:rPr>
        <w:tab/>
        <w:t>La masse du véhicule mis à l’essai doit être la masse d’essai telle que définie au paragraphe 2.11 du présent Règlement.</w:t>
      </w:r>
    </w:p>
    <w:p w:rsidR="008330FB" w:rsidRPr="008330FB" w:rsidRDefault="008330FB" w:rsidP="008330FB">
      <w:pPr>
        <w:pStyle w:val="SingleTxtG"/>
        <w:keepNext/>
        <w:keepLines/>
        <w:ind w:left="2268" w:hanging="1134"/>
        <w:jc w:val="left"/>
        <w:rPr>
          <w:bCs/>
          <w:lang w:val="fr-FR"/>
        </w:rPr>
      </w:pPr>
      <w:r w:rsidRPr="008330FB">
        <w:rPr>
          <w:lang w:val="fr-FR"/>
        </w:rPr>
        <w:t>2.2.2</w:t>
      </w:r>
      <w:r w:rsidRPr="008330FB">
        <w:rPr>
          <w:b/>
          <w:lang w:val="fr-FR"/>
        </w:rPr>
        <w:t>.</w:t>
      </w:r>
      <w:r w:rsidRPr="008330FB">
        <w:rPr>
          <w:lang w:val="fr-FR"/>
        </w:rPr>
        <w:t>2</w:t>
      </w:r>
      <w:r w:rsidRPr="008330FB">
        <w:rPr>
          <w:lang w:val="fr-FR"/>
        </w:rPr>
        <w:tab/>
      </w:r>
      <w:bookmarkStart w:id="4" w:name="_Toc28140794"/>
      <w:bookmarkStart w:id="5" w:name="_Toc62550747"/>
      <w:r w:rsidRPr="008330FB">
        <w:rPr>
          <w:bCs/>
          <w:lang w:val="fr-FR"/>
        </w:rPr>
        <w:t>Choix</w:t>
      </w:r>
      <w:r w:rsidRPr="008330FB">
        <w:rPr>
          <w:lang w:val="fr-FR"/>
        </w:rPr>
        <w:t xml:space="preserve"> et état des pneumatiques</w:t>
      </w:r>
      <w:bookmarkEnd w:id="4"/>
      <w:bookmarkEnd w:id="5"/>
    </w:p>
    <w:p w:rsidR="008330FB" w:rsidRDefault="008330FB" w:rsidP="00E831CA">
      <w:pPr>
        <w:pStyle w:val="SingleTxtG"/>
        <w:ind w:left="2268"/>
        <w:rPr>
          <w:bCs/>
          <w:lang w:val="fr-FR"/>
        </w:rPr>
      </w:pPr>
      <w:r w:rsidRPr="008330FB">
        <w:rPr>
          <w:bCs/>
          <w:lang w:val="fr-FR"/>
        </w:rPr>
        <w:t>Les pneumatiques doivent être adaptés au véhicule et gonflés à la pression recommandée par le fabricant en fonction de la masse d’essai du véhicule.</w:t>
      </w:r>
    </w:p>
    <w:p w:rsidR="008330FB" w:rsidRPr="008330FB" w:rsidRDefault="008330FB" w:rsidP="00E831CA">
      <w:pPr>
        <w:pStyle w:val="SingleTxtG"/>
        <w:ind w:left="2268"/>
        <w:rPr>
          <w:bCs/>
          <w:lang w:val="fr-FR"/>
        </w:rPr>
      </w:pPr>
      <w:r w:rsidRPr="008330FB">
        <w:rPr>
          <w:bCs/>
          <w:lang w:val="fr-FR"/>
        </w:rPr>
        <w:t>Les pneumatiques doivent être choisis par le constructeur et correspondre à une des dimensions et à un des types fixés pour le véhicule</w:t>
      </w:r>
      <w:r w:rsidRPr="008330FB">
        <w:rPr>
          <w:b/>
          <w:bCs/>
          <w:lang w:val="fr-FR"/>
        </w:rPr>
        <w:t xml:space="preserve"> </w:t>
      </w:r>
      <w:r w:rsidRPr="008330FB">
        <w:rPr>
          <w:bCs/>
          <w:lang w:val="fr-FR"/>
        </w:rPr>
        <w:t>par le constructeur. La profondeur des sculptures doit être d’au moins 80 % de la profondeur d’origine.</w:t>
      </w:r>
    </w:p>
    <w:p w:rsidR="008330FB" w:rsidRPr="008330FB" w:rsidRDefault="008330FB" w:rsidP="008330FB">
      <w:pPr>
        <w:pStyle w:val="SingleTxtG"/>
        <w:keepNext/>
        <w:keepLines/>
        <w:ind w:left="2268" w:hanging="1134"/>
        <w:jc w:val="left"/>
        <w:rPr>
          <w:lang w:val="fr-FR"/>
        </w:rPr>
      </w:pPr>
      <w:r w:rsidRPr="008330FB">
        <w:rPr>
          <w:lang w:val="fr-FR"/>
        </w:rPr>
        <w:t>3.</w:t>
      </w:r>
      <w:r w:rsidRPr="008330FB">
        <w:rPr>
          <w:lang w:val="fr-FR"/>
        </w:rPr>
        <w:tab/>
        <w:t>Méthode d’essai</w:t>
      </w:r>
    </w:p>
    <w:p w:rsidR="008330FB" w:rsidRPr="008330FB" w:rsidRDefault="008330FB" w:rsidP="00816D45">
      <w:pPr>
        <w:pStyle w:val="SingleTxtG"/>
        <w:ind w:left="2268" w:hanging="1134"/>
        <w:jc w:val="left"/>
        <w:rPr>
          <w:lang w:val="fr-FR"/>
        </w:rPr>
      </w:pPr>
      <w:r w:rsidRPr="008330FB">
        <w:rPr>
          <w:lang w:val="fr-FR"/>
        </w:rPr>
        <w:t>3.1</w:t>
      </w:r>
      <w:r w:rsidRPr="008330FB">
        <w:rPr>
          <w:lang w:val="fr-FR"/>
        </w:rPr>
        <w:tab/>
        <w:t>Mesure des émissions sonores du véhicule</w:t>
      </w:r>
      <w:r w:rsidRPr="008330FB">
        <w:rPr>
          <w:b/>
          <w:lang w:val="fr-FR"/>
        </w:rPr>
        <w:t xml:space="preserve"> </w:t>
      </w:r>
      <w:r w:rsidRPr="008330FB">
        <w:rPr>
          <w:lang w:val="fr-FR"/>
        </w:rPr>
        <w:t>en marche</w:t>
      </w:r>
    </w:p>
    <w:p w:rsidR="008330FB" w:rsidRPr="008330FB" w:rsidRDefault="008330FB" w:rsidP="00816D45">
      <w:pPr>
        <w:pStyle w:val="SingleTxtG"/>
        <w:ind w:left="2268" w:hanging="1134"/>
        <w:jc w:val="left"/>
        <w:rPr>
          <w:b/>
          <w:lang w:val="fr-FR"/>
        </w:rPr>
      </w:pPr>
      <w:r w:rsidRPr="008330FB">
        <w:rPr>
          <w:lang w:val="fr-FR"/>
        </w:rPr>
        <w:t>3.1.1</w:t>
      </w:r>
      <w:r w:rsidRPr="008330FB">
        <w:rPr>
          <w:lang w:val="fr-FR"/>
        </w:rPr>
        <w:tab/>
        <w:t xml:space="preserve"> Préparation de l’essai et positions des microphones</w:t>
      </w:r>
    </w:p>
    <w:p w:rsidR="008330FB" w:rsidRPr="008330FB" w:rsidRDefault="008330FB" w:rsidP="00816D45">
      <w:pPr>
        <w:pStyle w:val="SingleTxtG"/>
        <w:ind w:left="2268" w:hanging="1134"/>
        <w:jc w:val="left"/>
        <w:rPr>
          <w:b/>
          <w:lang w:val="fr-FR"/>
        </w:rPr>
      </w:pPr>
      <w:r w:rsidRPr="008330FB">
        <w:rPr>
          <w:lang w:val="fr-FR"/>
        </w:rPr>
        <w:t>3.1.1.1</w:t>
      </w:r>
      <w:r w:rsidRPr="008330FB">
        <w:rPr>
          <w:lang w:val="fr-FR"/>
        </w:rPr>
        <w:tab/>
        <w:t>L’essai est préparé comme indiqué à la figu</w:t>
      </w:r>
      <w:r w:rsidR="006B61DF">
        <w:rPr>
          <w:lang w:val="fr-FR"/>
        </w:rPr>
        <w:t>re </w:t>
      </w:r>
      <w:r w:rsidRPr="008330FB">
        <w:rPr>
          <w:lang w:val="fr-FR"/>
        </w:rPr>
        <w:t>1.</w:t>
      </w:r>
    </w:p>
    <w:p w:rsidR="008330FB" w:rsidRDefault="00E831CA" w:rsidP="00C528E2">
      <w:pPr>
        <w:pStyle w:val="Heading1"/>
        <w:spacing w:after="120"/>
        <w:ind w:left="2268"/>
        <w:rPr>
          <w:b/>
          <w:lang w:val="fr-FR"/>
        </w:rPr>
      </w:pPr>
      <w:r>
        <w:rPr>
          <w:lang w:val="fr-FR"/>
        </w:rPr>
        <w:t>Figure </w:t>
      </w:r>
      <w:r w:rsidR="008330FB" w:rsidRPr="008330FB">
        <w:rPr>
          <w:lang w:val="fr-FR"/>
        </w:rPr>
        <w:t xml:space="preserve">1 </w:t>
      </w:r>
      <w:r w:rsidR="008330FB" w:rsidRPr="008330FB">
        <w:rPr>
          <w:lang w:val="fr-FR"/>
        </w:rPr>
        <w:br/>
      </w:r>
      <w:r w:rsidR="008330FB" w:rsidRPr="00E831CA">
        <w:rPr>
          <w:b/>
          <w:lang w:val="fr-FR"/>
        </w:rPr>
        <w:t>Positions à respecter pour les mesures sur les véhicules en marche</w:t>
      </w:r>
    </w:p>
    <w:p w:rsidR="00E831CA" w:rsidRDefault="00E831CA" w:rsidP="00C528E2">
      <w:pPr>
        <w:pStyle w:val="SingleTxtG"/>
        <w:ind w:left="2268" w:right="0"/>
        <w:rPr>
          <w:lang w:val="fr-FR"/>
        </w:rPr>
      </w:pPr>
      <w:r w:rsidRPr="008933B9">
        <w:rPr>
          <w:b/>
          <w:noProof/>
          <w:lang w:val="en-GB" w:eastAsia="en-GB"/>
        </w:rPr>
        <w:drawing>
          <wp:inline distT="0" distB="0" distL="0" distR="0" wp14:anchorId="18E5BDD0" wp14:editId="40AF9CF2">
            <wp:extent cx="3960000" cy="3267000"/>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0" cy="3267000"/>
                    </a:xfrm>
                    <a:prstGeom prst="rect">
                      <a:avLst/>
                    </a:prstGeom>
                    <a:noFill/>
                    <a:ln>
                      <a:noFill/>
                    </a:ln>
                  </pic:spPr>
                </pic:pic>
              </a:graphicData>
            </a:graphic>
          </wp:inline>
        </w:drawing>
      </w:r>
    </w:p>
    <w:p w:rsidR="00E831CA" w:rsidRPr="00E831CA" w:rsidRDefault="00E831CA" w:rsidP="00E831CA">
      <w:pPr>
        <w:pStyle w:val="SingleTxtG"/>
        <w:ind w:left="2268"/>
        <w:rPr>
          <w:lang w:val="fr-FR"/>
        </w:rPr>
      </w:pPr>
      <w:r w:rsidRPr="00E831CA">
        <w:rPr>
          <w:lang w:val="fr-FR"/>
        </w:rPr>
        <w:t xml:space="preserve">Deux lignes, AA’ </w:t>
      </w:r>
      <w:r w:rsidRPr="00E831CA">
        <w:rPr>
          <w:bCs/>
          <w:lang w:val="fr-FR"/>
        </w:rPr>
        <w:t>et</w:t>
      </w:r>
      <w:r w:rsidRPr="00E831CA">
        <w:rPr>
          <w:lang w:val="fr-FR"/>
        </w:rPr>
        <w:t xml:space="preserve"> BB’, parallèles à la ligne PP’ et situées respectivement à 10 m en avant et en arrière de cette ligne, seront tracées sur la piste d’essai.</w:t>
      </w:r>
    </w:p>
    <w:p w:rsidR="00E831CA" w:rsidRPr="00E831CA" w:rsidRDefault="00E831CA" w:rsidP="00E831CA">
      <w:pPr>
        <w:pStyle w:val="SingleTxtG"/>
        <w:ind w:left="2268" w:hanging="1134"/>
        <w:rPr>
          <w:bCs/>
          <w:lang w:val="fr-FR"/>
        </w:rPr>
      </w:pPr>
      <w:r w:rsidRPr="00E831CA">
        <w:rPr>
          <w:noProof/>
          <w:lang w:val="en-GB" w:eastAsia="en-GB"/>
        </w:rPr>
        <mc:AlternateContent>
          <mc:Choice Requires="wps">
            <w:drawing>
              <wp:anchor distT="0" distB="0" distL="114300" distR="114300" simplePos="0" relativeHeight="251662336" behindDoc="0" locked="0" layoutInCell="1" allowOverlap="1" wp14:anchorId="2C24B539" wp14:editId="17492639">
                <wp:simplePos x="0" y="0"/>
                <wp:positionH relativeFrom="column">
                  <wp:posOffset>0</wp:posOffset>
                </wp:positionH>
                <wp:positionV relativeFrom="paragraph">
                  <wp:posOffset>0</wp:posOffset>
                </wp:positionV>
                <wp:extent cx="635000" cy="635000"/>
                <wp:effectExtent l="9525" t="9525" r="12700" b="12700"/>
                <wp:wrapNone/>
                <wp:docPr id="35" name="Zone de texte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94B0" id="Zone de texte 35"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4k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x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4Y5OJC0CAABWBAAADgAAAAAAAAAAAAAAAAAuAgAAZHJzL2Uyb0Rv&#10;Yy54bWxQSwECLQAUAAYACAAAACEAjqBz5dcAAAAFAQAADwAAAAAAAAAAAAAAAACHBAAAZHJzL2Rv&#10;d25yZXYueG1sUEsFBgAAAAAEAAQA8wAAAIsFAAAAAA==&#10;">
                <v:stroke joinstyle="round"/>
                <o:lock v:ext="edit" selection="t"/>
              </v:shape>
            </w:pict>
          </mc:Fallback>
        </mc:AlternateContent>
      </w:r>
      <w:r w:rsidRPr="00E831CA">
        <w:rPr>
          <w:lang w:val="fr-FR"/>
        </w:rPr>
        <w:t>3.1.1.2</w:t>
      </w:r>
      <w:r w:rsidRPr="00E831CA">
        <w:rPr>
          <w:lang w:val="fr-FR"/>
        </w:rPr>
        <w:tab/>
      </w:r>
      <w:r w:rsidRPr="00E831CA">
        <w:rPr>
          <w:bCs/>
          <w:lang w:val="fr-FR"/>
        </w:rPr>
        <w:t>La distance entre les microphones et la ligne</w:t>
      </w:r>
      <w:r>
        <w:rPr>
          <w:bCs/>
          <w:lang w:val="fr-FR"/>
        </w:rPr>
        <w:t> </w:t>
      </w:r>
      <w:r w:rsidRPr="00E831CA">
        <w:rPr>
          <w:bCs/>
          <w:lang w:val="fr-FR"/>
        </w:rPr>
        <w:t>CC’, sur la ligne PP’ des microphones, elle-même perpendi</w:t>
      </w:r>
      <w:r w:rsidR="006B61DF">
        <w:rPr>
          <w:bCs/>
          <w:lang w:val="fr-FR"/>
        </w:rPr>
        <w:t>culaire à la ligne de référence </w:t>
      </w:r>
      <w:r w:rsidRPr="00E831CA">
        <w:rPr>
          <w:bCs/>
          <w:lang w:val="fr-FR"/>
        </w:rPr>
        <w:t>CC’ sur la piste d’essai (voir la figure</w:t>
      </w:r>
      <w:r>
        <w:rPr>
          <w:bCs/>
          <w:lang w:val="fr-FR"/>
        </w:rPr>
        <w:t> </w:t>
      </w:r>
      <w:r w:rsidRPr="00E831CA">
        <w:rPr>
          <w:bCs/>
          <w:lang w:val="fr-FR"/>
        </w:rPr>
        <w:t>1), doit être égale à 7,5 m </w:t>
      </w:r>
      <w:r w:rsidRPr="00E831CA">
        <w:rPr>
          <w:lang w:val="fr-FR"/>
        </w:rPr>
        <w:sym w:font="Symbol" w:char="F0B1"/>
      </w:r>
      <w:r w:rsidRPr="00E831CA">
        <w:rPr>
          <w:lang w:val="fr-FR"/>
        </w:rPr>
        <w:t> </w:t>
      </w:r>
      <w:r w:rsidRPr="00E831CA">
        <w:rPr>
          <w:bCs/>
          <w:lang w:val="fr-FR"/>
        </w:rPr>
        <w:t>0,05 m.</w:t>
      </w:r>
    </w:p>
    <w:p w:rsidR="00E831CA" w:rsidRPr="00E831CA" w:rsidRDefault="00E831CA" w:rsidP="00E831CA">
      <w:pPr>
        <w:pStyle w:val="SingleTxtG"/>
        <w:ind w:left="2268"/>
        <w:rPr>
          <w:bCs/>
          <w:lang w:val="fr-FR"/>
        </w:rPr>
      </w:pPr>
      <w:r w:rsidRPr="00E831CA">
        <w:rPr>
          <w:bCs/>
          <w:lang w:val="fr-FR"/>
        </w:rPr>
        <w:t>Les microphones doivent être situés à 1,2 m </w:t>
      </w:r>
      <w:r w:rsidRPr="00E831CA">
        <w:rPr>
          <w:lang w:val="fr-FR"/>
        </w:rPr>
        <w:sym w:font="Symbol" w:char="F0B1"/>
      </w:r>
      <w:r w:rsidRPr="00E831CA">
        <w:rPr>
          <w:lang w:val="fr-FR"/>
        </w:rPr>
        <w:t> </w:t>
      </w:r>
      <w:r w:rsidRPr="00E831CA">
        <w:rPr>
          <w:bCs/>
          <w:lang w:val="fr-FR"/>
        </w:rPr>
        <w:t>0,02 m au-dessus du niveau du sol. En conditions de champ</w:t>
      </w:r>
      <w:r w:rsidR="006B61DF">
        <w:rPr>
          <w:bCs/>
          <w:lang w:val="fr-FR"/>
        </w:rPr>
        <w:t xml:space="preserve"> libre (voir la norme CEI 61672-</w:t>
      </w:r>
      <w:r w:rsidRPr="00E831CA">
        <w:rPr>
          <w:bCs/>
          <w:lang w:val="fr-FR"/>
        </w:rPr>
        <w:t xml:space="preserve">1:2013), les microphones doivent être placés horizontalement et orientés perpendiculairement à l’axe de déplacement CC’ du </w:t>
      </w:r>
      <w:r w:rsidRPr="00E831CA">
        <w:rPr>
          <w:lang w:val="fr-FR"/>
        </w:rPr>
        <w:t>véhicule</w:t>
      </w:r>
      <w:r w:rsidRPr="00E831CA">
        <w:rPr>
          <w:bCs/>
          <w:lang w:val="fr-FR"/>
        </w:rPr>
        <w:t>.</w:t>
      </w:r>
    </w:p>
    <w:p w:rsidR="00E831CA" w:rsidRPr="00E831CA" w:rsidRDefault="00E831CA" w:rsidP="006B61DF">
      <w:pPr>
        <w:pStyle w:val="SingleTxtG"/>
        <w:keepNext/>
        <w:keepLines/>
        <w:ind w:left="2268" w:hanging="1134"/>
        <w:jc w:val="left"/>
        <w:rPr>
          <w:lang w:val="fr-FR"/>
        </w:rPr>
      </w:pPr>
      <w:r w:rsidRPr="00E831CA">
        <w:rPr>
          <w:noProof/>
          <w:lang w:val="en-GB" w:eastAsia="en-GB"/>
        </w:rPr>
        <mc:AlternateContent>
          <mc:Choice Requires="wps">
            <w:drawing>
              <wp:anchor distT="0" distB="0" distL="114300" distR="114300" simplePos="0" relativeHeight="251663360" behindDoc="0" locked="0" layoutInCell="1" allowOverlap="1" wp14:anchorId="6C4C1C5D" wp14:editId="3EE91CD0">
                <wp:simplePos x="0" y="0"/>
                <wp:positionH relativeFrom="column">
                  <wp:posOffset>0</wp:posOffset>
                </wp:positionH>
                <wp:positionV relativeFrom="paragraph">
                  <wp:posOffset>0</wp:posOffset>
                </wp:positionV>
                <wp:extent cx="635000" cy="635000"/>
                <wp:effectExtent l="9525" t="9525" r="12700" b="12700"/>
                <wp:wrapNone/>
                <wp:docPr id="34" name="Zone de text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8702" id="Zone de texte 3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0b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GWEdGy0CAABWBAAADgAAAAAAAAAAAAAAAAAuAgAAZHJzL2Uyb0Rv&#10;Yy54bWxQSwECLQAUAAYACAAAACEAjqBz5dcAAAAFAQAADwAAAAAAAAAAAAAAAACHBAAAZHJzL2Rv&#10;d25yZXYueG1sUEsFBgAAAAAEAAQA8wAAAIsFAAAAAA==&#10;">
                <v:stroke joinstyle="round"/>
                <o:lock v:ext="edit" selection="t"/>
              </v:shape>
            </w:pict>
          </mc:Fallback>
        </mc:AlternateContent>
      </w:r>
      <w:r w:rsidRPr="00E831CA">
        <w:rPr>
          <w:lang w:val="fr-FR"/>
        </w:rPr>
        <w:t>3.1.2</w:t>
      </w:r>
      <w:r w:rsidRPr="00E831CA">
        <w:rPr>
          <w:lang w:val="fr-FR"/>
        </w:rPr>
        <w:tab/>
        <w:t>Exécution de l’essai d’accélération, vitesse d’approche du véhicule et rapport à utiliser</w:t>
      </w:r>
    </w:p>
    <w:p w:rsidR="00E831CA" w:rsidRPr="00E831CA" w:rsidRDefault="00E831CA" w:rsidP="006B61DF">
      <w:pPr>
        <w:pStyle w:val="SingleTxtG"/>
        <w:keepNext/>
        <w:keepLines/>
        <w:ind w:left="2268" w:hanging="1134"/>
        <w:jc w:val="left"/>
        <w:rPr>
          <w:b/>
          <w:lang w:val="fr-FR"/>
        </w:rPr>
      </w:pPr>
      <w:r w:rsidRPr="00E831CA">
        <w:rPr>
          <w:lang w:val="fr-FR"/>
        </w:rPr>
        <w:t>3.1.2.1</w:t>
      </w:r>
      <w:r w:rsidRPr="00E831CA">
        <w:rPr>
          <w:lang w:val="fr-FR"/>
        </w:rPr>
        <w:tab/>
        <w:t>Exécution de l’essai d’accélération</w:t>
      </w:r>
    </w:p>
    <w:p w:rsidR="00E831CA" w:rsidRPr="00E831CA" w:rsidRDefault="00E831CA" w:rsidP="00E831CA">
      <w:pPr>
        <w:pStyle w:val="SingleTxtG"/>
        <w:ind w:left="2268"/>
        <w:rPr>
          <w:lang w:val="fr-FR"/>
        </w:rPr>
      </w:pPr>
      <w:r w:rsidRPr="00E831CA">
        <w:rPr>
          <w:lang w:val="fr-FR"/>
        </w:rPr>
        <w:t>Le véhicule</w:t>
      </w:r>
      <w:r w:rsidRPr="00E831CA">
        <w:rPr>
          <w:b/>
          <w:lang w:val="fr-FR"/>
        </w:rPr>
        <w:t xml:space="preserve"> </w:t>
      </w:r>
      <w:r w:rsidRPr="00E831CA">
        <w:rPr>
          <w:lang w:val="fr-FR"/>
        </w:rPr>
        <w:t>est amené, à la vitesse stabilisée définie ci-dessous, jusqu’à la ligne AA’. Dès que l’avant du véhicule</w:t>
      </w:r>
      <w:r w:rsidRPr="00E831CA">
        <w:rPr>
          <w:b/>
          <w:lang w:val="fr-FR"/>
        </w:rPr>
        <w:t xml:space="preserve"> </w:t>
      </w:r>
      <w:r w:rsidRPr="00E831CA">
        <w:rPr>
          <w:lang w:val="fr-FR"/>
        </w:rPr>
        <w:t>franchit cette ligne, le papillon des gaz est ouvert à fond aussi rapidement que possible et maintenu dans cette position jusqu’à ce que l’arrière du véhicule dépasse la ligne BB’, puis ramené aussi rapidement que possible à la position du ralenti.</w:t>
      </w:r>
    </w:p>
    <w:p w:rsidR="00E831CA" w:rsidRPr="00E831CA" w:rsidRDefault="00E831CA" w:rsidP="00E831CA">
      <w:pPr>
        <w:pStyle w:val="SingleTxtG"/>
        <w:ind w:left="2268"/>
        <w:rPr>
          <w:lang w:val="fr-FR"/>
        </w:rPr>
      </w:pPr>
      <w:r w:rsidRPr="00E831CA">
        <w:rPr>
          <w:lang w:val="fr-FR"/>
        </w:rPr>
        <w:t>Pour toutes les mesures, le véhicule</w:t>
      </w:r>
      <w:r w:rsidRPr="00E831CA">
        <w:rPr>
          <w:b/>
          <w:lang w:val="fr-FR"/>
        </w:rPr>
        <w:t xml:space="preserve"> </w:t>
      </w:r>
      <w:r w:rsidRPr="00E831CA">
        <w:rPr>
          <w:lang w:val="fr-FR"/>
        </w:rPr>
        <w:t>est conduit en ligne droite sur la piste d’essai de telle manière que le plan longitudinal médian du véhicule</w:t>
      </w:r>
      <w:r w:rsidRPr="00E831CA">
        <w:rPr>
          <w:b/>
          <w:lang w:val="fr-FR"/>
        </w:rPr>
        <w:t xml:space="preserve"> </w:t>
      </w:r>
      <w:r w:rsidRPr="00E831CA">
        <w:rPr>
          <w:lang w:val="fr-FR"/>
        </w:rPr>
        <w:t>suive d’aussi près que possible la ligne CC’.</w:t>
      </w:r>
    </w:p>
    <w:p w:rsidR="00E831CA" w:rsidRPr="00E831CA" w:rsidRDefault="00E831CA" w:rsidP="006B61DF">
      <w:pPr>
        <w:pStyle w:val="SingleTxtG"/>
        <w:keepNext/>
        <w:keepLines/>
        <w:ind w:left="2268" w:hanging="1134"/>
        <w:jc w:val="left"/>
        <w:rPr>
          <w:lang w:val="fr-FR"/>
        </w:rPr>
      </w:pPr>
      <w:r w:rsidRPr="00E831CA">
        <w:rPr>
          <w:lang w:val="fr-FR"/>
        </w:rPr>
        <w:t>3.1.2.2</w:t>
      </w:r>
      <w:r w:rsidRPr="00E831CA">
        <w:rPr>
          <w:lang w:val="fr-FR"/>
        </w:rPr>
        <w:tab/>
        <w:t>Vitesse d’approche du véhicule</w:t>
      </w:r>
    </w:p>
    <w:p w:rsidR="00E831CA" w:rsidRPr="00E831CA" w:rsidRDefault="00E831CA" w:rsidP="006B61DF">
      <w:pPr>
        <w:pStyle w:val="SingleTxtG"/>
        <w:ind w:left="2268"/>
        <w:rPr>
          <w:lang w:val="fr-FR"/>
        </w:rPr>
      </w:pPr>
      <w:r w:rsidRPr="00E831CA">
        <w:rPr>
          <w:lang w:val="fr-FR"/>
        </w:rPr>
        <w:t>Le véhicule</w:t>
      </w:r>
      <w:r w:rsidRPr="00E831CA">
        <w:rPr>
          <w:b/>
          <w:lang w:val="fr-FR"/>
        </w:rPr>
        <w:t xml:space="preserve"> </w:t>
      </w:r>
      <w:r w:rsidRPr="00E831CA">
        <w:rPr>
          <w:lang w:val="fr-FR"/>
        </w:rPr>
        <w:t xml:space="preserve">s’approche de la ligne AA’ à une vitesse stabilisée égale à sa vitesse maximale </w:t>
      </w:r>
      <w:r w:rsidR="006B61DF">
        <w:rPr>
          <w:lang w:val="fr-FR"/>
        </w:rPr>
        <w:t>telle que définie au paragraphe </w:t>
      </w:r>
      <w:r w:rsidRPr="00E831CA">
        <w:rPr>
          <w:lang w:val="fr-FR"/>
        </w:rPr>
        <w:t>2.12 du présent Règlement,</w:t>
      </w:r>
      <w:r w:rsidRPr="00E831CA">
        <w:rPr>
          <w:b/>
          <w:lang w:val="fr-FR"/>
        </w:rPr>
        <w:t xml:space="preserve"> </w:t>
      </w:r>
      <w:r w:rsidRPr="00E831CA">
        <w:rPr>
          <w:lang w:val="fr-FR"/>
        </w:rPr>
        <w:t>si celle-ci est inférieure ou égale à 30 km/h. Si elle est supérieure à 30 km/h, le véhicule s’approche de AA’ à une vitesse stabilisée égale à 30 km/h.</w:t>
      </w:r>
    </w:p>
    <w:p w:rsidR="00E831CA" w:rsidRPr="00E831CA" w:rsidRDefault="00E831CA" w:rsidP="006B61DF">
      <w:pPr>
        <w:pStyle w:val="SingleTxtG"/>
        <w:keepNext/>
        <w:keepLines/>
        <w:ind w:left="2268" w:hanging="1134"/>
        <w:jc w:val="left"/>
        <w:rPr>
          <w:lang w:val="fr-FR"/>
        </w:rPr>
      </w:pPr>
      <w:r w:rsidRPr="00E831CA">
        <w:rPr>
          <w:lang w:val="fr-FR"/>
        </w:rPr>
        <w:t>3.1.2.3</w:t>
      </w:r>
      <w:r w:rsidRPr="00E831CA">
        <w:rPr>
          <w:lang w:val="fr-FR"/>
        </w:rPr>
        <w:tab/>
        <w:t>Rapport à utiliser</w:t>
      </w:r>
    </w:p>
    <w:p w:rsidR="00E831CA" w:rsidRPr="00E831CA" w:rsidRDefault="00E831CA" w:rsidP="006B61DF">
      <w:pPr>
        <w:pStyle w:val="SingleTxtG"/>
        <w:ind w:left="2268"/>
        <w:rPr>
          <w:lang w:val="fr-FR"/>
        </w:rPr>
      </w:pPr>
      <w:r w:rsidRPr="00E831CA">
        <w:rPr>
          <w:lang w:val="fr-FR"/>
        </w:rPr>
        <w:tab/>
        <w:t>Si le véhicule</w:t>
      </w:r>
      <w:r w:rsidRPr="00E831CA">
        <w:rPr>
          <w:b/>
          <w:lang w:val="fr-FR"/>
        </w:rPr>
        <w:t xml:space="preserve"> </w:t>
      </w:r>
      <w:r w:rsidRPr="00E831CA">
        <w:rPr>
          <w:lang w:val="fr-FR"/>
        </w:rPr>
        <w:t>est muni d’une boîte de vitesses à commande manuelle, on choisit le rapport le plus élevé permettant de franchir la ligne AA’, à un régime moteur supérieur ou égal à 50 % du régime nomin</w:t>
      </w:r>
      <w:r w:rsidR="006B61DF">
        <w:rPr>
          <w:lang w:val="fr-FR"/>
        </w:rPr>
        <w:t>al tel que défini au paragraphe </w:t>
      </w:r>
      <w:r w:rsidRPr="00E831CA">
        <w:rPr>
          <w:lang w:val="fr-FR"/>
        </w:rPr>
        <w:t>2.7 du présent Règlement.</w:t>
      </w:r>
    </w:p>
    <w:p w:rsidR="00E831CA" w:rsidRPr="00E831CA" w:rsidRDefault="00E831CA" w:rsidP="006B61DF">
      <w:pPr>
        <w:pStyle w:val="SingleTxtG"/>
        <w:ind w:left="2268"/>
        <w:rPr>
          <w:lang w:val="fr-FR"/>
        </w:rPr>
      </w:pPr>
      <w:r w:rsidRPr="00E831CA">
        <w:rPr>
          <w:lang w:val="fr-FR"/>
        </w:rPr>
        <w:tab/>
        <w:t>Si le véhicule</w:t>
      </w:r>
      <w:r w:rsidRPr="00E831CA">
        <w:rPr>
          <w:b/>
          <w:lang w:val="fr-FR"/>
        </w:rPr>
        <w:t xml:space="preserve"> </w:t>
      </w:r>
      <w:r w:rsidRPr="00E831CA">
        <w:rPr>
          <w:lang w:val="fr-FR"/>
        </w:rPr>
        <w:t>est muni d’une transmission automatique, il est cond</w:t>
      </w:r>
      <w:r w:rsidR="006B61DF">
        <w:rPr>
          <w:lang w:val="fr-FR"/>
        </w:rPr>
        <w:t>uit aux vitesses indiquées sous </w:t>
      </w:r>
      <w:r w:rsidRPr="00E831CA">
        <w:rPr>
          <w:lang w:val="fr-FR"/>
        </w:rPr>
        <w:t>3.1.2.2 ci-dessus.</w:t>
      </w:r>
    </w:p>
    <w:p w:rsidR="00E831CA" w:rsidRPr="00E831CA" w:rsidRDefault="00E831CA" w:rsidP="006B61DF">
      <w:pPr>
        <w:pStyle w:val="SingleTxtG"/>
        <w:keepNext/>
        <w:keepLines/>
        <w:ind w:left="2268" w:hanging="1134"/>
        <w:jc w:val="left"/>
        <w:rPr>
          <w:lang w:val="fr-FR"/>
        </w:rPr>
      </w:pPr>
      <w:r w:rsidRPr="00E831CA">
        <w:rPr>
          <w:lang w:val="fr-FR"/>
        </w:rPr>
        <w:t>3.1.3</w:t>
      </w:r>
      <w:r w:rsidRPr="00E831CA">
        <w:rPr>
          <w:lang w:val="fr-FR"/>
        </w:rPr>
        <w:tab/>
        <w:t>Détermination du niveau sonore</w:t>
      </w:r>
    </w:p>
    <w:p w:rsidR="00E831CA" w:rsidRPr="00E831CA" w:rsidRDefault="00E831CA" w:rsidP="006B61DF">
      <w:pPr>
        <w:pStyle w:val="SingleTxtG"/>
        <w:ind w:left="2268"/>
        <w:rPr>
          <w:b/>
          <w:lang w:val="fr-FR"/>
        </w:rPr>
      </w:pPr>
      <w:r w:rsidRPr="00E831CA">
        <w:rPr>
          <w:lang w:val="fr-FR"/>
        </w:rPr>
        <w:t xml:space="preserve">Le niveau sonore maximal enregistré de chaque côté du </w:t>
      </w:r>
      <w:r w:rsidR="006B61DF">
        <w:rPr>
          <w:lang w:val="fr-FR"/>
        </w:rPr>
        <w:t>véhicule doit être diminué de 1 </w:t>
      </w:r>
      <w:r w:rsidRPr="00E831CA">
        <w:rPr>
          <w:lang w:val="fr-FR"/>
        </w:rPr>
        <w:t>dB(A) afin de tenir compte de toute inexactitude de mesure et arrondi à la première dé</w:t>
      </w:r>
      <w:r w:rsidR="006B61DF">
        <w:rPr>
          <w:lang w:val="fr-FR"/>
        </w:rPr>
        <w:t>cima</w:t>
      </w:r>
      <w:r w:rsidR="00081AA8">
        <w:rPr>
          <w:lang w:val="fr-FR"/>
        </w:rPr>
        <w:t>le (par exemple,</w:t>
      </w:r>
      <w:r w:rsidR="006B61DF">
        <w:rPr>
          <w:lang w:val="fr-FR"/>
        </w:rPr>
        <w:t xml:space="preserve"> consigner </w:t>
      </w:r>
      <w:r w:rsidRPr="00E831CA">
        <w:rPr>
          <w:lang w:val="fr-FR"/>
        </w:rPr>
        <w:t>68,5 pour la vale</w:t>
      </w:r>
      <w:r w:rsidR="006B61DF">
        <w:rPr>
          <w:lang w:val="fr-FR"/>
        </w:rPr>
        <w:t>ur 68,45 et 68,4 pour la valeur </w:t>
      </w:r>
      <w:r w:rsidRPr="00E831CA">
        <w:rPr>
          <w:lang w:val="fr-FR"/>
        </w:rPr>
        <w:t>68,44). Ces valeurs constituent les résultats des mesures.</w:t>
      </w:r>
    </w:p>
    <w:p w:rsidR="00E831CA" w:rsidRPr="00E831CA" w:rsidRDefault="00E831CA" w:rsidP="006B61DF">
      <w:pPr>
        <w:pStyle w:val="SingleTxtG"/>
        <w:ind w:left="2268"/>
        <w:rPr>
          <w:lang w:val="fr-FR"/>
        </w:rPr>
      </w:pPr>
      <w:r w:rsidRPr="00E831CA">
        <w:rPr>
          <w:lang w:val="fr-FR"/>
        </w:rPr>
        <w:t>La mesure n’est pas valable si une valeur de pointe s’écartant anormalement du niveau sonore général est enregistrée.</w:t>
      </w:r>
    </w:p>
    <w:p w:rsidR="00E831CA" w:rsidRPr="00E831CA" w:rsidRDefault="00E831CA" w:rsidP="006B61DF">
      <w:pPr>
        <w:pStyle w:val="SingleTxtG"/>
        <w:ind w:left="2268"/>
        <w:rPr>
          <w:lang w:val="fr-FR"/>
        </w:rPr>
      </w:pPr>
      <w:r w:rsidRPr="00E831CA">
        <w:rPr>
          <w:lang w:val="fr-FR"/>
        </w:rPr>
        <w:t>Deux mesures valables au minimum doivent être prises de chaque côté du véhicule.</w:t>
      </w:r>
    </w:p>
    <w:p w:rsidR="00E831CA" w:rsidRPr="00E831CA" w:rsidRDefault="00E831CA" w:rsidP="006B61DF">
      <w:pPr>
        <w:pStyle w:val="SingleTxtG"/>
        <w:ind w:left="2268"/>
        <w:rPr>
          <w:lang w:val="fr-FR"/>
        </w:rPr>
      </w:pPr>
      <w:r w:rsidRPr="00E831CA">
        <w:rPr>
          <w:lang w:val="fr-FR"/>
        </w:rPr>
        <w:t>Les mesures sont valables si l’écart entre les résultats des deux mesures consécutives prises du même côté du véhicule n’est pas supérieur à 2</w:t>
      </w:r>
      <w:r w:rsidRPr="00E831CA">
        <w:t> </w:t>
      </w:r>
      <w:r w:rsidRPr="00E831CA">
        <w:rPr>
          <w:lang w:val="fr-FR"/>
        </w:rPr>
        <w:t>dB(A).</w:t>
      </w:r>
    </w:p>
    <w:p w:rsidR="00E831CA" w:rsidRPr="00E831CA" w:rsidRDefault="00E831CA" w:rsidP="006B61DF">
      <w:pPr>
        <w:pStyle w:val="SingleTxtG"/>
        <w:ind w:left="2268"/>
        <w:rPr>
          <w:b/>
          <w:lang w:val="fr-FR"/>
        </w:rPr>
      </w:pPr>
      <w:r w:rsidRPr="00E831CA">
        <w:rPr>
          <w:lang w:val="fr-FR"/>
        </w:rPr>
        <w:t>Des mesures préliminaires de réglage peuvent être faites, mais ne seront pas prises en considération dans la détermination des résultats des mesures.</w:t>
      </w:r>
    </w:p>
    <w:p w:rsidR="00E831CA" w:rsidRPr="00E831CA" w:rsidRDefault="00E831CA" w:rsidP="006B61DF">
      <w:pPr>
        <w:pStyle w:val="SingleTxtG"/>
        <w:keepNext/>
        <w:keepLines/>
        <w:ind w:left="2268" w:hanging="1134"/>
        <w:jc w:val="left"/>
        <w:rPr>
          <w:lang w:val="fr-FR"/>
        </w:rPr>
      </w:pPr>
      <w:r w:rsidRPr="00E831CA">
        <w:rPr>
          <w:lang w:val="fr-FR"/>
        </w:rPr>
        <w:t>3.1.4</w:t>
      </w:r>
      <w:r w:rsidRPr="00E831CA">
        <w:rPr>
          <w:lang w:val="fr-FR"/>
        </w:rPr>
        <w:tab/>
        <w:t>Calcul du résultat final de l’essai</w:t>
      </w:r>
    </w:p>
    <w:p w:rsidR="00E831CA" w:rsidRPr="00E831CA" w:rsidRDefault="00E831CA" w:rsidP="006B61DF">
      <w:pPr>
        <w:pStyle w:val="SingleTxtG"/>
        <w:ind w:left="2268"/>
        <w:rPr>
          <w:b/>
          <w:lang w:val="fr-FR"/>
        </w:rPr>
      </w:pPr>
      <w:r w:rsidRPr="00E831CA">
        <w:rPr>
          <w:lang w:val="fr-FR"/>
        </w:rPr>
        <w:t>Le résultat final de l’essai est la moyenne des quatre résultats d’essais arrondie au décibel le plus proche. Si la première décimale est comprise entre</w:t>
      </w:r>
      <w:r w:rsidR="006B61DF">
        <w:rPr>
          <w:lang w:val="fr-FR"/>
        </w:rPr>
        <w:t> </w:t>
      </w:r>
      <w:r w:rsidRPr="00E831CA">
        <w:rPr>
          <w:lang w:val="fr-FR"/>
        </w:rPr>
        <w:t>0 et</w:t>
      </w:r>
      <w:r w:rsidR="006B61DF">
        <w:rPr>
          <w:lang w:val="fr-FR"/>
        </w:rPr>
        <w:t> </w:t>
      </w:r>
      <w:r w:rsidRPr="00E831CA">
        <w:rPr>
          <w:lang w:val="fr-FR"/>
        </w:rPr>
        <w:t>4, le total est arrondi au chiffre inférieur</w:t>
      </w:r>
      <w:r w:rsidR="006B61DF">
        <w:rPr>
          <w:lang w:val="fr-FR"/>
        </w:rPr>
        <w:t>, et si elle est comprise entre </w:t>
      </w:r>
      <w:r w:rsidRPr="00E831CA">
        <w:rPr>
          <w:lang w:val="fr-FR"/>
        </w:rPr>
        <w:t>5 et 9, au chiffre supérieur.</w:t>
      </w:r>
    </w:p>
    <w:p w:rsidR="00E831CA" w:rsidRPr="00E831CA" w:rsidRDefault="00E831CA" w:rsidP="006B61DF">
      <w:pPr>
        <w:pStyle w:val="SingleTxtG"/>
        <w:keepNext/>
        <w:keepLines/>
        <w:ind w:left="2268" w:hanging="1134"/>
        <w:jc w:val="left"/>
        <w:rPr>
          <w:b/>
          <w:lang w:val="fr-FR"/>
        </w:rPr>
      </w:pPr>
      <w:r w:rsidRPr="00E831CA">
        <w:rPr>
          <w:lang w:val="fr-FR"/>
        </w:rPr>
        <w:t>3.2</w:t>
      </w:r>
      <w:r w:rsidRPr="00E831CA">
        <w:rPr>
          <w:lang w:val="fr-FR"/>
        </w:rPr>
        <w:tab/>
        <w:t>Mesure</w:t>
      </w:r>
      <w:r w:rsidR="00081AA8">
        <w:rPr>
          <w:lang w:val="fr-FR"/>
        </w:rPr>
        <w:t xml:space="preserve"> </w:t>
      </w:r>
      <w:r w:rsidRPr="00E831CA">
        <w:rPr>
          <w:lang w:val="fr-FR"/>
        </w:rPr>
        <w:t>des émissions sonores des véhicules</w:t>
      </w:r>
      <w:r w:rsidRPr="00E831CA">
        <w:rPr>
          <w:b/>
          <w:lang w:val="fr-FR"/>
        </w:rPr>
        <w:t xml:space="preserve"> </w:t>
      </w:r>
      <w:r w:rsidRPr="00E831CA">
        <w:rPr>
          <w:lang w:val="fr-FR"/>
        </w:rPr>
        <w:t>à l’arrêt (conditions et méthode de mesure pour le contrôle des véhicules en service)</w:t>
      </w:r>
    </w:p>
    <w:p w:rsidR="00E831CA" w:rsidRPr="00E831CA" w:rsidRDefault="00E831CA" w:rsidP="006B61DF">
      <w:pPr>
        <w:pStyle w:val="SingleTxtG"/>
        <w:ind w:left="2268"/>
        <w:rPr>
          <w:lang w:val="fr-FR"/>
        </w:rPr>
      </w:pPr>
      <w:r w:rsidRPr="00E831CA">
        <w:rPr>
          <w:lang w:val="fr-FR"/>
        </w:rPr>
        <w:t>En outre, afin de facil</w:t>
      </w:r>
      <w:r w:rsidR="00081AA8">
        <w:rPr>
          <w:lang w:val="fr-FR"/>
        </w:rPr>
        <w:t xml:space="preserve">iter le contrôle ultérieur des </w:t>
      </w:r>
      <w:r w:rsidRPr="00E831CA">
        <w:rPr>
          <w:lang w:val="fr-FR"/>
        </w:rPr>
        <w:t>véhicules en service, le niveau de pression acoustique est mesuré à proximité de la sortie du dispositif d’échappement (silencieux) conformément aux prescriptions ci-après, et la valeur relevée est consignée dans le procès-verbal d’essai établi en vue de la délivra</w:t>
      </w:r>
      <w:r w:rsidR="006B61DF">
        <w:rPr>
          <w:lang w:val="fr-FR"/>
        </w:rPr>
        <w:t>nce du document visé à l’annexe </w:t>
      </w:r>
      <w:r w:rsidRPr="00E831CA">
        <w:rPr>
          <w:lang w:val="fr-FR"/>
        </w:rPr>
        <w:t>1 du présent Règlement.</w:t>
      </w:r>
    </w:p>
    <w:p w:rsidR="00E831CA" w:rsidRPr="00E831CA" w:rsidRDefault="00E831CA" w:rsidP="006B61DF">
      <w:pPr>
        <w:pStyle w:val="SingleTxtG"/>
        <w:ind w:left="2268"/>
        <w:rPr>
          <w:lang w:val="fr-FR"/>
        </w:rPr>
      </w:pPr>
      <w:r w:rsidRPr="00E831CA">
        <w:rPr>
          <w:lang w:val="fr-FR"/>
        </w:rPr>
        <w:t xml:space="preserve">Les mesures sont effectuées à l’aide d’un sonomètre de précision, conformément </w:t>
      </w:r>
      <w:r w:rsidR="006B61DF">
        <w:rPr>
          <w:lang w:val="fr-FR"/>
        </w:rPr>
        <w:t>aux prescriptions du paragraphe 1 de l’annexe </w:t>
      </w:r>
      <w:r w:rsidRPr="00E831CA">
        <w:rPr>
          <w:bCs/>
          <w:lang w:val="fr-FR"/>
        </w:rPr>
        <w:t>3 du présent Règlement.</w:t>
      </w:r>
    </w:p>
    <w:p w:rsidR="00E831CA" w:rsidRPr="00E831CA" w:rsidRDefault="00E831CA" w:rsidP="006B61DF">
      <w:pPr>
        <w:pStyle w:val="SingleTxtG"/>
        <w:keepNext/>
        <w:keepLines/>
        <w:ind w:left="2268" w:hanging="1134"/>
        <w:jc w:val="left"/>
        <w:rPr>
          <w:lang w:val="fr-FR"/>
        </w:rPr>
      </w:pPr>
      <w:r w:rsidRPr="00E831CA">
        <w:rPr>
          <w:lang w:val="fr-FR"/>
        </w:rPr>
        <w:t>3.2.1</w:t>
      </w:r>
      <w:r w:rsidRPr="00E831CA">
        <w:rPr>
          <w:lang w:val="fr-FR"/>
        </w:rPr>
        <w:tab/>
        <w:t xml:space="preserve">Nature du terrain d’essai </w:t>
      </w:r>
      <w:r w:rsidR="006B61DF">
        <w:rPr>
          <w:lang w:val="fr-FR"/>
        </w:rPr>
        <w:t>–</w:t>
      </w:r>
      <w:r w:rsidRPr="00E831CA">
        <w:rPr>
          <w:lang w:val="fr-FR"/>
        </w:rPr>
        <w:t xml:space="preserve"> conditions d’environnement</w:t>
      </w:r>
    </w:p>
    <w:p w:rsidR="00E831CA" w:rsidRPr="00E831CA" w:rsidRDefault="00E831CA" w:rsidP="006B61DF">
      <w:pPr>
        <w:pStyle w:val="SingleTxtG"/>
        <w:keepNext/>
        <w:keepLines/>
        <w:ind w:left="2268" w:hanging="1134"/>
        <w:jc w:val="left"/>
        <w:rPr>
          <w:lang w:val="fr-FR"/>
        </w:rPr>
      </w:pPr>
      <w:r w:rsidRPr="00E831CA">
        <w:rPr>
          <w:lang w:val="fr-FR"/>
        </w:rPr>
        <w:t>3.2.1.1</w:t>
      </w:r>
      <w:r w:rsidRPr="00E831CA">
        <w:rPr>
          <w:lang w:val="fr-FR"/>
        </w:rPr>
        <w:tab/>
        <w:t>Les mesures ont lieu sur le véhicule</w:t>
      </w:r>
      <w:r w:rsidRPr="00E831CA">
        <w:rPr>
          <w:b/>
          <w:lang w:val="fr-FR"/>
        </w:rPr>
        <w:t xml:space="preserve"> </w:t>
      </w:r>
      <w:r w:rsidRPr="00E831CA">
        <w:rPr>
          <w:lang w:val="fr-FR"/>
        </w:rPr>
        <w:t>à l’arrêt dans une zone ne présentant pas de perturbation importante du champ sonore.</w:t>
      </w:r>
    </w:p>
    <w:p w:rsidR="00E831CA" w:rsidRPr="00E831CA" w:rsidRDefault="00E831CA" w:rsidP="006B61DF">
      <w:pPr>
        <w:pStyle w:val="SingleTxtG"/>
        <w:ind w:left="2268" w:hanging="1134"/>
        <w:rPr>
          <w:lang w:val="fr-FR"/>
        </w:rPr>
      </w:pPr>
      <w:r w:rsidRPr="00E831CA">
        <w:rPr>
          <w:lang w:val="fr-FR"/>
        </w:rPr>
        <w:t>3.2.1.2</w:t>
      </w:r>
      <w:r w:rsidRPr="00E831CA">
        <w:rPr>
          <w:lang w:val="fr-FR"/>
        </w:rPr>
        <w:tab/>
        <w:t xml:space="preserve">On considère comme zone de mesure appropriée tout site de plein air, constitué par une aire plane recouverte de béton, d’asphalte ou d’un autre matériau dur à fort pouvoir de réflexion, à l’exclusion des surfaces en terre, battue ou non, et sur laquelle on puisse tracer un rectangle dont les côtés se trouvent à </w:t>
      </w:r>
      <w:r w:rsidRPr="00E831CA">
        <w:rPr>
          <w:bCs/>
          <w:lang w:val="fr-FR"/>
        </w:rPr>
        <w:t>3 m</w:t>
      </w:r>
      <w:r w:rsidRPr="00E831CA">
        <w:rPr>
          <w:lang w:val="fr-FR"/>
        </w:rPr>
        <w:t xml:space="preserve"> au moins des extrémités du véhicule</w:t>
      </w:r>
      <w:r w:rsidRPr="00E831CA">
        <w:rPr>
          <w:b/>
          <w:lang w:val="fr-FR"/>
        </w:rPr>
        <w:t xml:space="preserve"> </w:t>
      </w:r>
      <w:r w:rsidRPr="00E831CA">
        <w:rPr>
          <w:lang w:val="fr-FR"/>
        </w:rPr>
        <w:t>et à l’intérieur duquel ne se trouve aucun obstacle notable ; en particulier, on évite de placer le véhicule</w:t>
      </w:r>
      <w:r w:rsidRPr="00E831CA">
        <w:rPr>
          <w:b/>
          <w:lang w:val="fr-FR"/>
        </w:rPr>
        <w:t xml:space="preserve"> </w:t>
      </w:r>
      <w:r w:rsidRPr="00E831CA">
        <w:rPr>
          <w:lang w:val="fr-FR"/>
        </w:rPr>
        <w:t>à moins de 1 m d’une bordure de trottoir lorsqu’on mesure les émissions sonores d’échappement.</w:t>
      </w:r>
    </w:p>
    <w:p w:rsidR="00E831CA" w:rsidRPr="00E831CA" w:rsidRDefault="00E831CA" w:rsidP="006B61DF">
      <w:pPr>
        <w:pStyle w:val="SingleTxtG"/>
        <w:ind w:left="2268" w:hanging="1134"/>
        <w:rPr>
          <w:lang w:val="fr-FR"/>
        </w:rPr>
      </w:pPr>
      <w:r w:rsidRPr="00E831CA">
        <w:rPr>
          <w:lang w:val="fr-FR"/>
        </w:rPr>
        <w:t>3.2.1.3</w:t>
      </w:r>
      <w:r w:rsidRPr="00E831CA">
        <w:rPr>
          <w:lang w:val="fr-FR"/>
        </w:rPr>
        <w:tab/>
        <w:t>Aucune personne ne doit se trouver dans la zone de mesure, à l’exception de l’observateur et du conducteur, dont la présence ne doit pas perturber le résultat de la mesure.</w:t>
      </w:r>
    </w:p>
    <w:p w:rsidR="00E831CA" w:rsidRPr="00E831CA" w:rsidRDefault="00E831CA" w:rsidP="006B61DF">
      <w:pPr>
        <w:pStyle w:val="SingleTxtG"/>
        <w:keepNext/>
        <w:keepLines/>
        <w:ind w:left="2268" w:hanging="1134"/>
        <w:jc w:val="left"/>
        <w:rPr>
          <w:lang w:val="fr-FR"/>
        </w:rPr>
      </w:pPr>
      <w:r w:rsidRPr="00E831CA">
        <w:rPr>
          <w:lang w:val="fr-FR"/>
        </w:rPr>
        <w:t>3.2.2</w:t>
      </w:r>
      <w:r w:rsidRPr="00E831CA">
        <w:rPr>
          <w:lang w:val="fr-FR"/>
        </w:rPr>
        <w:tab/>
        <w:t>Bruits parasites et influence du vent</w:t>
      </w:r>
    </w:p>
    <w:p w:rsidR="00E831CA" w:rsidRPr="00E831CA" w:rsidRDefault="00E831CA" w:rsidP="006B61DF">
      <w:pPr>
        <w:pStyle w:val="SingleTxtG"/>
        <w:ind w:left="2268"/>
        <w:rPr>
          <w:lang w:val="fr-FR"/>
        </w:rPr>
      </w:pPr>
      <w:r w:rsidRPr="00E831CA">
        <w:rPr>
          <w:lang w:val="fr-FR"/>
        </w:rPr>
        <w:t>Les niveaux de bruit ambiant en chaque point de mesure doivent être au moins de 10 dB(A) en dessous des niveaux mesurés aux mêmes points au cours de l’essai.</w:t>
      </w:r>
    </w:p>
    <w:p w:rsidR="00E831CA" w:rsidRPr="00E831CA" w:rsidRDefault="00E831CA" w:rsidP="006B61DF">
      <w:pPr>
        <w:pStyle w:val="SingleTxtG"/>
        <w:keepNext/>
        <w:keepLines/>
        <w:ind w:left="2268" w:hanging="1134"/>
        <w:jc w:val="left"/>
        <w:rPr>
          <w:lang w:val="fr-FR"/>
        </w:rPr>
      </w:pPr>
      <w:r w:rsidRPr="00E831CA">
        <w:rPr>
          <w:noProof/>
          <w:lang w:val="en-GB" w:eastAsia="en-GB"/>
        </w:rPr>
        <mc:AlternateContent>
          <mc:Choice Requires="wps">
            <w:drawing>
              <wp:anchor distT="0" distB="0" distL="114300" distR="114300" simplePos="0" relativeHeight="251664384" behindDoc="0" locked="0" layoutInCell="1" allowOverlap="1" wp14:anchorId="1003292A" wp14:editId="644EDC50">
                <wp:simplePos x="0" y="0"/>
                <wp:positionH relativeFrom="column">
                  <wp:posOffset>0</wp:posOffset>
                </wp:positionH>
                <wp:positionV relativeFrom="paragraph">
                  <wp:posOffset>0</wp:posOffset>
                </wp:positionV>
                <wp:extent cx="635000" cy="635000"/>
                <wp:effectExtent l="9525" t="9525" r="12700" b="12700"/>
                <wp:wrapNone/>
                <wp:docPr id="32" name="Zone de texte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F12A" id="Zone de texte 3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WY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2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CQH1mC0CAABWBAAADgAAAAAAAAAAAAAAAAAuAgAAZHJzL2Uyb0Rv&#10;Yy54bWxQSwECLQAUAAYACAAAACEAjqBz5dcAAAAFAQAADwAAAAAAAAAAAAAAAACHBAAAZHJzL2Rv&#10;d25yZXYueG1sUEsFBgAAAAAEAAQA8wAAAIsFAAAAAA==&#10;">
                <v:stroke joinstyle="round"/>
                <o:lock v:ext="edit" selection="t"/>
              </v:shape>
            </w:pict>
          </mc:Fallback>
        </mc:AlternateContent>
      </w:r>
      <w:r w:rsidRPr="00E831CA">
        <w:rPr>
          <w:lang w:val="fr-FR"/>
        </w:rPr>
        <w:t>3.2.3</w:t>
      </w:r>
      <w:r w:rsidRPr="00E831CA">
        <w:rPr>
          <w:lang w:val="fr-FR"/>
        </w:rPr>
        <w:tab/>
        <w:t>Méthode de mesure</w:t>
      </w:r>
    </w:p>
    <w:p w:rsidR="00E831CA" w:rsidRPr="00E831CA" w:rsidRDefault="00E831CA" w:rsidP="006B61DF">
      <w:pPr>
        <w:pStyle w:val="SingleTxtG"/>
        <w:keepNext/>
        <w:keepLines/>
        <w:ind w:left="2268" w:hanging="1134"/>
        <w:jc w:val="left"/>
        <w:rPr>
          <w:lang w:val="fr-FR"/>
        </w:rPr>
      </w:pPr>
      <w:r w:rsidRPr="00E831CA">
        <w:rPr>
          <w:lang w:val="fr-FR"/>
        </w:rPr>
        <w:t>3.2.3.1</w:t>
      </w:r>
      <w:r w:rsidRPr="00E831CA">
        <w:rPr>
          <w:lang w:val="fr-FR"/>
        </w:rPr>
        <w:tab/>
        <w:t>Nature et nombre des mesures</w:t>
      </w:r>
    </w:p>
    <w:p w:rsidR="00E831CA" w:rsidRPr="00E831CA" w:rsidRDefault="00E831CA" w:rsidP="006B61DF">
      <w:pPr>
        <w:pStyle w:val="SingleTxtG"/>
        <w:ind w:left="2268"/>
        <w:rPr>
          <w:lang w:val="fr-FR"/>
        </w:rPr>
      </w:pPr>
      <w:r w:rsidRPr="00E831CA">
        <w:rPr>
          <w:lang w:val="fr-FR"/>
        </w:rPr>
        <w:t>Le niveau sonore maximal exprimé en décibels (dB) pondérés (A) est mesuré pendant l’opération indiquée au paragraphe 3.2.3.3.2.1 ci-dessous.</w:t>
      </w:r>
    </w:p>
    <w:p w:rsidR="00E831CA" w:rsidRPr="00E831CA" w:rsidRDefault="00E831CA" w:rsidP="006B61DF">
      <w:pPr>
        <w:pStyle w:val="SingleTxtG"/>
        <w:ind w:left="2268"/>
        <w:rPr>
          <w:lang w:val="fr-FR"/>
        </w:rPr>
      </w:pPr>
      <w:r w:rsidRPr="00E831CA">
        <w:rPr>
          <w:lang w:val="fr-FR"/>
        </w:rPr>
        <w:t>Trois mesures au moins sont effectuées en chaque point de mesure.</w:t>
      </w:r>
    </w:p>
    <w:p w:rsidR="00E831CA" w:rsidRPr="00E831CA" w:rsidRDefault="00E831CA" w:rsidP="006B61DF">
      <w:pPr>
        <w:pStyle w:val="SingleTxtG"/>
        <w:keepNext/>
        <w:keepLines/>
        <w:ind w:left="2268" w:hanging="1134"/>
        <w:jc w:val="left"/>
        <w:rPr>
          <w:b/>
          <w:lang w:val="fr-FR"/>
        </w:rPr>
      </w:pPr>
      <w:r w:rsidRPr="00E831CA">
        <w:rPr>
          <w:noProof/>
          <w:lang w:val="en-GB" w:eastAsia="en-GB"/>
        </w:rPr>
        <mc:AlternateContent>
          <mc:Choice Requires="wps">
            <w:drawing>
              <wp:anchor distT="0" distB="0" distL="114300" distR="114300" simplePos="0" relativeHeight="251665408" behindDoc="0" locked="0" layoutInCell="1" allowOverlap="1" wp14:anchorId="4066E1C6" wp14:editId="45F0344F">
                <wp:simplePos x="0" y="0"/>
                <wp:positionH relativeFrom="column">
                  <wp:posOffset>0</wp:posOffset>
                </wp:positionH>
                <wp:positionV relativeFrom="paragraph">
                  <wp:posOffset>0</wp:posOffset>
                </wp:positionV>
                <wp:extent cx="635000" cy="635000"/>
                <wp:effectExtent l="9525" t="9525" r="12700" b="12700"/>
                <wp:wrapNone/>
                <wp:docPr id="31" name="Zone de texte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1364" id="Zone de texte 31"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HZ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6a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ATEB2S0CAABWBAAADgAAAAAAAAAAAAAAAAAuAgAAZHJzL2Uyb0Rv&#10;Yy54bWxQSwECLQAUAAYACAAAACEAjqBz5dcAAAAFAQAADwAAAAAAAAAAAAAAAACHBAAAZHJzL2Rv&#10;d25yZXYueG1sUEsFBgAAAAAEAAQA8wAAAIsFAAAAAA==&#10;">
                <v:stroke joinstyle="round"/>
                <o:lock v:ext="edit" selection="t"/>
              </v:shape>
            </w:pict>
          </mc:Fallback>
        </mc:AlternateContent>
      </w:r>
      <w:r w:rsidRPr="00E831CA">
        <w:rPr>
          <w:lang w:val="fr-FR"/>
        </w:rPr>
        <w:t>3.2.3.2</w:t>
      </w:r>
      <w:r w:rsidRPr="00E831CA">
        <w:rPr>
          <w:lang w:val="fr-FR"/>
        </w:rPr>
        <w:tab/>
        <w:t>Position et préparation du véhicule</w:t>
      </w:r>
    </w:p>
    <w:p w:rsidR="00E831CA" w:rsidRPr="00E831CA" w:rsidRDefault="00E831CA" w:rsidP="006B61DF">
      <w:pPr>
        <w:pStyle w:val="SingleTxtG"/>
        <w:ind w:left="2268"/>
        <w:rPr>
          <w:lang w:val="fr-FR"/>
        </w:rPr>
      </w:pPr>
      <w:r w:rsidRPr="00E831CA">
        <w:rPr>
          <w:lang w:val="fr-FR"/>
        </w:rPr>
        <w:t>Avant le début des mesures, le moteur du véhicule</w:t>
      </w:r>
      <w:r w:rsidRPr="00E831CA">
        <w:rPr>
          <w:b/>
          <w:lang w:val="fr-FR"/>
        </w:rPr>
        <w:t xml:space="preserve"> </w:t>
      </w:r>
      <w:r w:rsidRPr="00E831CA">
        <w:rPr>
          <w:lang w:val="fr-FR"/>
        </w:rPr>
        <w:t>est porté à sa température de fonctionnement normale. Si le véhicule</w:t>
      </w:r>
      <w:r w:rsidRPr="00E831CA">
        <w:rPr>
          <w:b/>
          <w:lang w:val="fr-FR"/>
        </w:rPr>
        <w:t xml:space="preserve"> </w:t>
      </w:r>
      <w:r w:rsidRPr="00E831CA">
        <w:rPr>
          <w:lang w:val="fr-FR"/>
        </w:rPr>
        <w:t>est doté de ventilateurs à commande automatique, leurs réglages ne doivent pas être modifiés pour la mesure du niveau sonore.</w:t>
      </w:r>
    </w:p>
    <w:p w:rsidR="00E831CA" w:rsidRPr="00E831CA" w:rsidRDefault="00E831CA" w:rsidP="006B61DF">
      <w:pPr>
        <w:pStyle w:val="SingleTxtG"/>
        <w:ind w:left="2268"/>
        <w:rPr>
          <w:lang w:val="fr-FR"/>
        </w:rPr>
      </w:pPr>
      <w:r w:rsidRPr="00E831CA">
        <w:rPr>
          <w:lang w:val="fr-FR"/>
        </w:rPr>
        <w:t>Durant les mesures, la commande de la boîte de vitesses est au point mort. Dans le cas où il est impossible de désaccoupler la transmission, on doit faire en sorte que la roue motrice du véhicule</w:t>
      </w:r>
      <w:r w:rsidRPr="00E831CA">
        <w:rPr>
          <w:b/>
          <w:lang w:val="fr-FR"/>
        </w:rPr>
        <w:t xml:space="preserve"> </w:t>
      </w:r>
      <w:r w:rsidRPr="00E831CA">
        <w:rPr>
          <w:lang w:val="fr-FR"/>
        </w:rPr>
        <w:t>puisse tourner à vide, par exemple en mettant ce dernier sur sa béquille.</w:t>
      </w:r>
    </w:p>
    <w:p w:rsidR="00E831CA" w:rsidRPr="00E831CA" w:rsidRDefault="00E831CA" w:rsidP="006B61DF">
      <w:pPr>
        <w:pStyle w:val="SingleTxtG"/>
        <w:keepNext/>
        <w:keepLines/>
        <w:ind w:left="2268" w:hanging="1134"/>
        <w:jc w:val="left"/>
        <w:rPr>
          <w:lang w:val="fr-FR"/>
        </w:rPr>
      </w:pPr>
      <w:r w:rsidRPr="00E831CA">
        <w:rPr>
          <w:noProof/>
          <w:lang w:val="en-GB" w:eastAsia="en-GB"/>
        </w:rPr>
        <mc:AlternateContent>
          <mc:Choice Requires="wps">
            <w:drawing>
              <wp:anchor distT="0" distB="0" distL="114300" distR="114300" simplePos="0" relativeHeight="251666432" behindDoc="0" locked="0" layoutInCell="1" allowOverlap="1" wp14:anchorId="2B138A33" wp14:editId="27A995A7">
                <wp:simplePos x="0" y="0"/>
                <wp:positionH relativeFrom="column">
                  <wp:posOffset>0</wp:posOffset>
                </wp:positionH>
                <wp:positionV relativeFrom="paragraph">
                  <wp:posOffset>0</wp:posOffset>
                </wp:positionV>
                <wp:extent cx="635000" cy="635000"/>
                <wp:effectExtent l="9525" t="9525" r="12700" b="12700"/>
                <wp:wrapNone/>
                <wp:docPr id="30" name="Zone de texte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0706" id="Zone de texte 30"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LmLA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53lLmLAIAAFYEAAAOAAAAAAAAAAAAAAAAAC4CAABkcnMvZTJvRG9j&#10;LnhtbFBLAQItABQABgAIAAAAIQCOoHPl1wAAAAUBAAAPAAAAAAAAAAAAAAAAAIYEAABkcnMvZG93&#10;bnJldi54bWxQSwUGAAAAAAQABADzAAAAigUAAAAA&#10;">
                <v:stroke joinstyle="round"/>
                <o:lock v:ext="edit" selection="t"/>
              </v:shape>
            </w:pict>
          </mc:Fallback>
        </mc:AlternateContent>
      </w:r>
      <w:r w:rsidRPr="00E831CA">
        <w:rPr>
          <w:lang w:val="fr-FR"/>
        </w:rPr>
        <w:t>3.2.3.3</w:t>
      </w:r>
      <w:r w:rsidRPr="00E831CA">
        <w:rPr>
          <w:lang w:val="fr-FR"/>
        </w:rPr>
        <w:tab/>
        <w:t>Mesure des émissions sonores</w:t>
      </w:r>
      <w:r w:rsidRPr="00E831CA">
        <w:rPr>
          <w:b/>
          <w:lang w:val="fr-FR"/>
        </w:rPr>
        <w:t xml:space="preserve"> </w:t>
      </w:r>
      <w:r w:rsidRPr="00E831CA">
        <w:rPr>
          <w:lang w:val="fr-FR"/>
        </w:rPr>
        <w:t>à proximité de l’échappement</w:t>
      </w:r>
    </w:p>
    <w:p w:rsidR="00E831CA" w:rsidRPr="00E831CA" w:rsidRDefault="00E831CA" w:rsidP="006B61DF">
      <w:pPr>
        <w:pStyle w:val="SingleTxtG"/>
        <w:keepNext/>
        <w:keepLines/>
        <w:ind w:left="2268" w:hanging="1134"/>
        <w:jc w:val="left"/>
        <w:rPr>
          <w:b/>
          <w:lang w:val="fr-FR"/>
        </w:rPr>
      </w:pPr>
      <w:r w:rsidRPr="00E831CA">
        <w:rPr>
          <w:lang w:val="fr-FR"/>
        </w:rPr>
        <w:t>3.2.3.3.1</w:t>
      </w:r>
      <w:r w:rsidRPr="00E831CA">
        <w:rPr>
          <w:lang w:val="fr-FR"/>
        </w:rPr>
        <w:tab/>
        <w:t>Positionnemen</w:t>
      </w:r>
      <w:r w:rsidR="006B61DF">
        <w:rPr>
          <w:lang w:val="fr-FR"/>
        </w:rPr>
        <w:t>t du microphone (voir la figure </w:t>
      </w:r>
      <w:r w:rsidRPr="00E831CA">
        <w:rPr>
          <w:lang w:val="fr-FR"/>
        </w:rPr>
        <w:t>2)</w:t>
      </w:r>
    </w:p>
    <w:p w:rsidR="00E831CA" w:rsidRPr="00E831CA" w:rsidRDefault="00E831CA" w:rsidP="006B61DF">
      <w:pPr>
        <w:pStyle w:val="SingleTxtG"/>
        <w:ind w:left="2268"/>
        <w:rPr>
          <w:bCs/>
          <w:lang w:val="fr-FR"/>
        </w:rPr>
      </w:pPr>
      <w:r w:rsidRPr="00E831CA">
        <w:rPr>
          <w:bCs/>
          <w:lang w:val="fr-FR"/>
        </w:rPr>
        <w:t>Le microphone doit être placé à une distance de 0,5 </w:t>
      </w:r>
      <w:r w:rsidRPr="00E831CA">
        <w:rPr>
          <w:lang w:val="fr-FR"/>
        </w:rPr>
        <w:sym w:font="Symbol" w:char="F0B1"/>
      </w:r>
      <w:r w:rsidRPr="00E831CA">
        <w:rPr>
          <w:lang w:val="fr-FR"/>
        </w:rPr>
        <w:t> </w:t>
      </w:r>
      <w:r w:rsidRPr="00E831CA">
        <w:rPr>
          <w:bCs/>
          <w:lang w:val="fr-FR"/>
        </w:rPr>
        <w:t>0,01 m du point de référence du tuyau d’é</w:t>
      </w:r>
      <w:r w:rsidR="006B61DF">
        <w:rPr>
          <w:bCs/>
          <w:lang w:val="fr-FR"/>
        </w:rPr>
        <w:t>chappement, défini à la</w:t>
      </w:r>
      <w:r w:rsidR="00081AA8">
        <w:rPr>
          <w:bCs/>
          <w:lang w:val="fr-FR"/>
        </w:rPr>
        <w:t xml:space="preserve"> </w:t>
      </w:r>
      <w:r w:rsidR="006B61DF">
        <w:rPr>
          <w:bCs/>
          <w:lang w:val="fr-FR"/>
        </w:rPr>
        <w:t>figure </w:t>
      </w:r>
      <w:r w:rsidRPr="00E831CA">
        <w:rPr>
          <w:bCs/>
          <w:lang w:val="fr-FR"/>
        </w:rPr>
        <w:t>3, et selon un angle de 45 </w:t>
      </w:r>
      <w:r w:rsidRPr="00E831CA">
        <w:rPr>
          <w:lang w:val="fr-FR"/>
        </w:rPr>
        <w:sym w:font="Symbol" w:char="F0B1"/>
      </w:r>
      <w:r w:rsidRPr="00E831CA">
        <w:rPr>
          <w:lang w:val="fr-FR"/>
        </w:rPr>
        <w:t> </w:t>
      </w:r>
      <w:r w:rsidRPr="00E831CA">
        <w:rPr>
          <w:bCs/>
          <w:lang w:val="fr-FR"/>
        </w:rPr>
        <w:t>5° par rapport au plan vertical situé dans l’axe du flux de l’extrémité du tube d’échappement. Le microphone doit se trouver à la hauteur du point de référence, mais au minimum à 0,2 m au-dessus du plan du sol. L’axe de référence du microphone doit être situé dans un plan parallèle au plan du sol et doit être dirigé vers le point de référence de la sortie de l’échappement.</w:t>
      </w:r>
    </w:p>
    <w:p w:rsidR="00E831CA" w:rsidRPr="00E831CA" w:rsidRDefault="00E831CA" w:rsidP="006B61DF">
      <w:pPr>
        <w:pStyle w:val="SingleTxtG"/>
        <w:keepNext/>
        <w:keepLines/>
        <w:ind w:left="2268"/>
        <w:rPr>
          <w:bCs/>
          <w:lang w:val="fr-FR"/>
        </w:rPr>
      </w:pPr>
      <w:r w:rsidRPr="00E831CA">
        <w:rPr>
          <w:bCs/>
          <w:lang w:val="fr-FR"/>
        </w:rPr>
        <w:t>Le point de référence doit être le point situé le plus haut satisfaisant aux conditions ci-après :</w:t>
      </w:r>
    </w:p>
    <w:p w:rsidR="00E831CA" w:rsidRPr="00E831CA" w:rsidRDefault="00E831CA" w:rsidP="006B61DF">
      <w:pPr>
        <w:pStyle w:val="SingleTxtG"/>
        <w:ind w:left="2268"/>
        <w:rPr>
          <w:lang w:val="fr-FR"/>
        </w:rPr>
      </w:pPr>
      <w:r w:rsidRPr="00E831CA">
        <w:rPr>
          <w:lang w:val="fr-FR"/>
        </w:rPr>
        <w:t>a)</w:t>
      </w:r>
      <w:r w:rsidRPr="00E831CA">
        <w:rPr>
          <w:lang w:val="fr-FR"/>
        </w:rPr>
        <w:tab/>
        <w:t>Être situé à l’extrémité du tuyau d’échappement ; et</w:t>
      </w:r>
    </w:p>
    <w:p w:rsidR="00E831CA" w:rsidRPr="00E831CA" w:rsidRDefault="00E831CA" w:rsidP="006B61DF">
      <w:pPr>
        <w:pStyle w:val="SingleTxtG"/>
        <w:ind w:left="2835" w:hanging="567"/>
        <w:rPr>
          <w:lang w:val="fr-FR"/>
        </w:rPr>
      </w:pPr>
      <w:r w:rsidRPr="00E831CA">
        <w:rPr>
          <w:lang w:val="fr-FR"/>
        </w:rPr>
        <w:t>b)</w:t>
      </w:r>
      <w:r w:rsidRPr="00E831CA">
        <w:rPr>
          <w:lang w:val="fr-FR"/>
        </w:rPr>
        <w:tab/>
        <w:t>Être situé dans le plan vertical comprenant le centre de la sortie du tuyau d’échappement et l’axe du flux des gaz d’échappement.</w:t>
      </w:r>
    </w:p>
    <w:p w:rsidR="00E831CA" w:rsidRPr="00E831CA" w:rsidRDefault="00E831CA" w:rsidP="006B61DF">
      <w:pPr>
        <w:pStyle w:val="SingleTxtG"/>
        <w:ind w:left="2268"/>
        <w:rPr>
          <w:bCs/>
          <w:lang w:val="fr-FR"/>
        </w:rPr>
      </w:pPr>
      <w:r w:rsidRPr="00E831CA">
        <w:rPr>
          <w:bCs/>
          <w:lang w:val="fr-FR"/>
        </w:rPr>
        <w:t>Si le microphone peut être placé à deux emplacements, c’est l’emplacement situé le plus loin latéralement de l’axe longitudinal du véhicule qui est retenu. Si l’axe du flux de l’extrémité du tuyau d’échappement fait un angle de 90 </w:t>
      </w:r>
      <w:r w:rsidRPr="00E831CA">
        <w:rPr>
          <w:lang w:val="fr-FR"/>
        </w:rPr>
        <w:sym w:font="Symbol" w:char="F0B1"/>
      </w:r>
      <w:r w:rsidRPr="00E831CA">
        <w:rPr>
          <w:lang w:val="fr-FR"/>
        </w:rPr>
        <w:t> </w:t>
      </w:r>
      <w:r w:rsidRPr="00E831CA">
        <w:rPr>
          <w:bCs/>
          <w:lang w:val="fr-FR"/>
        </w:rPr>
        <w:t>5° avec l’axe longitudinal du véhicule, le microphone doit être placé au point le plus éloigné du moteur.</w:t>
      </w:r>
    </w:p>
    <w:p w:rsidR="00E831CA" w:rsidRPr="00E831CA" w:rsidRDefault="00E831CA" w:rsidP="006B61DF">
      <w:pPr>
        <w:pStyle w:val="SingleTxtG"/>
        <w:ind w:left="2268"/>
        <w:rPr>
          <w:bCs/>
          <w:lang w:val="fr-FR"/>
        </w:rPr>
      </w:pPr>
      <w:r w:rsidRPr="00E831CA">
        <w:rPr>
          <w:bCs/>
          <w:lang w:val="fr-FR"/>
        </w:rPr>
        <w:t>Si le véhicule possède deux sorties d’échappement ou davantage espacées de moins de 0,3 m et raccordées au même silencieux, une seule mesure est effectuée.</w:t>
      </w:r>
    </w:p>
    <w:p w:rsidR="00E831CA" w:rsidRPr="00E831CA" w:rsidRDefault="00E831CA" w:rsidP="006B61DF">
      <w:pPr>
        <w:pStyle w:val="SingleTxtG"/>
        <w:ind w:left="2268"/>
        <w:rPr>
          <w:bCs/>
          <w:lang w:val="fr-FR"/>
        </w:rPr>
      </w:pPr>
      <w:r w:rsidRPr="00E831CA">
        <w:rPr>
          <w:bCs/>
          <w:lang w:val="fr-FR"/>
        </w:rPr>
        <w:t>Le microphone est placé devant la sortie la plus éloignée de l’axe longitudinal du véhicule ou, si celle-ci n’existe pas, devant la sortie la plus haute.</w:t>
      </w:r>
    </w:p>
    <w:p w:rsidR="00E831CA" w:rsidRPr="00E831CA" w:rsidRDefault="00E831CA" w:rsidP="006B61DF">
      <w:pPr>
        <w:pStyle w:val="SingleTxtG"/>
        <w:ind w:left="2268"/>
        <w:rPr>
          <w:bCs/>
          <w:lang w:val="fr-FR"/>
        </w:rPr>
      </w:pPr>
      <w:r w:rsidRPr="00E831CA">
        <w:rPr>
          <w:bCs/>
          <w:lang w:val="fr-FR"/>
        </w:rPr>
        <w:t>Sur les véhicules dont l’échappement est constitué de plusieurs sorties espacées de plus de 0,3 m, une mesure est effectuée à chaque sortie comme si elles étaient uniques et c’est la valeur acoustique la plus élevée qui est retenue. Aux fins des contrôles routiers, le point de référence peut être déplacé à l’extérieur de la carrosserie.</w:t>
      </w:r>
    </w:p>
    <w:p w:rsidR="00E831CA" w:rsidRPr="006B61DF" w:rsidRDefault="006B61DF" w:rsidP="006B61DF">
      <w:pPr>
        <w:pStyle w:val="Heading1"/>
        <w:spacing w:after="120"/>
        <w:ind w:left="2268"/>
        <w:rPr>
          <w:b/>
          <w:lang w:val="fr-FR"/>
        </w:rPr>
      </w:pPr>
      <w:r>
        <w:rPr>
          <w:lang w:val="fr-FR"/>
        </w:rPr>
        <w:t>Figure </w:t>
      </w:r>
      <w:r w:rsidR="00E831CA" w:rsidRPr="00E831CA">
        <w:rPr>
          <w:lang w:val="fr-FR"/>
        </w:rPr>
        <w:t xml:space="preserve">2 </w:t>
      </w:r>
      <w:r w:rsidR="00E831CA" w:rsidRPr="00E831CA">
        <w:rPr>
          <w:lang w:val="fr-FR"/>
        </w:rPr>
        <w:br/>
      </w:r>
      <w:r w:rsidR="00E831CA" w:rsidRPr="006B61DF">
        <w:rPr>
          <w:b/>
          <w:lang w:val="fr-FR"/>
        </w:rPr>
        <w:t>Positions à respecter pour les mesures sur les véhicules à l’arrêt</w:t>
      </w:r>
    </w:p>
    <w:p w:rsidR="006B61DF" w:rsidRDefault="006B61DF" w:rsidP="006B61DF">
      <w:pPr>
        <w:pStyle w:val="SingleTxtG"/>
        <w:ind w:left="2268"/>
        <w:rPr>
          <w:lang w:val="fr-FR"/>
        </w:rPr>
      </w:pPr>
      <w:r w:rsidRPr="0041484D">
        <w:rPr>
          <w:noProof/>
          <w:lang w:val="en-GB" w:eastAsia="en-GB"/>
        </w:rPr>
        <mc:AlternateContent>
          <mc:Choice Requires="wps">
            <w:drawing>
              <wp:anchor distT="0" distB="0" distL="114300" distR="114300" simplePos="0" relativeHeight="251668480" behindDoc="0" locked="0" layoutInCell="1" allowOverlap="1" wp14:anchorId="2FDEFA51" wp14:editId="1835B651">
                <wp:simplePos x="0" y="0"/>
                <wp:positionH relativeFrom="column">
                  <wp:posOffset>3667760</wp:posOffset>
                </wp:positionH>
                <wp:positionV relativeFrom="paragraph">
                  <wp:posOffset>5080</wp:posOffset>
                </wp:positionV>
                <wp:extent cx="1295400" cy="393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3700"/>
                        </a:xfrm>
                        <a:prstGeom prst="rect">
                          <a:avLst/>
                        </a:prstGeom>
                        <a:solidFill>
                          <a:srgbClr val="FFFFFF"/>
                        </a:solidFill>
                        <a:ln w="9525">
                          <a:noFill/>
                          <a:miter lim="800000"/>
                          <a:headEnd/>
                          <a:tailEnd/>
                        </a:ln>
                      </wps:spPr>
                      <wps:txbx>
                        <w:txbxContent>
                          <w:p w:rsidR="00114989" w:rsidRPr="00553582" w:rsidRDefault="00114989" w:rsidP="006B61DF">
                            <w:pPr>
                              <w:spacing w:line="240" w:lineRule="auto"/>
                              <w:rPr>
                                <w:sz w:val="16"/>
                                <w:szCs w:val="16"/>
                              </w:rPr>
                            </w:pPr>
                            <w:r>
                              <w:rPr>
                                <w:sz w:val="16"/>
                                <w:szCs w:val="16"/>
                              </w:rPr>
                              <w:t xml:space="preserve">Sauf indication contraire, </w:t>
                            </w:r>
                            <w:r>
                              <w:rPr>
                                <w:sz w:val="16"/>
                                <w:szCs w:val="16"/>
                              </w:rPr>
                              <w:br/>
                              <w:t xml:space="preserve">les dimensions sont données </w:t>
                            </w:r>
                            <w:r>
                              <w:rPr>
                                <w:sz w:val="16"/>
                                <w:szCs w:val="16"/>
                              </w:rPr>
                              <w:br/>
                              <w:t>e</w:t>
                            </w:r>
                            <w:r w:rsidRPr="00553582">
                              <w:rPr>
                                <w:sz w:val="16"/>
                                <w:szCs w:val="16"/>
                              </w:rPr>
                              <w:t>n mètres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EFA51" id="Text Box 2" o:spid="_x0000_s1026" type="#_x0000_t202" style="position:absolute;left:0;text-align:left;margin-left:288.8pt;margin-top:.4pt;width:102pt;height: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" stroked="f">
                <v:textbox inset="0,0,0,0">
                  <w:txbxContent>
                    <w:p w:rsidR="00114989" w:rsidRPr="00553582" w:rsidRDefault="00114989" w:rsidP="006B61DF">
                      <w:pPr>
                        <w:spacing w:line="240" w:lineRule="auto"/>
                        <w:rPr>
                          <w:sz w:val="16"/>
                          <w:szCs w:val="16"/>
                        </w:rPr>
                      </w:pPr>
                      <w:r>
                        <w:rPr>
                          <w:sz w:val="16"/>
                          <w:szCs w:val="16"/>
                        </w:rPr>
                        <w:t xml:space="preserve">Sauf indication contraire, </w:t>
                      </w:r>
                      <w:r>
                        <w:rPr>
                          <w:sz w:val="16"/>
                          <w:szCs w:val="16"/>
                        </w:rPr>
                        <w:br/>
                        <w:t xml:space="preserve">les dimensions sont données </w:t>
                      </w:r>
                      <w:r>
                        <w:rPr>
                          <w:sz w:val="16"/>
                          <w:szCs w:val="16"/>
                        </w:rPr>
                        <w:br/>
                        <w:t>e</w:t>
                      </w:r>
                      <w:r w:rsidRPr="00553582">
                        <w:rPr>
                          <w:sz w:val="16"/>
                          <w:szCs w:val="16"/>
                        </w:rPr>
                        <w:t>n mètres</w:t>
                      </w:r>
                    </w:p>
                  </w:txbxContent>
                </v:textbox>
              </v:shape>
            </w:pict>
          </mc:Fallback>
        </mc:AlternateContent>
      </w:r>
      <w:r>
        <w:rPr>
          <w:noProof/>
          <w:lang w:val="en-GB" w:eastAsia="en-GB"/>
        </w:rPr>
        <w:drawing>
          <wp:inline distT="0" distB="0" distL="0" distR="0" wp14:anchorId="5FA00070" wp14:editId="183DBFAD">
            <wp:extent cx="3900883" cy="408305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2978" cy="4085243"/>
                    </a:xfrm>
                    <a:prstGeom prst="rect">
                      <a:avLst/>
                    </a:prstGeom>
                    <a:noFill/>
                    <a:ln>
                      <a:noFill/>
                    </a:ln>
                  </pic:spPr>
                </pic:pic>
              </a:graphicData>
            </a:graphic>
          </wp:inline>
        </w:drawing>
      </w:r>
    </w:p>
    <w:p w:rsidR="00E831CA" w:rsidRDefault="006B61DF" w:rsidP="00024217">
      <w:pPr>
        <w:pStyle w:val="Heading1"/>
        <w:spacing w:after="120"/>
        <w:rPr>
          <w:b/>
          <w:lang w:val="fr-FR"/>
        </w:rPr>
      </w:pPr>
      <w:r w:rsidRPr="0041484D">
        <w:rPr>
          <w:lang w:val="fr-FR"/>
        </w:rPr>
        <w:t>Figure</w:t>
      </w:r>
      <w:r>
        <w:rPr>
          <w:lang w:val="fr-FR"/>
        </w:rPr>
        <w:t> </w:t>
      </w:r>
      <w:r w:rsidRPr="0041484D">
        <w:rPr>
          <w:lang w:val="fr-FR"/>
        </w:rPr>
        <w:t xml:space="preserve">3 </w:t>
      </w:r>
      <w:r w:rsidRPr="0041484D">
        <w:rPr>
          <w:lang w:val="fr-FR"/>
        </w:rPr>
        <w:br/>
      </w:r>
      <w:r w:rsidRPr="006B61DF">
        <w:rPr>
          <w:b/>
          <w:lang w:val="fr-FR"/>
        </w:rPr>
        <w:t>Point de référence</w:t>
      </w:r>
    </w:p>
    <w:p w:rsidR="006B61DF" w:rsidRDefault="006B61DF" w:rsidP="006B61DF">
      <w:pPr>
        <w:pStyle w:val="SingleTxtG"/>
        <w:rPr>
          <w:lang w:val="fr-FR"/>
        </w:rPr>
      </w:pPr>
      <w:r>
        <w:rPr>
          <w:noProof/>
          <w:lang w:val="en-GB" w:eastAsia="en-GB"/>
        </w:rPr>
        <mc:AlternateContent>
          <mc:Choice Requires="wpg">
            <w:drawing>
              <wp:anchor distT="0" distB="0" distL="114300" distR="114300" simplePos="0" relativeHeight="251672576" behindDoc="0" locked="0" layoutInCell="1" allowOverlap="1" wp14:anchorId="13EF1469" wp14:editId="55EEBB56">
                <wp:simplePos x="0" y="0"/>
                <wp:positionH relativeFrom="column">
                  <wp:posOffset>797560</wp:posOffset>
                </wp:positionH>
                <wp:positionV relativeFrom="paragraph">
                  <wp:posOffset>1392555</wp:posOffset>
                </wp:positionV>
                <wp:extent cx="1371607" cy="1473506"/>
                <wp:effectExtent l="0" t="0" r="0" b="12700"/>
                <wp:wrapNone/>
                <wp:docPr id="7" name="Groupe 7"/>
                <wp:cNvGraphicFramePr/>
                <a:graphic xmlns:a="http://schemas.openxmlformats.org/drawingml/2006/main">
                  <a:graphicData uri="http://schemas.microsoft.com/office/word/2010/wordprocessingGroup">
                    <wpg:wgp>
                      <wpg:cNvGrpSpPr/>
                      <wpg:grpSpPr>
                        <a:xfrm>
                          <a:off x="0" y="0"/>
                          <a:ext cx="1371607" cy="1473506"/>
                          <a:chOff x="-25407" y="82550"/>
                          <a:chExt cx="1371607" cy="1473506"/>
                        </a:xfrm>
                      </wpg:grpSpPr>
                      <wps:wsp>
                        <wps:cNvPr id="17" name="Zone de texte 2"/>
                        <wps:cNvSpPr txBox="1">
                          <a:spLocks noChangeArrowheads="1"/>
                        </wps:cNvSpPr>
                        <wps:spPr bwMode="auto">
                          <a:xfrm>
                            <a:off x="-19050" y="342900"/>
                            <a:ext cx="812800" cy="311150"/>
                          </a:xfrm>
                          <a:prstGeom prst="rect">
                            <a:avLst/>
                          </a:prstGeom>
                          <a:noFill/>
                          <a:ln w="9525">
                            <a:noFill/>
                            <a:miter lim="800000"/>
                            <a:headEnd/>
                            <a:tailEnd/>
                          </a:ln>
                        </wps:spPr>
                        <wps:txbx>
                          <w:txbxContent>
                            <w:p w:rsidR="00114989" w:rsidRPr="006B61DF" w:rsidRDefault="00114989" w:rsidP="006B61DF">
                              <w:pPr>
                                <w:rPr>
                                  <w:b/>
                                  <w:sz w:val="14"/>
                                  <w:szCs w:val="14"/>
                                  <w:lang w:val="fr-FR"/>
                                </w:rPr>
                              </w:pPr>
                              <w:r w:rsidRPr="006B61DF">
                                <w:rPr>
                                  <w:b/>
                                  <w:sz w:val="14"/>
                                  <w:szCs w:val="14"/>
                                  <w:lang w:val="fr-FR"/>
                                </w:rPr>
                                <w:t>T = Vue supérieure</w:t>
                              </w:r>
                            </w:p>
                            <w:p w:rsidR="00114989" w:rsidRPr="006B61DF" w:rsidRDefault="00114989" w:rsidP="006B61DF">
                              <w:pPr>
                                <w:rPr>
                                  <w:sz w:val="14"/>
                                  <w:szCs w:val="14"/>
                                </w:rPr>
                              </w:pPr>
                              <w:r w:rsidRPr="006B61DF">
                                <w:rPr>
                                  <w:b/>
                                  <w:sz w:val="14"/>
                                  <w:szCs w:val="14"/>
                                  <w:lang w:val="fr-FR"/>
                                </w:rPr>
                                <w:t>S = Vue latérale</w:t>
                              </w:r>
                            </w:p>
                          </w:txbxContent>
                        </wps:txbx>
                        <wps:bodyPr rot="0" vert="horz" wrap="square" lIns="0" tIns="0" rIns="0" bIns="0" anchor="t" anchorCtr="0">
                          <a:spAutoFit/>
                        </wps:bodyPr>
                      </wps:wsp>
                      <wps:wsp>
                        <wps:cNvPr id="19" name="Zone de texte 2"/>
                        <wps:cNvSpPr txBox="1">
                          <a:spLocks noChangeArrowheads="1"/>
                        </wps:cNvSpPr>
                        <wps:spPr bwMode="auto">
                          <a:xfrm>
                            <a:off x="-25407" y="856922"/>
                            <a:ext cx="1371607" cy="699134"/>
                          </a:xfrm>
                          <a:prstGeom prst="rect">
                            <a:avLst/>
                          </a:prstGeom>
                          <a:noFill/>
                          <a:ln w="9525">
                            <a:noFill/>
                            <a:miter lim="800000"/>
                            <a:headEnd/>
                            <a:tailEnd/>
                          </a:ln>
                        </wps:spPr>
                        <wps:txbx>
                          <w:txbxContent>
                            <w:p w:rsidR="00114989" w:rsidRPr="00024217" w:rsidRDefault="00114989" w:rsidP="00024217">
                              <w:pPr>
                                <w:spacing w:line="240" w:lineRule="auto"/>
                                <w:rPr>
                                  <w:b/>
                                  <w:sz w:val="14"/>
                                  <w:szCs w:val="14"/>
                                  <w:lang w:val="fr-FR"/>
                                </w:rPr>
                              </w:pPr>
                              <w:r w:rsidRPr="00024217">
                                <w:rPr>
                                  <w:b/>
                                  <w:sz w:val="14"/>
                                  <w:szCs w:val="14"/>
                                  <w:lang w:val="fr-FR"/>
                                </w:rPr>
                                <w:t>1 = Point de référence</w:t>
                              </w:r>
                            </w:p>
                            <w:p w:rsidR="00114989" w:rsidRPr="00024217" w:rsidRDefault="00114989" w:rsidP="00024217">
                              <w:pPr>
                                <w:spacing w:after="120" w:line="240" w:lineRule="auto"/>
                                <w:rPr>
                                  <w:b/>
                                  <w:sz w:val="14"/>
                                  <w:szCs w:val="14"/>
                                  <w:lang w:val="fr-FR"/>
                                </w:rPr>
                              </w:pPr>
                              <w:r w:rsidRPr="00024217">
                                <w:rPr>
                                  <w:b/>
                                  <w:sz w:val="14"/>
                                  <w:szCs w:val="14"/>
                                  <w:lang w:val="fr-FR"/>
                                </w:rPr>
                                <w:t>2 = Revêtement de la route</w:t>
                              </w:r>
                            </w:p>
                            <w:p w:rsidR="00114989" w:rsidRPr="00024217" w:rsidRDefault="00114989" w:rsidP="00024217">
                              <w:pPr>
                                <w:spacing w:line="240" w:lineRule="auto"/>
                                <w:rPr>
                                  <w:b/>
                                  <w:sz w:val="14"/>
                                  <w:szCs w:val="14"/>
                                  <w:lang w:val="fr-FR"/>
                                </w:rPr>
                              </w:pPr>
                              <w:r w:rsidRPr="00024217">
                                <w:rPr>
                                  <w:b/>
                                  <w:sz w:val="14"/>
                                  <w:szCs w:val="14"/>
                                  <w:lang w:val="fr-FR"/>
                                </w:rPr>
                                <w:t>A = Tuyau à extrémité en biseau</w:t>
                              </w:r>
                            </w:p>
                            <w:p w:rsidR="00114989" w:rsidRPr="00024217" w:rsidRDefault="00114989" w:rsidP="00024217">
                              <w:pPr>
                                <w:spacing w:line="240" w:lineRule="auto"/>
                                <w:rPr>
                                  <w:b/>
                                  <w:sz w:val="14"/>
                                  <w:szCs w:val="14"/>
                                  <w:lang w:val="fr-FR"/>
                                </w:rPr>
                              </w:pPr>
                              <w:r w:rsidRPr="00024217">
                                <w:rPr>
                                  <w:b/>
                                  <w:sz w:val="14"/>
                                  <w:szCs w:val="14"/>
                                  <w:lang w:val="fr-FR"/>
                                </w:rPr>
                                <w:t>B = Tuyau à extrémité courbée</w:t>
                              </w:r>
                            </w:p>
                            <w:p w:rsidR="00114989" w:rsidRPr="00024217" w:rsidRDefault="00114989" w:rsidP="00024217">
                              <w:pPr>
                                <w:spacing w:line="240" w:lineRule="auto"/>
                                <w:rPr>
                                  <w:b/>
                                  <w:sz w:val="14"/>
                                  <w:szCs w:val="14"/>
                                  <w:lang w:val="fr-FR"/>
                                </w:rPr>
                              </w:pPr>
                              <w:r w:rsidRPr="00024217">
                                <w:rPr>
                                  <w:b/>
                                  <w:sz w:val="14"/>
                                  <w:szCs w:val="14"/>
                                  <w:lang w:val="fr-FR"/>
                                </w:rPr>
                                <w:t>C = Tuyau à extrémité droite</w:t>
                              </w:r>
                            </w:p>
                            <w:p w:rsidR="00114989" w:rsidRPr="00024217" w:rsidRDefault="00114989" w:rsidP="00024217">
                              <w:pPr>
                                <w:spacing w:line="240" w:lineRule="auto"/>
                                <w:rPr>
                                  <w:b/>
                                  <w:sz w:val="14"/>
                                  <w:szCs w:val="14"/>
                                </w:rPr>
                              </w:pPr>
                              <w:r w:rsidRPr="00024217">
                                <w:rPr>
                                  <w:b/>
                                  <w:sz w:val="14"/>
                                  <w:szCs w:val="14"/>
                                  <w:lang w:val="fr-FR"/>
                                </w:rPr>
                                <w:t>D = Tuyau vertical</w:t>
                              </w:r>
                            </w:p>
                          </w:txbxContent>
                        </wps:txbx>
                        <wps:bodyPr rot="0" vert="horz" wrap="square" lIns="0" tIns="0" rIns="0" bIns="0" anchor="t" anchorCtr="0">
                          <a:spAutoFit/>
                        </wps:bodyPr>
                      </wps:wsp>
                      <wps:wsp>
                        <wps:cNvPr id="20" name="Zone de texte 2"/>
                        <wps:cNvSpPr txBox="1">
                          <a:spLocks noChangeArrowheads="1"/>
                        </wps:cNvSpPr>
                        <wps:spPr bwMode="auto">
                          <a:xfrm>
                            <a:off x="-12700" y="82550"/>
                            <a:ext cx="1035050" cy="158750"/>
                          </a:xfrm>
                          <a:prstGeom prst="rect">
                            <a:avLst/>
                          </a:prstGeom>
                          <a:noFill/>
                          <a:ln w="9525">
                            <a:noFill/>
                            <a:miter lim="800000"/>
                            <a:headEnd/>
                            <a:tailEnd/>
                          </a:ln>
                        </wps:spPr>
                        <wps:txbx>
                          <w:txbxContent>
                            <w:p w:rsidR="00114989" w:rsidRPr="006B61DF" w:rsidRDefault="00114989" w:rsidP="006B61DF">
                              <w:pPr>
                                <w:rPr>
                                  <w:b/>
                                  <w:sz w:val="14"/>
                                  <w:szCs w:val="14"/>
                                </w:rPr>
                              </w:pPr>
                              <w:r w:rsidRPr="006B61DF">
                                <w:rPr>
                                  <w:b/>
                                  <w:sz w:val="14"/>
                                  <w:szCs w:val="14"/>
                                </w:rPr>
                                <w:t>Légende</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3EF1469" id="Groupe 7" o:spid="_x0000_s1027" style="position:absolute;left:0;text-align:left;margin-left:62.8pt;margin-top:109.65pt;width:108pt;height:116pt;z-index:251672576;mso-width-relative:margin;mso-height-relative:margin" coordorigin="-254,825" coordsize="13716,1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">
                <v:shape id="Zone de texte 2" o:spid="_x0000_s1028" type="#_x0000_t202" style="position:absolute;left:-190;top:3429;width:812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rsidR="00114989" w:rsidRPr="006B61DF" w:rsidRDefault="00114989" w:rsidP="006B61DF">
                        <w:pPr>
                          <w:rPr>
                            <w:b/>
                            <w:sz w:val="14"/>
                            <w:szCs w:val="14"/>
                            <w:lang w:val="fr-FR"/>
                          </w:rPr>
                        </w:pPr>
                        <w:r w:rsidRPr="006B61DF">
                          <w:rPr>
                            <w:b/>
                            <w:sz w:val="14"/>
                            <w:szCs w:val="14"/>
                            <w:lang w:val="fr-FR"/>
                          </w:rPr>
                          <w:t>T = Vue supérieure</w:t>
                        </w:r>
                      </w:p>
                      <w:p w:rsidR="00114989" w:rsidRPr="006B61DF" w:rsidRDefault="00114989" w:rsidP="006B61DF">
                        <w:pPr>
                          <w:rPr>
                            <w:sz w:val="14"/>
                            <w:szCs w:val="14"/>
                          </w:rPr>
                        </w:pPr>
                        <w:r w:rsidRPr="006B61DF">
                          <w:rPr>
                            <w:b/>
                            <w:sz w:val="14"/>
                            <w:szCs w:val="14"/>
                            <w:lang w:val="fr-FR"/>
                          </w:rPr>
                          <w:t>S = Vue latérale</w:t>
                        </w:r>
                      </w:p>
                    </w:txbxContent>
                  </v:textbox>
                </v:shape>
                <v:shape id="Zone de texte 2" o:spid="_x0000_s1029" type="#_x0000_t202" style="position:absolute;left:-254;top:8569;width:13716;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rsidR="00114989" w:rsidRPr="00024217" w:rsidRDefault="00114989" w:rsidP="00024217">
                        <w:pPr>
                          <w:spacing w:line="240" w:lineRule="auto"/>
                          <w:rPr>
                            <w:b/>
                            <w:sz w:val="14"/>
                            <w:szCs w:val="14"/>
                            <w:lang w:val="fr-FR"/>
                          </w:rPr>
                        </w:pPr>
                        <w:r w:rsidRPr="00024217">
                          <w:rPr>
                            <w:b/>
                            <w:sz w:val="14"/>
                            <w:szCs w:val="14"/>
                            <w:lang w:val="fr-FR"/>
                          </w:rPr>
                          <w:t>1 = Point de référence</w:t>
                        </w:r>
                      </w:p>
                      <w:p w:rsidR="00114989" w:rsidRPr="00024217" w:rsidRDefault="00114989" w:rsidP="00024217">
                        <w:pPr>
                          <w:spacing w:after="120" w:line="240" w:lineRule="auto"/>
                          <w:rPr>
                            <w:b/>
                            <w:sz w:val="14"/>
                            <w:szCs w:val="14"/>
                            <w:lang w:val="fr-FR"/>
                          </w:rPr>
                        </w:pPr>
                        <w:r w:rsidRPr="00024217">
                          <w:rPr>
                            <w:b/>
                            <w:sz w:val="14"/>
                            <w:szCs w:val="14"/>
                            <w:lang w:val="fr-FR"/>
                          </w:rPr>
                          <w:t>2 = Revêtement de la route</w:t>
                        </w:r>
                      </w:p>
                      <w:p w:rsidR="00114989" w:rsidRPr="00024217" w:rsidRDefault="00114989" w:rsidP="00024217">
                        <w:pPr>
                          <w:spacing w:line="240" w:lineRule="auto"/>
                          <w:rPr>
                            <w:b/>
                            <w:sz w:val="14"/>
                            <w:szCs w:val="14"/>
                            <w:lang w:val="fr-FR"/>
                          </w:rPr>
                        </w:pPr>
                        <w:r w:rsidRPr="00024217">
                          <w:rPr>
                            <w:b/>
                            <w:sz w:val="14"/>
                            <w:szCs w:val="14"/>
                            <w:lang w:val="fr-FR"/>
                          </w:rPr>
                          <w:t>A = Tuyau à extrémité en biseau</w:t>
                        </w:r>
                      </w:p>
                      <w:p w:rsidR="00114989" w:rsidRPr="00024217" w:rsidRDefault="00114989" w:rsidP="00024217">
                        <w:pPr>
                          <w:spacing w:line="240" w:lineRule="auto"/>
                          <w:rPr>
                            <w:b/>
                            <w:sz w:val="14"/>
                            <w:szCs w:val="14"/>
                            <w:lang w:val="fr-FR"/>
                          </w:rPr>
                        </w:pPr>
                        <w:r w:rsidRPr="00024217">
                          <w:rPr>
                            <w:b/>
                            <w:sz w:val="14"/>
                            <w:szCs w:val="14"/>
                            <w:lang w:val="fr-FR"/>
                          </w:rPr>
                          <w:t>B = Tuyau à extrémité courbée</w:t>
                        </w:r>
                      </w:p>
                      <w:p w:rsidR="00114989" w:rsidRPr="00024217" w:rsidRDefault="00114989" w:rsidP="00024217">
                        <w:pPr>
                          <w:spacing w:line="240" w:lineRule="auto"/>
                          <w:rPr>
                            <w:b/>
                            <w:sz w:val="14"/>
                            <w:szCs w:val="14"/>
                            <w:lang w:val="fr-FR"/>
                          </w:rPr>
                        </w:pPr>
                        <w:r w:rsidRPr="00024217">
                          <w:rPr>
                            <w:b/>
                            <w:sz w:val="14"/>
                            <w:szCs w:val="14"/>
                            <w:lang w:val="fr-FR"/>
                          </w:rPr>
                          <w:t>C = Tuyau à extrémité droite</w:t>
                        </w:r>
                      </w:p>
                      <w:p w:rsidR="00114989" w:rsidRPr="00024217" w:rsidRDefault="00114989" w:rsidP="00024217">
                        <w:pPr>
                          <w:spacing w:line="240" w:lineRule="auto"/>
                          <w:rPr>
                            <w:b/>
                            <w:sz w:val="14"/>
                            <w:szCs w:val="14"/>
                          </w:rPr>
                        </w:pPr>
                        <w:r w:rsidRPr="00024217">
                          <w:rPr>
                            <w:b/>
                            <w:sz w:val="14"/>
                            <w:szCs w:val="14"/>
                            <w:lang w:val="fr-FR"/>
                          </w:rPr>
                          <w:t>D = Tuyau vertical</w:t>
                        </w:r>
                      </w:p>
                    </w:txbxContent>
                  </v:textbox>
                </v:shape>
                <v:shape id="Zone de texte 2" o:spid="_x0000_s1030" type="#_x0000_t202" style="position:absolute;left:-127;top:825;width:1035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" filled="f" stroked="f">
                  <v:textbox style="mso-fit-shape-to-text:t" inset="0,0,0,0">
                    <w:txbxContent>
                      <w:p w:rsidR="00114989" w:rsidRPr="006B61DF" w:rsidRDefault="00114989" w:rsidP="006B61DF">
                        <w:pPr>
                          <w:rPr>
                            <w:b/>
                            <w:sz w:val="14"/>
                            <w:szCs w:val="14"/>
                          </w:rPr>
                        </w:pPr>
                        <w:r w:rsidRPr="006B61DF">
                          <w:rPr>
                            <w:b/>
                            <w:sz w:val="14"/>
                            <w:szCs w:val="14"/>
                          </w:rPr>
                          <w:t>Légende</w:t>
                        </w:r>
                      </w:p>
                    </w:txbxContent>
                  </v:textbox>
                </v:shape>
              </v:group>
            </w:pict>
          </mc:Fallback>
        </mc:AlternateContent>
      </w:r>
      <w:r>
        <w:rPr>
          <w:noProof/>
          <w:lang w:val="en-GB" w:eastAsia="en-GB"/>
        </w:rPr>
        <w:drawing>
          <wp:inline distT="0" distB="0" distL="0" distR="0" wp14:anchorId="4295BF1D" wp14:editId="05D19275">
            <wp:extent cx="4680000" cy="2893531"/>
            <wp:effectExtent l="0" t="0" r="635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b="16911"/>
                    <a:stretch/>
                  </pic:blipFill>
                  <pic:spPr bwMode="auto">
                    <a:xfrm>
                      <a:off x="0" y="0"/>
                      <a:ext cx="4680000" cy="2893531"/>
                    </a:xfrm>
                    <a:prstGeom prst="rect">
                      <a:avLst/>
                    </a:prstGeom>
                    <a:noFill/>
                    <a:ln>
                      <a:noFill/>
                    </a:ln>
                    <a:extLst>
                      <a:ext uri="{53640926-AAD7-44D8-BBD7-CCE9431645EC}">
                        <a14:shadowObscured xmlns:a14="http://schemas.microsoft.com/office/drawing/2010/main"/>
                      </a:ext>
                    </a:extLst>
                  </pic:spPr>
                </pic:pic>
              </a:graphicData>
            </a:graphic>
          </wp:inline>
        </w:drawing>
      </w:r>
    </w:p>
    <w:p w:rsidR="00C9121B" w:rsidRPr="00C9121B" w:rsidRDefault="00C9121B" w:rsidP="00C9121B">
      <w:pPr>
        <w:pStyle w:val="SingleTxtG"/>
        <w:keepNext/>
        <w:keepLines/>
        <w:spacing w:before="240"/>
        <w:ind w:left="2268" w:hanging="1134"/>
        <w:rPr>
          <w:lang w:val="fr-FR"/>
        </w:rPr>
      </w:pPr>
      <w:r w:rsidRPr="00C9121B">
        <w:rPr>
          <w:lang w:val="fr-FR"/>
        </w:rPr>
        <w:t>3.2.3.3.2</w:t>
      </w:r>
      <w:r w:rsidRPr="00C9121B">
        <w:rPr>
          <w:lang w:val="fr-FR"/>
        </w:rPr>
        <w:tab/>
        <w:t>Conditions de fonctionnement du moteur</w:t>
      </w:r>
    </w:p>
    <w:p w:rsidR="00C9121B" w:rsidRPr="00C9121B" w:rsidRDefault="00C9121B" w:rsidP="00C9121B">
      <w:pPr>
        <w:pStyle w:val="SingleTxtG"/>
        <w:keepNext/>
        <w:keepLines/>
        <w:ind w:left="2268" w:hanging="1134"/>
        <w:rPr>
          <w:lang w:val="fr-FR"/>
        </w:rPr>
      </w:pPr>
      <w:r w:rsidRPr="00C9121B">
        <w:rPr>
          <w:lang w:val="fr-FR"/>
        </w:rPr>
        <w:t>3.2.3.3.2.1</w:t>
      </w:r>
      <w:r w:rsidRPr="00C9121B">
        <w:rPr>
          <w:lang w:val="fr-FR"/>
        </w:rPr>
        <w:tab/>
        <w:t>Le régime du moteur est stabilisé à l’une des valeurs suivantes :</w:t>
      </w:r>
    </w:p>
    <w:p w:rsidR="00C9121B" w:rsidRPr="00C9121B" w:rsidRDefault="00C9121B" w:rsidP="00C9121B">
      <w:pPr>
        <w:pStyle w:val="SingleTxtG"/>
        <w:ind w:left="2268"/>
        <w:rPr>
          <w:lang w:val="fr-FR"/>
        </w:rPr>
      </w:pPr>
      <w:r w:rsidRPr="00C9121B">
        <w:rPr>
          <w:lang w:val="fr-FR"/>
        </w:rPr>
        <w:t>50 % de n</w:t>
      </w:r>
      <w:r w:rsidRPr="00C9121B">
        <w:rPr>
          <w:vertAlign w:val="subscript"/>
          <w:lang w:val="fr-FR"/>
        </w:rPr>
        <w:t>rated</w:t>
      </w:r>
      <w:r w:rsidRPr="00C9121B">
        <w:rPr>
          <w:b/>
          <w:lang w:val="fr-FR"/>
        </w:rPr>
        <w:t xml:space="preserve"> </w:t>
      </w:r>
      <w:r w:rsidRPr="00C9121B">
        <w:rPr>
          <w:lang w:val="fr-FR"/>
        </w:rPr>
        <w:t>si</w:t>
      </w:r>
      <w:r w:rsidR="00081AA8">
        <w:rPr>
          <w:lang w:val="fr-FR"/>
        </w:rPr>
        <w:t xml:space="preserve"> </w:t>
      </w:r>
      <w:r w:rsidRPr="00C9121B">
        <w:rPr>
          <w:lang w:val="fr-FR"/>
        </w:rPr>
        <w:t>n</w:t>
      </w:r>
      <w:r w:rsidRPr="00C9121B">
        <w:rPr>
          <w:vertAlign w:val="subscript"/>
          <w:lang w:val="fr-FR"/>
        </w:rPr>
        <w:t>rated</w:t>
      </w:r>
      <w:r w:rsidRPr="00C9121B">
        <w:rPr>
          <w:lang w:val="fr-FR"/>
        </w:rPr>
        <w:t xml:space="preserve"> est supérieur à 5 000 min</w:t>
      </w:r>
      <w:r w:rsidRPr="00C9121B">
        <w:rPr>
          <w:vertAlign w:val="superscript"/>
          <w:lang w:val="fr-FR"/>
        </w:rPr>
        <w:t>-1</w:t>
      </w:r>
      <w:r w:rsidRPr="00C9121B">
        <w:rPr>
          <w:lang w:val="fr-FR"/>
        </w:rPr>
        <w:t> ;</w:t>
      </w:r>
    </w:p>
    <w:p w:rsidR="00C9121B" w:rsidRPr="00C9121B" w:rsidRDefault="00C9121B" w:rsidP="00C9121B">
      <w:pPr>
        <w:pStyle w:val="SingleTxtG"/>
        <w:ind w:left="2268"/>
        <w:rPr>
          <w:lang w:val="fr-FR"/>
        </w:rPr>
      </w:pPr>
      <w:r w:rsidRPr="00C9121B">
        <w:rPr>
          <w:lang w:val="fr-FR"/>
        </w:rPr>
        <w:t>75 % de n</w:t>
      </w:r>
      <w:r w:rsidRPr="00C9121B">
        <w:rPr>
          <w:vertAlign w:val="subscript"/>
          <w:lang w:val="fr-FR"/>
        </w:rPr>
        <w:t>rated</w:t>
      </w:r>
      <w:r w:rsidRPr="00C9121B">
        <w:rPr>
          <w:b/>
          <w:lang w:val="fr-FR"/>
        </w:rPr>
        <w:t xml:space="preserve"> </w:t>
      </w:r>
      <w:r w:rsidRPr="00C9121B">
        <w:rPr>
          <w:lang w:val="fr-FR"/>
        </w:rPr>
        <w:t>si</w:t>
      </w:r>
      <w:r w:rsidR="00081AA8">
        <w:rPr>
          <w:lang w:val="fr-FR"/>
        </w:rPr>
        <w:t xml:space="preserve"> </w:t>
      </w:r>
      <w:r w:rsidRPr="00C9121B">
        <w:rPr>
          <w:lang w:val="fr-FR"/>
        </w:rPr>
        <w:t>n</w:t>
      </w:r>
      <w:r w:rsidRPr="00C9121B">
        <w:rPr>
          <w:vertAlign w:val="subscript"/>
          <w:lang w:val="fr-FR"/>
        </w:rPr>
        <w:t>rated</w:t>
      </w:r>
      <w:r w:rsidRPr="00C9121B">
        <w:rPr>
          <w:lang w:val="fr-FR"/>
        </w:rPr>
        <w:t xml:space="preserve"> est inférieur ou égal à 5 000 min</w:t>
      </w:r>
      <w:r w:rsidRPr="00C9121B">
        <w:rPr>
          <w:vertAlign w:val="superscript"/>
          <w:lang w:val="fr-FR"/>
        </w:rPr>
        <w:t>-1</w:t>
      </w:r>
      <w:r w:rsidRPr="00C9121B">
        <w:rPr>
          <w:lang w:val="fr-FR"/>
        </w:rPr>
        <w:t> ;</w:t>
      </w:r>
    </w:p>
    <w:p w:rsidR="00C9121B" w:rsidRPr="00C9121B" w:rsidRDefault="00C9121B" w:rsidP="00C9121B">
      <w:pPr>
        <w:pStyle w:val="SingleTxtG"/>
        <w:ind w:left="2268"/>
        <w:rPr>
          <w:lang w:val="fr-FR"/>
        </w:rPr>
      </w:pPr>
      <w:r w:rsidRPr="00C9121B">
        <w:rPr>
          <w:lang w:val="fr-FR"/>
        </w:rPr>
        <w:t>où n</w:t>
      </w:r>
      <w:r w:rsidRPr="00C9121B">
        <w:rPr>
          <w:vertAlign w:val="subscript"/>
          <w:lang w:val="fr-FR"/>
        </w:rPr>
        <w:t>rated</w:t>
      </w:r>
      <w:r w:rsidRPr="00C9121B">
        <w:rPr>
          <w:lang w:val="fr-FR"/>
        </w:rPr>
        <w:t xml:space="preserve"> est le régime nomin</w:t>
      </w:r>
      <w:r w:rsidR="00C03857">
        <w:rPr>
          <w:lang w:val="fr-FR"/>
        </w:rPr>
        <w:t>al tel que défini au paragraphe </w:t>
      </w:r>
      <w:r w:rsidRPr="00C9121B">
        <w:rPr>
          <w:lang w:val="fr-FR"/>
        </w:rPr>
        <w:t>2.7 du présent Règlement.</w:t>
      </w:r>
    </w:p>
    <w:p w:rsidR="00C9121B" w:rsidRPr="00C9121B" w:rsidRDefault="00C9121B" w:rsidP="00C9121B">
      <w:pPr>
        <w:pStyle w:val="SingleTxtG"/>
        <w:ind w:left="2268"/>
        <w:rPr>
          <w:lang w:val="fr-FR"/>
        </w:rPr>
      </w:pPr>
      <w:r w:rsidRPr="00C9121B">
        <w:rPr>
          <w:lang w:val="fr-FR"/>
        </w:rPr>
        <w:t>Pour les véhicules incapables d’atteindre, à l’arrêt, le régime moteur recherché défini ci-dessus, cette valeur est remplacée par 95 % du régime moteur maximum qu’il est capable d’atteindre à l’arrêt.</w:t>
      </w:r>
    </w:p>
    <w:p w:rsidR="00C9121B" w:rsidRPr="00C9121B" w:rsidRDefault="00C9121B" w:rsidP="00C9121B">
      <w:pPr>
        <w:pStyle w:val="SingleTxtG"/>
        <w:ind w:left="2268" w:hanging="1134"/>
        <w:rPr>
          <w:lang w:val="fr-FR"/>
        </w:rPr>
      </w:pPr>
      <w:r w:rsidRPr="00C9121B">
        <w:rPr>
          <w:lang w:val="fr-FR"/>
        </w:rPr>
        <w:t>3.2.3.3.2.2</w:t>
      </w:r>
      <w:r w:rsidRPr="00C9121B">
        <w:rPr>
          <w:lang w:val="fr-FR"/>
        </w:rPr>
        <w:tab/>
        <w:t xml:space="preserve">Le régime moteur est progressivement augmenté pour passer du ralenti au régime recherché et ensuite maintenu constant dans une fourchette de </w:t>
      </w:r>
      <w:r w:rsidRPr="00C9121B">
        <w:rPr>
          <w:lang w:val="fr-FR"/>
        </w:rPr>
        <w:sym w:font="Symbol" w:char="F0B1"/>
      </w:r>
      <w:r w:rsidRPr="00C9121B">
        <w:rPr>
          <w:lang w:val="fr-FR"/>
        </w:rPr>
        <w:t>5 %. Ensuite, la commande des gaz est relâchée rapidement de façon que le régime revienne au ralenti. La pression acoustique est mesurée alors que le moteur tourne à régime constant pendant au moins 1 s et pendant la totalité de la décélération. C’est la valeur acoustique la plus élevée qui est retenue.</w:t>
      </w:r>
    </w:p>
    <w:p w:rsidR="00C9121B" w:rsidRPr="00C9121B" w:rsidRDefault="00C9121B" w:rsidP="00C9121B">
      <w:pPr>
        <w:pStyle w:val="SingleTxtG"/>
        <w:ind w:left="2268"/>
        <w:rPr>
          <w:lang w:val="fr-FR"/>
        </w:rPr>
      </w:pPr>
      <w:r w:rsidRPr="00C9121B">
        <w:rPr>
          <w:lang w:val="fr-FR"/>
        </w:rPr>
        <w:t xml:space="preserve">Une mesure est considérée comme valable à condition que le régime du moteur pendant l’essai ne s’écarte pas du régime recherché de </w:t>
      </w:r>
      <w:r w:rsidRPr="00C9121B">
        <w:rPr>
          <w:lang w:val="fr-FR"/>
        </w:rPr>
        <w:sym w:font="Symbol" w:char="F0B1"/>
      </w:r>
      <w:r w:rsidRPr="00C9121B">
        <w:rPr>
          <w:lang w:val="fr-FR"/>
        </w:rPr>
        <w:t>5 % pendant au moins 1 s.</w:t>
      </w:r>
    </w:p>
    <w:p w:rsidR="00C9121B" w:rsidRPr="00C9121B" w:rsidRDefault="00C9121B" w:rsidP="00C9121B">
      <w:pPr>
        <w:pStyle w:val="SingleTxtG"/>
        <w:keepNext/>
        <w:keepLines/>
        <w:ind w:left="2268" w:hanging="1134"/>
        <w:rPr>
          <w:bCs/>
          <w:lang w:val="fr-FR"/>
        </w:rPr>
      </w:pPr>
      <w:r w:rsidRPr="00C9121B">
        <w:rPr>
          <w:bCs/>
          <w:lang w:val="fr-FR"/>
        </w:rPr>
        <w:t>3.2.3.3.2.3</w:t>
      </w:r>
      <w:r w:rsidRPr="00C9121B">
        <w:rPr>
          <w:bCs/>
          <w:lang w:val="fr-FR"/>
        </w:rPr>
        <w:tab/>
        <w:t>Système d’échappement à modes multiples</w:t>
      </w:r>
    </w:p>
    <w:p w:rsidR="00C9121B" w:rsidRPr="00C9121B" w:rsidRDefault="00C9121B" w:rsidP="00C9121B">
      <w:pPr>
        <w:pStyle w:val="SingleTxtG"/>
        <w:ind w:left="2268"/>
        <w:rPr>
          <w:bCs/>
          <w:lang w:val="fr-FR"/>
        </w:rPr>
      </w:pPr>
      <w:r w:rsidRPr="00C9121B">
        <w:rPr>
          <w:bCs/>
          <w:lang w:val="fr-FR"/>
        </w:rPr>
        <w:t>Les véhicules équipés d’un système d’échappement à modes multiples réglable manuellement ou électroniquement</w:t>
      </w:r>
      <w:r w:rsidRPr="00C9121B">
        <w:rPr>
          <w:b/>
          <w:bCs/>
          <w:lang w:val="fr-FR"/>
        </w:rPr>
        <w:t xml:space="preserve"> </w:t>
      </w:r>
      <w:r w:rsidRPr="00C9121B">
        <w:rPr>
          <w:bCs/>
          <w:lang w:val="fr-FR"/>
        </w:rPr>
        <w:t>doivent être soumis à des essais pour tous les modes.</w:t>
      </w:r>
    </w:p>
    <w:p w:rsidR="00C9121B" w:rsidRPr="00C9121B" w:rsidRDefault="00C9121B" w:rsidP="00C9121B">
      <w:pPr>
        <w:pStyle w:val="SingleTxtG"/>
        <w:keepNext/>
        <w:keepLines/>
        <w:ind w:left="2268" w:hanging="1134"/>
        <w:rPr>
          <w:lang w:val="fr-FR"/>
        </w:rPr>
      </w:pPr>
      <w:r w:rsidRPr="00C9121B">
        <w:rPr>
          <w:lang w:val="fr-FR"/>
        </w:rPr>
        <w:t>3.2.3.3.3</w:t>
      </w:r>
      <w:r w:rsidRPr="00C9121B">
        <w:rPr>
          <w:lang w:val="fr-FR"/>
        </w:rPr>
        <w:tab/>
      </w:r>
      <w:r w:rsidRPr="00C9121B">
        <w:rPr>
          <w:bCs/>
          <w:lang w:val="fr-FR"/>
        </w:rPr>
        <w:t>Résultats</w:t>
      </w:r>
    </w:p>
    <w:p w:rsidR="00C9121B" w:rsidRPr="00C9121B" w:rsidRDefault="00C9121B" w:rsidP="00C9121B">
      <w:pPr>
        <w:pStyle w:val="SingleTxtG"/>
        <w:ind w:left="2268" w:hanging="1134"/>
        <w:rPr>
          <w:bCs/>
          <w:lang w:val="fr-FR"/>
        </w:rPr>
      </w:pPr>
      <w:r w:rsidRPr="00C9121B">
        <w:rPr>
          <w:bCs/>
          <w:lang w:val="fr-FR"/>
        </w:rPr>
        <w:t>3.2.3.3.3.1</w:t>
      </w:r>
      <w:r w:rsidRPr="00C9121B">
        <w:rPr>
          <w:bCs/>
          <w:lang w:val="fr-FR"/>
        </w:rPr>
        <w:tab/>
        <w:t>Les mesures doivent être effectuées alors que le microphone se trouve à l’emplacement ou aux emplacements prescrits ci-dessus. La pression acoustique maximale pondérée A relevée pendant l’essai doit être consignée, après en avoir arrondi la valeur à la première décimale (par exemple, consigner 92,5 et non 92,45 et consigner 92,4 et non 92,44). L’essai se prolonge jusqu’à obtenir trois valeurs consécutives séparées au maximum de 2,0 dB(A) l’une de l’autre, à chaque sortie d’échappement.</w:t>
      </w:r>
    </w:p>
    <w:p w:rsidR="00C9121B" w:rsidRPr="00C9121B" w:rsidRDefault="00C9121B" w:rsidP="00C9121B">
      <w:pPr>
        <w:pStyle w:val="SingleTxtG"/>
        <w:ind w:left="2268"/>
        <w:rPr>
          <w:bCs/>
          <w:lang w:val="fr-FR"/>
        </w:rPr>
      </w:pPr>
      <w:r w:rsidRPr="00C9121B">
        <w:rPr>
          <w:bCs/>
          <w:lang w:val="fr-FR"/>
        </w:rPr>
        <w:t>Pour chacune des sorties d’échappement, le résultat de l’essai</w:t>
      </w:r>
      <w:r w:rsidRPr="00C9121B">
        <w:rPr>
          <w:b/>
          <w:bCs/>
          <w:lang w:val="fr-FR"/>
        </w:rPr>
        <w:t xml:space="preserve"> </w:t>
      </w:r>
      <w:r w:rsidRPr="00C9121B">
        <w:rPr>
          <w:bCs/>
          <w:lang w:val="fr-FR"/>
        </w:rPr>
        <w:t>est la moyenne arithmétique des trois valeurs valables obtenues, arrondie au chiffre entier le plus proche (par exemple, consign</w:t>
      </w:r>
      <w:r>
        <w:rPr>
          <w:bCs/>
          <w:lang w:val="fr-FR"/>
        </w:rPr>
        <w:t>er 93 et non 92,5, et consigner </w:t>
      </w:r>
      <w:r w:rsidRPr="00C9121B">
        <w:rPr>
          <w:bCs/>
          <w:lang w:val="fr-FR"/>
        </w:rPr>
        <w:t>92 et non</w:t>
      </w:r>
      <w:r>
        <w:rPr>
          <w:bCs/>
          <w:lang w:val="fr-FR"/>
        </w:rPr>
        <w:t> </w:t>
      </w:r>
      <w:r w:rsidRPr="00C9121B">
        <w:rPr>
          <w:bCs/>
          <w:lang w:val="fr-FR"/>
        </w:rPr>
        <w:t>92,4).</w:t>
      </w:r>
    </w:p>
    <w:p w:rsidR="00C9121B" w:rsidRPr="00C9121B" w:rsidRDefault="00C9121B" w:rsidP="00C9121B">
      <w:pPr>
        <w:pStyle w:val="SingleTxtG"/>
        <w:ind w:left="2268" w:hanging="1134"/>
        <w:rPr>
          <w:bCs/>
          <w:lang w:val="fr-FR"/>
        </w:rPr>
      </w:pPr>
      <w:r w:rsidRPr="00C9121B">
        <w:rPr>
          <w:bCs/>
          <w:lang w:val="fr-FR"/>
        </w:rPr>
        <w:t>3.2.3.3.3.2</w:t>
      </w:r>
      <w:r w:rsidRPr="00C9121B">
        <w:rPr>
          <w:bCs/>
          <w:lang w:val="fr-FR"/>
        </w:rPr>
        <w:tab/>
        <w:t>Sur les véhicules équipés de sorties d’échappement multiples, la valeur de la pression acoustique retenue est celle relevée sur la sortie présentant la pression acoustique moyenne la plus élevée.</w:t>
      </w:r>
    </w:p>
    <w:p w:rsidR="00C9121B" w:rsidRPr="00C9121B" w:rsidRDefault="00C9121B" w:rsidP="00C9121B">
      <w:pPr>
        <w:pStyle w:val="SingleTxtG"/>
        <w:ind w:left="2268" w:hanging="1134"/>
        <w:rPr>
          <w:bCs/>
          <w:lang w:val="fr-FR"/>
        </w:rPr>
      </w:pPr>
      <w:r w:rsidRPr="00C9121B">
        <w:rPr>
          <w:bCs/>
          <w:lang w:val="fr-FR"/>
        </w:rPr>
        <w:t>3.2.3.3.3.3</w:t>
      </w:r>
      <w:r w:rsidRPr="00C9121B">
        <w:rPr>
          <w:bCs/>
          <w:lang w:val="fr-FR"/>
        </w:rPr>
        <w:tab/>
        <w:t>Sur les véhicules équipés d’un système d’échappement à modes multiples et ceux équipés d’une commande manuelle ou électronique</w:t>
      </w:r>
      <w:r w:rsidRPr="00C9121B">
        <w:rPr>
          <w:b/>
          <w:bCs/>
          <w:lang w:val="fr-FR"/>
        </w:rPr>
        <w:t xml:space="preserve"> </w:t>
      </w:r>
      <w:r w:rsidRPr="00C9121B">
        <w:rPr>
          <w:bCs/>
          <w:lang w:val="fr-FR"/>
        </w:rPr>
        <w:t>de mode, la valeur de la pression acoustique retenue est celle obtenue sur le mode présentant la pression acoustique moyenne la plus élevée.</w:t>
      </w:r>
    </w:p>
    <w:p w:rsidR="00C9121B" w:rsidRPr="00C9121B" w:rsidRDefault="00C9121B" w:rsidP="00C9121B">
      <w:pPr>
        <w:pStyle w:val="SingleTxtG"/>
        <w:keepNext/>
        <w:keepLines/>
        <w:ind w:left="2268" w:hanging="1134"/>
        <w:rPr>
          <w:bCs/>
          <w:lang w:val="fr-FR"/>
        </w:rPr>
      </w:pPr>
      <w:r w:rsidRPr="00C9121B">
        <w:rPr>
          <w:bCs/>
          <w:lang w:val="fr-FR"/>
        </w:rPr>
        <w:t>4.</w:t>
      </w:r>
      <w:r w:rsidRPr="00C9121B">
        <w:rPr>
          <w:bCs/>
          <w:lang w:val="fr-FR"/>
        </w:rPr>
        <w:tab/>
        <w:t>Émissions sonores du véhicule en marche (données communiquées afin de faciliter les essais de vérification de la conformité des véhicules en circulation)</w:t>
      </w:r>
    </w:p>
    <w:p w:rsidR="00C9121B" w:rsidRPr="00C9121B" w:rsidRDefault="00C9121B" w:rsidP="00C9121B">
      <w:pPr>
        <w:pStyle w:val="SingleTxtG"/>
        <w:ind w:left="2268" w:hanging="1134"/>
        <w:rPr>
          <w:bCs/>
          <w:lang w:val="fr-FR"/>
        </w:rPr>
      </w:pPr>
      <w:r w:rsidRPr="00C9121B">
        <w:rPr>
          <w:bCs/>
          <w:lang w:val="fr-FR"/>
        </w:rPr>
        <w:t>4.1</w:t>
      </w:r>
      <w:r w:rsidRPr="00C9121B">
        <w:rPr>
          <w:bCs/>
          <w:lang w:val="fr-FR"/>
        </w:rPr>
        <w:tab/>
        <w:t>Une Partie contractante peut définir une procédure d’essai pour les essais de vérification de la conformité en circulation, à condition qu’elle tienne compte des différences existant avec les conditions d’essai en vigueur pour l’homologation de type.</w:t>
      </w:r>
    </w:p>
    <w:p w:rsidR="00C9121B" w:rsidRPr="00C9121B" w:rsidRDefault="00C9121B" w:rsidP="00C9121B">
      <w:pPr>
        <w:pStyle w:val="SingleTxtG"/>
        <w:ind w:left="2268" w:hanging="1134"/>
        <w:rPr>
          <w:bCs/>
          <w:lang w:val="fr-FR"/>
        </w:rPr>
      </w:pPr>
      <w:r w:rsidRPr="00C9121B">
        <w:rPr>
          <w:bCs/>
          <w:lang w:val="fr-FR"/>
        </w:rPr>
        <w:t>4.2</w:t>
      </w:r>
      <w:r w:rsidRPr="00C9121B">
        <w:rPr>
          <w:bCs/>
          <w:lang w:val="fr-FR"/>
        </w:rPr>
        <w:tab/>
        <w:t>Afin de faciliter les essais de vérification de la conformité des véhicules en circulation, il est admis que les données ci-après relatives aux mesures de la pression acoustique effect</w:t>
      </w:r>
      <w:r w:rsidR="00081AA8">
        <w:rPr>
          <w:bCs/>
          <w:lang w:val="fr-FR"/>
        </w:rPr>
        <w:t>uées conformément au paragraphe </w:t>
      </w:r>
      <w:r w:rsidRPr="00C9121B">
        <w:rPr>
          <w:bCs/>
          <w:lang w:val="fr-FR"/>
        </w:rPr>
        <w:t>3.1 de l’annexe</w:t>
      </w:r>
      <w:r w:rsidR="00081AA8">
        <w:rPr>
          <w:bCs/>
          <w:lang w:val="fr-FR"/>
        </w:rPr>
        <w:t> </w:t>
      </w:r>
      <w:r w:rsidRPr="00C9121B">
        <w:rPr>
          <w:bCs/>
          <w:lang w:val="fr-FR"/>
        </w:rPr>
        <w:t>3 pour un véhicule en marche constituent les données de référence du contrôle de la conformité en circulation :</w:t>
      </w:r>
    </w:p>
    <w:p w:rsidR="00C9121B" w:rsidRPr="00C9121B" w:rsidRDefault="00C9121B" w:rsidP="00C9121B">
      <w:pPr>
        <w:pStyle w:val="SingleTxtG"/>
        <w:ind w:left="2835" w:hanging="567"/>
        <w:rPr>
          <w:bCs/>
          <w:lang w:val="fr-FR"/>
        </w:rPr>
      </w:pPr>
      <w:r w:rsidRPr="00C9121B">
        <w:rPr>
          <w:bCs/>
          <w:lang w:val="fr-FR"/>
        </w:rPr>
        <w:t>a)</w:t>
      </w:r>
      <w:r w:rsidRPr="00C9121B">
        <w:rPr>
          <w:bCs/>
          <w:lang w:val="fr-FR"/>
        </w:rPr>
        <w:tab/>
        <w:t>Le rapport (i) ou, pour les véhicules soumis à essai sur des rapports non verrouillés, la position du sélecteur de vitesse retenue pour l’essai ;</w:t>
      </w:r>
    </w:p>
    <w:p w:rsidR="00C9121B" w:rsidRPr="00C9121B" w:rsidRDefault="00C9121B" w:rsidP="00C9121B">
      <w:pPr>
        <w:pStyle w:val="SingleTxtG"/>
        <w:ind w:left="2835" w:hanging="567"/>
        <w:rPr>
          <w:bCs/>
          <w:lang w:val="fr-FR"/>
        </w:rPr>
      </w:pPr>
      <w:r w:rsidRPr="00C9121B">
        <w:rPr>
          <w:bCs/>
          <w:lang w:val="fr-FR"/>
        </w:rPr>
        <w:t>b)</w:t>
      </w:r>
      <w:r w:rsidRPr="00C9121B">
        <w:rPr>
          <w:bCs/>
          <w:lang w:val="fr-FR"/>
        </w:rPr>
        <w:tab/>
        <w:t>La vitesse v</w:t>
      </w:r>
      <w:r w:rsidRPr="00C9121B">
        <w:rPr>
          <w:bCs/>
          <w:vertAlign w:val="subscript"/>
          <w:lang w:val="fr-FR"/>
        </w:rPr>
        <w:t>AA’</w:t>
      </w:r>
      <w:r w:rsidRPr="00C9121B">
        <w:rPr>
          <w:bCs/>
          <w:lang w:val="fr-FR"/>
        </w:rPr>
        <w:t xml:space="preserve"> du véhicule, en km/h, au début de l’accélération à pleins gaz ou à vitesse maximale pour les essais effectués sur le rapport (i) ; e</w:t>
      </w:r>
      <w:r>
        <w:rPr>
          <w:bCs/>
          <w:lang w:val="fr-FR"/>
        </w:rPr>
        <w:t>t</w:t>
      </w:r>
    </w:p>
    <w:p w:rsidR="00C9121B" w:rsidRPr="00C9121B" w:rsidRDefault="00C9121B" w:rsidP="00C9121B">
      <w:pPr>
        <w:pStyle w:val="SingleTxtG"/>
        <w:ind w:left="2835" w:hanging="567"/>
        <w:rPr>
          <w:bCs/>
          <w:lang w:val="fr-FR"/>
        </w:rPr>
      </w:pPr>
      <w:r w:rsidRPr="00C9121B">
        <w:rPr>
          <w:bCs/>
          <w:lang w:val="fr-FR"/>
        </w:rPr>
        <w:t>c)</w:t>
      </w:r>
      <w:r w:rsidRPr="00C9121B">
        <w:rPr>
          <w:bCs/>
          <w:lang w:val="fr-FR"/>
        </w:rPr>
        <w:tab/>
        <w:t>Le résultat final de l’essai, en dB(A), tel que déterminé conformément au paragraphe 3.1.4 de la présente annexe.</w:t>
      </w:r>
    </w:p>
    <w:p w:rsidR="00024217" w:rsidRDefault="00C9121B" w:rsidP="00C9121B">
      <w:pPr>
        <w:pStyle w:val="SingleTxtG"/>
        <w:ind w:left="2268" w:hanging="1134"/>
        <w:rPr>
          <w:bCs/>
          <w:lang w:val="fr-FR"/>
        </w:rPr>
      </w:pPr>
      <w:r w:rsidRPr="00C9121B">
        <w:rPr>
          <w:bCs/>
          <w:lang w:val="fr-FR"/>
        </w:rPr>
        <w:t>4.3</w:t>
      </w:r>
      <w:r w:rsidRPr="00C9121B">
        <w:rPr>
          <w:bCs/>
          <w:lang w:val="fr-FR"/>
        </w:rPr>
        <w:tab/>
        <w:t xml:space="preserve">Les données de référence aux fins du contrôle de la conformité en circulation doivent être indiquées dans la fiche de communication </w:t>
      </w:r>
      <w:r>
        <w:rPr>
          <w:bCs/>
          <w:lang w:val="fr-FR"/>
        </w:rPr>
        <w:t>qui figure à l’annexe </w:t>
      </w:r>
      <w:r w:rsidRPr="00C9121B">
        <w:rPr>
          <w:bCs/>
          <w:lang w:val="fr-FR"/>
        </w:rPr>
        <w:t>1.</w:t>
      </w:r>
    </w:p>
    <w:p w:rsidR="000604F6" w:rsidRPr="000604F6" w:rsidRDefault="000604F6" w:rsidP="00081AA8">
      <w:pPr>
        <w:pStyle w:val="SingleTxtG"/>
        <w:keepNext/>
        <w:keepLines/>
        <w:ind w:left="2268" w:hanging="1134"/>
        <w:rPr>
          <w:lang w:val="fr-FR"/>
        </w:rPr>
      </w:pPr>
      <w:r w:rsidRPr="000604F6">
        <w:rPr>
          <w:lang w:val="fr-FR"/>
        </w:rPr>
        <w:t>5.</w:t>
      </w:r>
      <w:r w:rsidRPr="000604F6">
        <w:rPr>
          <w:lang w:val="fr-FR"/>
        </w:rPr>
        <w:tab/>
        <w:t>Dispositif d’échappement (silencieux) d’origine</w:t>
      </w:r>
    </w:p>
    <w:p w:rsidR="000604F6" w:rsidRPr="000604F6" w:rsidRDefault="000604F6" w:rsidP="000604F6">
      <w:pPr>
        <w:pStyle w:val="SingleTxtG"/>
        <w:ind w:left="2268" w:hanging="1134"/>
        <w:rPr>
          <w:lang w:val="fr-FR"/>
        </w:rPr>
      </w:pPr>
      <w:r w:rsidRPr="000604F6">
        <w:rPr>
          <w:lang w:val="fr-FR"/>
        </w:rPr>
        <w:t>5.1</w:t>
      </w:r>
      <w:r w:rsidRPr="000604F6">
        <w:rPr>
          <w:lang w:val="fr-FR"/>
        </w:rPr>
        <w:tab/>
        <w:t>Prescriptions applicables aux silencieux contenant des matériaux absorbants fibreux</w:t>
      </w:r>
    </w:p>
    <w:p w:rsidR="000604F6" w:rsidRPr="000604F6" w:rsidRDefault="000604F6" w:rsidP="000604F6">
      <w:pPr>
        <w:pStyle w:val="SingleTxtG"/>
        <w:ind w:left="2268" w:hanging="1134"/>
        <w:rPr>
          <w:lang w:val="fr-FR"/>
        </w:rPr>
      </w:pPr>
      <w:r w:rsidRPr="000604F6">
        <w:rPr>
          <w:lang w:val="fr-FR"/>
        </w:rPr>
        <w:t>5.1.1</w:t>
      </w:r>
      <w:r w:rsidRPr="000604F6">
        <w:rPr>
          <w:lang w:val="fr-FR"/>
        </w:rPr>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paragraphes 5.1.2, 5.1.3, 5.1.4 ou 5.1.5 ci-dessous sont respectées.</w:t>
      </w:r>
    </w:p>
    <w:p w:rsidR="000604F6" w:rsidRPr="000604F6" w:rsidRDefault="000604F6" w:rsidP="000604F6">
      <w:pPr>
        <w:pStyle w:val="SingleTxtG"/>
        <w:ind w:left="2268" w:hanging="1134"/>
        <w:rPr>
          <w:lang w:val="fr-FR"/>
        </w:rPr>
      </w:pPr>
      <w:r w:rsidRPr="000604F6">
        <w:rPr>
          <w:lang w:val="fr-FR"/>
        </w:rPr>
        <w:t>5.1.2</w:t>
      </w:r>
      <w:r w:rsidRPr="000604F6">
        <w:rPr>
          <w:lang w:val="fr-FR"/>
        </w:rPr>
        <w:tab/>
        <w:t>Le niveau sonore doit satisfaire aux prescriptions de l’annexe 4 du présent Règlement après que les matériaux fibreux ont été enlevés.</w:t>
      </w:r>
    </w:p>
    <w:p w:rsidR="000604F6" w:rsidRPr="000604F6" w:rsidRDefault="000604F6" w:rsidP="000604F6">
      <w:pPr>
        <w:pStyle w:val="SingleTxtG"/>
        <w:ind w:left="2268" w:hanging="1134"/>
        <w:rPr>
          <w:lang w:val="fr-FR"/>
        </w:rPr>
      </w:pPr>
      <w:r w:rsidRPr="000604F6">
        <w:rPr>
          <w:lang w:val="fr-FR"/>
        </w:rPr>
        <w:t>5.1.3</w:t>
      </w:r>
      <w:r w:rsidRPr="000604F6">
        <w:rPr>
          <w:lang w:val="fr-FR"/>
        </w:rPr>
        <w:tab/>
        <w:t>Les matériaux absorbants fibreux ne doivent pas être placés dans les parties du silencieux traversées par les gaz d’échappement et ils doivent répondre aux conditions suivantes :</w:t>
      </w:r>
    </w:p>
    <w:p w:rsidR="000604F6" w:rsidRPr="000604F6" w:rsidRDefault="000604F6" w:rsidP="000604F6">
      <w:pPr>
        <w:pStyle w:val="SingleTxtG"/>
        <w:ind w:left="2268" w:hanging="1134"/>
        <w:rPr>
          <w:lang w:val="fr-FR"/>
        </w:rPr>
      </w:pPr>
      <w:r w:rsidRPr="000604F6">
        <w:rPr>
          <w:lang w:val="fr-FR"/>
        </w:rPr>
        <w:t>5.1.3.1</w:t>
      </w:r>
      <w:r w:rsidRPr="000604F6">
        <w:rPr>
          <w:lang w:val="fr-FR"/>
        </w:rPr>
        <w:tab/>
        <w:t>Lorsque les matériaux sont chauffés dans un four à une température de 650 </w:t>
      </w:r>
      <w:r w:rsidRPr="000604F6">
        <w:rPr>
          <w:lang w:val="fr-FR"/>
        </w:rPr>
        <w:sym w:font="Symbol" w:char="F0B1"/>
      </w:r>
      <w:r w:rsidRPr="000604F6">
        <w:rPr>
          <w:lang w:val="fr-FR"/>
        </w:rPr>
        <w:t> 5 °C pendant 4 h, il ne doit pas y avoir réduction de la longueur moyenne des fibres, de leur diamètre ou de leur densité en vrac ;</w:t>
      </w:r>
    </w:p>
    <w:p w:rsidR="000604F6" w:rsidRPr="000604F6" w:rsidRDefault="000604F6" w:rsidP="000604F6">
      <w:pPr>
        <w:pStyle w:val="SingleTxtG"/>
        <w:ind w:left="2268" w:hanging="1134"/>
        <w:rPr>
          <w:b/>
          <w:bCs/>
          <w:lang w:val="fr-FR"/>
        </w:rPr>
      </w:pPr>
      <w:r w:rsidRPr="000604F6">
        <w:rPr>
          <w:lang w:val="fr-FR"/>
        </w:rPr>
        <w:t>5.1.3.2</w:t>
      </w:r>
      <w:r w:rsidRPr="000604F6">
        <w:rPr>
          <w:lang w:val="fr-FR"/>
        </w:rPr>
        <w:tab/>
        <w:t>Après chauffage dans un four à une température de 650 </w:t>
      </w:r>
      <w:r w:rsidRPr="000604F6">
        <w:rPr>
          <w:lang w:val="fr-FR"/>
        </w:rPr>
        <w:sym w:font="Symbol" w:char="F0B1"/>
      </w:r>
      <w:r w:rsidRPr="000604F6">
        <w:rPr>
          <w:lang w:val="fr-FR"/>
        </w:rPr>
        <w:t> 5 °C pendant 1 h, au moins 98 % du matériau doivent être retenus par un tamis ayant un maillage nominal de 250 μm conforme à la norme ISO 3310/1</w:t>
      </w:r>
      <w:r w:rsidRPr="000604F6">
        <w:rPr>
          <w:bCs/>
          <w:lang w:val="fr-FR"/>
        </w:rPr>
        <w:t>:2000</w:t>
      </w:r>
      <w:r w:rsidRPr="000604F6">
        <w:rPr>
          <w:lang w:val="fr-FR"/>
        </w:rPr>
        <w:t xml:space="preserve">, lorsqu’il a été essayé conformément à la norme ISO </w:t>
      </w:r>
      <w:r w:rsidRPr="000604F6">
        <w:rPr>
          <w:bCs/>
          <w:lang w:val="fr-FR"/>
        </w:rPr>
        <w:t>2559:2011.</w:t>
      </w:r>
    </w:p>
    <w:p w:rsidR="000604F6" w:rsidRPr="000604F6" w:rsidRDefault="000604F6" w:rsidP="000604F6">
      <w:pPr>
        <w:pStyle w:val="SingleTxtG"/>
        <w:ind w:left="2268" w:hanging="1134"/>
        <w:rPr>
          <w:lang w:val="fr-FR"/>
        </w:rPr>
      </w:pPr>
      <w:r w:rsidRPr="000604F6">
        <w:rPr>
          <w:lang w:val="fr-FR"/>
        </w:rPr>
        <w:t>5.1.3.3</w:t>
      </w:r>
      <w:r w:rsidRPr="000604F6">
        <w:rPr>
          <w:lang w:val="fr-FR"/>
        </w:rPr>
        <w:tab/>
        <w:t>La perte du poids du matériau ne doit pas excéder 10,5 % après immersion pendant 24 h à 90 </w:t>
      </w:r>
      <w:r w:rsidRPr="000604F6">
        <w:rPr>
          <w:lang w:val="fr-FR"/>
        </w:rPr>
        <w:sym w:font="Symbol" w:char="F0B1"/>
      </w:r>
      <w:r w:rsidRPr="000604F6">
        <w:rPr>
          <w:lang w:val="fr-FR"/>
        </w:rPr>
        <w:t> 5° C dans un condensat de synthèse ayant la composition suivante :</w:t>
      </w:r>
    </w:p>
    <w:p w:rsidR="000604F6" w:rsidRPr="000604F6" w:rsidRDefault="000604F6" w:rsidP="000604F6">
      <w:pPr>
        <w:pStyle w:val="SingleTxtG"/>
        <w:ind w:left="2268"/>
        <w:rPr>
          <w:lang w:val="fr-FR"/>
        </w:rPr>
      </w:pPr>
      <w:r>
        <w:rPr>
          <w:lang w:val="fr-FR"/>
        </w:rPr>
        <w:t>1 </w:t>
      </w:r>
      <w:r w:rsidRPr="000604F6">
        <w:rPr>
          <w:lang w:val="fr-FR"/>
        </w:rPr>
        <w:t>N acide bromhydrique (HBr) : 10 ml ;</w:t>
      </w:r>
    </w:p>
    <w:p w:rsidR="000604F6" w:rsidRPr="000604F6" w:rsidRDefault="000604F6" w:rsidP="000604F6">
      <w:pPr>
        <w:pStyle w:val="SingleTxtG"/>
        <w:ind w:left="2268"/>
        <w:rPr>
          <w:lang w:val="fr-FR"/>
        </w:rPr>
      </w:pPr>
      <w:r>
        <w:rPr>
          <w:lang w:val="fr-FR"/>
        </w:rPr>
        <w:t>1 </w:t>
      </w:r>
      <w:r w:rsidRPr="000604F6">
        <w:rPr>
          <w:lang w:val="fr-FR"/>
        </w:rPr>
        <w:t>N acide sulfurique (H</w:t>
      </w:r>
      <w:r w:rsidRPr="000604F6">
        <w:rPr>
          <w:vertAlign w:val="subscript"/>
          <w:lang w:val="fr-FR"/>
        </w:rPr>
        <w:t>2</w:t>
      </w:r>
      <w:r w:rsidRPr="000604F6">
        <w:rPr>
          <w:lang w:val="fr-FR"/>
        </w:rPr>
        <w:t>SO</w:t>
      </w:r>
      <w:r w:rsidRPr="000604F6">
        <w:rPr>
          <w:vertAlign w:val="subscript"/>
          <w:lang w:val="fr-FR"/>
        </w:rPr>
        <w:t>4</w:t>
      </w:r>
      <w:r w:rsidRPr="000604F6">
        <w:rPr>
          <w:lang w:val="fr-FR"/>
        </w:rPr>
        <w:t>) : 10 ml ;</w:t>
      </w:r>
    </w:p>
    <w:p w:rsidR="000604F6" w:rsidRPr="000604F6" w:rsidRDefault="000604F6" w:rsidP="000604F6">
      <w:pPr>
        <w:pStyle w:val="SingleTxtG"/>
        <w:ind w:left="2268"/>
        <w:rPr>
          <w:lang w:val="fr-FR"/>
        </w:rPr>
      </w:pPr>
      <w:r w:rsidRPr="000604F6">
        <w:rPr>
          <w:lang w:val="fr-FR"/>
        </w:rPr>
        <w:t>Eau distillée : jusqu’à 1 000 ml ;</w:t>
      </w:r>
    </w:p>
    <w:p w:rsidR="000604F6" w:rsidRPr="000604F6" w:rsidRDefault="000604F6" w:rsidP="000604F6">
      <w:pPr>
        <w:pStyle w:val="SingleTxtG"/>
        <w:ind w:left="2268"/>
        <w:rPr>
          <w:lang w:val="fr-FR"/>
        </w:rPr>
      </w:pPr>
      <w:r w:rsidRPr="000604F6">
        <w:rPr>
          <w:lang w:val="fr-FR"/>
        </w:rPr>
        <w:t>Le matériau doit être lavé avec de l’eau distillée et séché à 105 °C pendant 1 h avant pesage.</w:t>
      </w:r>
    </w:p>
    <w:p w:rsidR="000604F6" w:rsidRPr="000604F6" w:rsidRDefault="000604F6" w:rsidP="000604F6">
      <w:pPr>
        <w:pStyle w:val="SingleTxtG"/>
        <w:ind w:left="2268" w:hanging="1134"/>
        <w:rPr>
          <w:lang w:val="fr-FR"/>
        </w:rPr>
      </w:pPr>
      <w:r w:rsidRPr="000604F6">
        <w:rPr>
          <w:lang w:val="fr-FR"/>
        </w:rPr>
        <w:t>5.1.4</w:t>
      </w:r>
      <w:r w:rsidRPr="000604F6">
        <w:rPr>
          <w:lang w:val="fr-FR"/>
        </w:rPr>
        <w:tab/>
        <w:t>Avant que le dispositif d’échappement soit essayé conformément au paragraphe</w:t>
      </w:r>
      <w:r>
        <w:rPr>
          <w:lang w:val="fr-FR"/>
        </w:rPr>
        <w:t> </w:t>
      </w:r>
      <w:r w:rsidRPr="000604F6">
        <w:rPr>
          <w:lang w:val="fr-FR"/>
        </w:rPr>
        <w:t>3.1 de la présente annexe, il doit être conditionné par l’une des méthodes suivantes :</w:t>
      </w:r>
    </w:p>
    <w:p w:rsidR="000604F6" w:rsidRPr="000604F6" w:rsidRDefault="000604F6" w:rsidP="000604F6">
      <w:pPr>
        <w:pStyle w:val="SingleTxtG"/>
        <w:keepNext/>
        <w:keepLines/>
        <w:ind w:left="2268" w:hanging="1134"/>
        <w:rPr>
          <w:lang w:val="fr-FR"/>
        </w:rPr>
      </w:pPr>
      <w:r w:rsidRPr="000604F6">
        <w:rPr>
          <w:lang w:val="fr-FR"/>
        </w:rPr>
        <w:t>5.1.4.1</w:t>
      </w:r>
      <w:r w:rsidRPr="000604F6">
        <w:rPr>
          <w:lang w:val="fr-FR"/>
        </w:rPr>
        <w:tab/>
        <w:t>Conditionnement par conduite continue sur route</w:t>
      </w:r>
    </w:p>
    <w:p w:rsidR="000604F6" w:rsidRPr="000604F6" w:rsidRDefault="000604F6" w:rsidP="000604F6">
      <w:pPr>
        <w:pStyle w:val="SingleTxtG"/>
        <w:ind w:left="2268" w:hanging="1134"/>
        <w:rPr>
          <w:lang w:val="fr-FR"/>
        </w:rPr>
      </w:pPr>
      <w:r w:rsidRPr="000604F6">
        <w:rPr>
          <w:lang w:val="fr-FR"/>
        </w:rPr>
        <w:t>5.1.4.1.1</w:t>
      </w:r>
      <w:r w:rsidRPr="000604F6">
        <w:rPr>
          <w:lang w:val="fr-FR"/>
        </w:rPr>
        <w:tab/>
        <w:t>La distance minimale à parcourir pendant le cycle de conditionnement est de</w:t>
      </w:r>
      <w:r>
        <w:rPr>
          <w:lang w:val="fr-FR"/>
        </w:rPr>
        <w:t> </w:t>
      </w:r>
      <w:r w:rsidRPr="000604F6">
        <w:rPr>
          <w:lang w:val="fr-FR"/>
        </w:rPr>
        <w:t>2 000 km.</w:t>
      </w:r>
    </w:p>
    <w:p w:rsidR="000604F6" w:rsidRPr="000604F6" w:rsidRDefault="000604F6" w:rsidP="000604F6">
      <w:pPr>
        <w:pStyle w:val="SingleTxtG"/>
        <w:ind w:left="2268" w:hanging="1134"/>
        <w:rPr>
          <w:lang w:val="fr-FR"/>
        </w:rPr>
      </w:pPr>
      <w:r w:rsidRPr="000604F6">
        <w:rPr>
          <w:lang w:val="fr-FR"/>
        </w:rPr>
        <w:t>5.1.4.1.2</w:t>
      </w:r>
      <w:r w:rsidRPr="000604F6">
        <w:rPr>
          <w:lang w:val="fr-FR"/>
        </w:rPr>
        <w:tab/>
        <w:t>50 % </w:t>
      </w:r>
      <w:r w:rsidRPr="000604F6">
        <w:rPr>
          <w:lang w:val="fr-FR"/>
        </w:rPr>
        <w:sym w:font="Symbol" w:char="F0B1"/>
      </w:r>
      <w:r w:rsidRPr="000604F6">
        <w:rPr>
          <w:lang w:val="fr-FR"/>
        </w:rPr>
        <w:t> 10 % de ce cycle de conditionnement doit être effectué en conduite urbaine et le reste en conduite sur longs trajets à grande vitesse ; il peut être remplacé par un conditionnement sur piste d’essai.</w:t>
      </w:r>
    </w:p>
    <w:p w:rsidR="000604F6" w:rsidRPr="000604F6" w:rsidRDefault="000604F6" w:rsidP="000604F6">
      <w:pPr>
        <w:pStyle w:val="SingleTxtG"/>
        <w:ind w:left="2268" w:hanging="1134"/>
        <w:rPr>
          <w:lang w:val="fr-FR"/>
        </w:rPr>
      </w:pPr>
      <w:r w:rsidRPr="000604F6">
        <w:rPr>
          <w:lang w:val="fr-FR"/>
        </w:rPr>
        <w:t>5.1.4.1.3</w:t>
      </w:r>
      <w:r w:rsidRPr="000604F6">
        <w:rPr>
          <w:lang w:val="fr-FR"/>
        </w:rPr>
        <w:tab/>
        <w:t>On doit alterner les deux types de conduite au moins six fois.</w:t>
      </w:r>
    </w:p>
    <w:p w:rsidR="000604F6" w:rsidRPr="000604F6" w:rsidRDefault="000604F6" w:rsidP="000604F6">
      <w:pPr>
        <w:pStyle w:val="SingleTxtG"/>
        <w:ind w:left="2268" w:hanging="1134"/>
        <w:rPr>
          <w:lang w:val="fr-FR"/>
        </w:rPr>
      </w:pPr>
      <w:r w:rsidRPr="000604F6">
        <w:rPr>
          <w:lang w:val="fr-FR"/>
        </w:rPr>
        <w:t>5.1.4.1.4</w:t>
      </w:r>
      <w:r w:rsidRPr="000604F6">
        <w:rPr>
          <w:lang w:val="fr-FR"/>
        </w:rPr>
        <w:tab/>
        <w:t>Le programme d’essais complet doit être interrompu au minimum 10 fois pendant au moins 3 h, afin de simuler les effets du refroidissement et de la condensation.</w:t>
      </w:r>
    </w:p>
    <w:p w:rsidR="000604F6" w:rsidRPr="000604F6" w:rsidRDefault="000604F6" w:rsidP="000604F6">
      <w:pPr>
        <w:pStyle w:val="SingleTxtG"/>
        <w:keepNext/>
        <w:keepLines/>
        <w:ind w:left="2268" w:hanging="1134"/>
        <w:rPr>
          <w:lang w:val="fr-FR"/>
        </w:rPr>
      </w:pPr>
      <w:r w:rsidRPr="000604F6">
        <w:rPr>
          <w:lang w:val="fr-FR"/>
        </w:rPr>
        <w:t>5.1.4.2</w:t>
      </w:r>
      <w:r w:rsidRPr="000604F6">
        <w:rPr>
          <w:lang w:val="fr-FR"/>
        </w:rPr>
        <w:tab/>
        <w:t>Conditionnement par impulsions</w:t>
      </w:r>
    </w:p>
    <w:p w:rsidR="000604F6" w:rsidRPr="000604F6" w:rsidRDefault="000604F6" w:rsidP="000604F6">
      <w:pPr>
        <w:pStyle w:val="SingleTxtG"/>
        <w:keepNext/>
        <w:keepLines/>
        <w:ind w:left="2268" w:hanging="1134"/>
        <w:rPr>
          <w:lang w:val="fr-FR"/>
        </w:rPr>
      </w:pPr>
      <w:r w:rsidRPr="000604F6">
        <w:rPr>
          <w:lang w:val="fr-FR"/>
        </w:rPr>
        <w:t>5.1.4.2.1</w:t>
      </w:r>
      <w:r w:rsidRPr="000604F6">
        <w:rPr>
          <w:lang w:val="fr-FR"/>
        </w:rPr>
        <w:tab/>
        <w:t>Le dispositif d’échappement ou ses éléments doivent être</w:t>
      </w:r>
      <w:r w:rsidRPr="000604F6">
        <w:rPr>
          <w:b/>
          <w:lang w:val="fr-FR"/>
        </w:rPr>
        <w:t xml:space="preserve"> </w:t>
      </w:r>
      <w:r w:rsidRPr="000604F6">
        <w:rPr>
          <w:lang w:val="fr-FR"/>
        </w:rPr>
        <w:t>montés sur le véhicule</w:t>
      </w:r>
      <w:r w:rsidRPr="000604F6">
        <w:rPr>
          <w:b/>
          <w:lang w:val="fr-FR"/>
        </w:rPr>
        <w:t xml:space="preserve"> </w:t>
      </w:r>
      <w:r w:rsidRPr="000604F6">
        <w:rPr>
          <w:lang w:val="fr-FR"/>
        </w:rPr>
        <w:t>ou sur le moteur.</w:t>
      </w:r>
    </w:p>
    <w:p w:rsidR="000604F6" w:rsidRPr="000604F6" w:rsidRDefault="000604F6" w:rsidP="000604F6">
      <w:pPr>
        <w:pStyle w:val="SingleTxtG"/>
        <w:ind w:left="2268"/>
        <w:rPr>
          <w:lang w:val="fr-FR"/>
        </w:rPr>
      </w:pPr>
      <w:r w:rsidRPr="000604F6">
        <w:rPr>
          <w:lang w:val="fr-FR"/>
        </w:rPr>
        <w:t>Dans le premier cas, le véhicule</w:t>
      </w:r>
      <w:r w:rsidRPr="000604F6">
        <w:rPr>
          <w:b/>
          <w:lang w:val="fr-FR"/>
        </w:rPr>
        <w:t xml:space="preserve"> </w:t>
      </w:r>
      <w:r w:rsidRPr="000604F6">
        <w:rPr>
          <w:lang w:val="fr-FR"/>
        </w:rPr>
        <w:t>doit être placé sur un banc à rouleaux. Dans le deuxième, le moteur doit être placé sur un banc d’essai.</w:t>
      </w:r>
    </w:p>
    <w:p w:rsidR="000604F6" w:rsidRPr="000604F6" w:rsidRDefault="000604F6" w:rsidP="000604F6">
      <w:pPr>
        <w:pStyle w:val="SingleTxtG"/>
        <w:ind w:left="2268"/>
        <w:rPr>
          <w:lang w:val="fr-FR"/>
        </w:rPr>
      </w:pPr>
      <w:r w:rsidRPr="000604F6">
        <w:rPr>
          <w:lang w:val="fr-FR"/>
        </w:rPr>
        <w:t>L’appareil d’essai, dont un schéma détaillé est présenté à la figure 4, est raccordé à la sortie d’échappement. Il peut être remplacé par tout autre appareil donnant des résultats équivalents.</w:t>
      </w:r>
    </w:p>
    <w:p w:rsidR="000604F6" w:rsidRPr="000604F6" w:rsidRDefault="000604F6" w:rsidP="000604F6">
      <w:pPr>
        <w:pStyle w:val="SingleTxtG"/>
        <w:ind w:left="2268" w:hanging="1134"/>
        <w:rPr>
          <w:lang w:val="fr-FR"/>
        </w:rPr>
      </w:pPr>
      <w:r w:rsidRPr="000604F6">
        <w:rPr>
          <w:lang w:val="fr-FR"/>
        </w:rPr>
        <w:t>5.1.4.2.2</w:t>
      </w:r>
      <w:r w:rsidRPr="000604F6">
        <w:rPr>
          <w:lang w:val="fr-FR"/>
        </w:rPr>
        <w:tab/>
        <w:t>L’appareil d’essai doit être réglé de façon telle que le flux des gaz d’échappement soit alternativement interrompu et rétabli 2 500 fois par une soupape à action rapide.</w:t>
      </w:r>
    </w:p>
    <w:p w:rsidR="00C9121B" w:rsidRDefault="000604F6" w:rsidP="005D6C34">
      <w:pPr>
        <w:pStyle w:val="Heading1"/>
        <w:spacing w:after="120"/>
        <w:rPr>
          <w:b/>
          <w:lang w:val="fr-FR"/>
        </w:rPr>
      </w:pPr>
      <w:r>
        <w:rPr>
          <w:lang w:val="fr-FR"/>
        </w:rPr>
        <w:t>Figure </w:t>
      </w:r>
      <w:r w:rsidRPr="000604F6">
        <w:rPr>
          <w:lang w:val="fr-FR"/>
        </w:rPr>
        <w:t xml:space="preserve">4 </w:t>
      </w:r>
      <w:r w:rsidRPr="000604F6">
        <w:rPr>
          <w:lang w:val="fr-FR"/>
        </w:rPr>
        <w:br/>
      </w:r>
      <w:r w:rsidRPr="000604F6">
        <w:rPr>
          <w:b/>
          <w:lang w:val="fr-FR"/>
        </w:rPr>
        <w:t>Appareillage d’essai pour le conditionnement par impulsions</w:t>
      </w:r>
    </w:p>
    <w:p w:rsidR="000604F6" w:rsidRDefault="000604F6" w:rsidP="000604F6">
      <w:pPr>
        <w:pStyle w:val="SingleTxtG"/>
        <w:rPr>
          <w:lang w:val="fr-FR"/>
        </w:rPr>
      </w:pPr>
      <w:r w:rsidRPr="008933B9">
        <w:rPr>
          <w:strike/>
          <w:noProof/>
          <w:lang w:val="en-GB" w:eastAsia="en-GB"/>
        </w:rPr>
        <w:drawing>
          <wp:inline distT="0" distB="0" distL="0" distR="0" wp14:anchorId="53EC3A97" wp14:editId="28909384">
            <wp:extent cx="4680000" cy="2473239"/>
            <wp:effectExtent l="19050" t="19050" r="25400" b="2286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0000" cy="2473239"/>
                    </a:xfrm>
                    <a:prstGeom prst="rect">
                      <a:avLst/>
                    </a:prstGeom>
                    <a:noFill/>
                    <a:ln w="6350" cmpd="sng">
                      <a:solidFill>
                        <a:srgbClr val="000000"/>
                      </a:solidFill>
                      <a:miter lim="800000"/>
                      <a:headEnd/>
                      <a:tailEnd/>
                    </a:ln>
                    <a:effectLst/>
                  </pic:spPr>
                </pic:pic>
              </a:graphicData>
            </a:graphic>
          </wp:inline>
        </w:drawing>
      </w:r>
    </w:p>
    <w:p w:rsidR="005D6C34" w:rsidRPr="005D6C34" w:rsidRDefault="005D6C34" w:rsidP="005D6C34">
      <w:pPr>
        <w:pStyle w:val="SingleTxtG"/>
        <w:spacing w:after="0"/>
        <w:ind w:left="1418" w:hanging="284"/>
        <w:rPr>
          <w:sz w:val="18"/>
          <w:szCs w:val="18"/>
          <w:lang w:val="fr-FR"/>
        </w:rPr>
      </w:pPr>
      <w:r w:rsidRPr="005D6C34">
        <w:rPr>
          <w:lang w:val="fr-FR"/>
        </w:rPr>
        <w:t>1</w:t>
      </w:r>
      <w:r w:rsidRPr="005D6C34">
        <w:rPr>
          <w:sz w:val="18"/>
          <w:szCs w:val="18"/>
          <w:lang w:val="fr-FR"/>
        </w:rPr>
        <w:t>.</w:t>
      </w:r>
      <w:r w:rsidRPr="005D6C34">
        <w:rPr>
          <w:sz w:val="18"/>
          <w:szCs w:val="18"/>
          <w:lang w:val="fr-FR"/>
        </w:rPr>
        <w:tab/>
        <w:t>Bride d’admission ou manchon de raccordement à l’arrière du dispositif d’échappement à essayer</w:t>
      </w:r>
      <w:r>
        <w:rPr>
          <w:sz w:val="18"/>
          <w:szCs w:val="18"/>
          <w:lang w:val="fr-FR"/>
        </w:rPr>
        <w:t>.</w:t>
      </w:r>
    </w:p>
    <w:p w:rsidR="005D6C34" w:rsidRPr="005D6C34" w:rsidRDefault="005D6C34" w:rsidP="005D6C34">
      <w:pPr>
        <w:pStyle w:val="SingleTxtG"/>
        <w:spacing w:after="0"/>
        <w:ind w:left="1418" w:hanging="284"/>
        <w:rPr>
          <w:sz w:val="18"/>
          <w:szCs w:val="18"/>
          <w:lang w:val="fr-FR"/>
        </w:rPr>
      </w:pPr>
      <w:r w:rsidRPr="005D6C34">
        <w:rPr>
          <w:sz w:val="18"/>
          <w:szCs w:val="18"/>
          <w:lang w:val="fr-FR"/>
        </w:rPr>
        <w:t>2.</w:t>
      </w:r>
      <w:r w:rsidRPr="005D6C34">
        <w:rPr>
          <w:sz w:val="18"/>
          <w:szCs w:val="18"/>
          <w:lang w:val="fr-FR"/>
        </w:rPr>
        <w:tab/>
        <w:t>Robinet de réglage actionné manuellement</w:t>
      </w:r>
      <w:r>
        <w:rPr>
          <w:sz w:val="18"/>
          <w:szCs w:val="18"/>
          <w:lang w:val="fr-FR"/>
        </w:rPr>
        <w:t>.</w:t>
      </w:r>
    </w:p>
    <w:p w:rsidR="005D6C34" w:rsidRPr="005D6C34" w:rsidRDefault="005D6C34" w:rsidP="005D6C34">
      <w:pPr>
        <w:pStyle w:val="SingleTxtG"/>
        <w:spacing w:after="0"/>
        <w:ind w:left="1418" w:hanging="284"/>
        <w:rPr>
          <w:sz w:val="18"/>
          <w:szCs w:val="18"/>
          <w:lang w:val="fr-FR"/>
        </w:rPr>
      </w:pPr>
      <w:r w:rsidRPr="005D6C34">
        <w:rPr>
          <w:sz w:val="18"/>
          <w:szCs w:val="18"/>
          <w:lang w:val="fr-FR"/>
        </w:rPr>
        <w:t>3.</w:t>
      </w:r>
      <w:r w:rsidRPr="005D6C34">
        <w:rPr>
          <w:sz w:val="18"/>
          <w:szCs w:val="18"/>
          <w:lang w:val="fr-FR"/>
        </w:rPr>
        <w:tab/>
        <w:t>Réservoir de compensation d’une contenance maximale de 40 l et à temps de remplissage d’au moins 1 s</w:t>
      </w:r>
      <w:r>
        <w:rPr>
          <w:sz w:val="18"/>
          <w:szCs w:val="18"/>
          <w:lang w:val="fr-FR"/>
        </w:rPr>
        <w:t>.</w:t>
      </w:r>
    </w:p>
    <w:p w:rsidR="005D6C34" w:rsidRPr="005D6C34" w:rsidRDefault="005D6C34" w:rsidP="005D6C34">
      <w:pPr>
        <w:pStyle w:val="SingleTxtG"/>
        <w:spacing w:after="0"/>
        <w:ind w:left="1418" w:hanging="284"/>
        <w:rPr>
          <w:sz w:val="18"/>
          <w:szCs w:val="18"/>
          <w:lang w:val="fr-FR"/>
        </w:rPr>
      </w:pPr>
      <w:r w:rsidRPr="005D6C34">
        <w:rPr>
          <w:sz w:val="18"/>
          <w:szCs w:val="18"/>
          <w:lang w:val="fr-FR"/>
        </w:rPr>
        <w:t>4.</w:t>
      </w:r>
      <w:r w:rsidRPr="005D6C34">
        <w:rPr>
          <w:sz w:val="18"/>
          <w:szCs w:val="18"/>
          <w:lang w:val="fr-FR"/>
        </w:rPr>
        <w:tab/>
        <w:t>Vanne de réglage de la pression (5 à 250 kPa)</w:t>
      </w:r>
      <w:r>
        <w:rPr>
          <w:sz w:val="18"/>
          <w:szCs w:val="18"/>
          <w:lang w:val="fr-FR"/>
        </w:rPr>
        <w:t>.</w:t>
      </w:r>
    </w:p>
    <w:p w:rsidR="005D6C34" w:rsidRPr="005D6C34" w:rsidRDefault="005D6C34" w:rsidP="005D6C34">
      <w:pPr>
        <w:pStyle w:val="SingleTxtG"/>
        <w:spacing w:after="0"/>
        <w:ind w:left="1418" w:hanging="284"/>
        <w:rPr>
          <w:sz w:val="18"/>
          <w:szCs w:val="18"/>
          <w:lang w:val="fr-FR"/>
        </w:rPr>
      </w:pPr>
      <w:r w:rsidRPr="005D6C34">
        <w:rPr>
          <w:sz w:val="18"/>
          <w:szCs w:val="18"/>
          <w:lang w:val="fr-FR"/>
        </w:rPr>
        <w:t>5.</w:t>
      </w:r>
      <w:r w:rsidRPr="005D6C34">
        <w:rPr>
          <w:sz w:val="18"/>
          <w:szCs w:val="18"/>
          <w:lang w:val="fr-FR"/>
        </w:rPr>
        <w:tab/>
        <w:t>Relais temporisé.</w:t>
      </w:r>
    </w:p>
    <w:p w:rsidR="005D6C34" w:rsidRPr="005D6C34" w:rsidRDefault="005D6C34" w:rsidP="005D6C34">
      <w:pPr>
        <w:pStyle w:val="SingleTxtG"/>
        <w:spacing w:after="0"/>
        <w:ind w:left="1418" w:hanging="284"/>
        <w:rPr>
          <w:sz w:val="18"/>
          <w:szCs w:val="18"/>
          <w:lang w:val="fr-FR"/>
        </w:rPr>
      </w:pPr>
      <w:r w:rsidRPr="005D6C34">
        <w:rPr>
          <w:sz w:val="18"/>
          <w:szCs w:val="18"/>
          <w:lang w:val="fr-FR"/>
        </w:rPr>
        <w:t>6.</w:t>
      </w:r>
      <w:r w:rsidRPr="005D6C34">
        <w:rPr>
          <w:sz w:val="18"/>
          <w:szCs w:val="18"/>
          <w:lang w:val="fr-FR"/>
        </w:rPr>
        <w:tab/>
        <w:t>Compteur d’impulsions</w:t>
      </w:r>
      <w:r>
        <w:rPr>
          <w:sz w:val="18"/>
          <w:szCs w:val="18"/>
          <w:lang w:val="fr-FR"/>
        </w:rPr>
        <w:t>.</w:t>
      </w:r>
    </w:p>
    <w:p w:rsidR="005D6C34" w:rsidRPr="005D6C34" w:rsidRDefault="005D6C34" w:rsidP="005D6C34">
      <w:pPr>
        <w:pStyle w:val="SingleTxtG"/>
        <w:spacing w:after="0"/>
        <w:ind w:left="1418" w:hanging="284"/>
        <w:rPr>
          <w:sz w:val="18"/>
          <w:szCs w:val="18"/>
          <w:lang w:val="fr-FR"/>
        </w:rPr>
      </w:pPr>
      <w:r w:rsidRPr="005D6C34">
        <w:rPr>
          <w:sz w:val="18"/>
          <w:szCs w:val="18"/>
          <w:lang w:val="fr-FR"/>
        </w:rPr>
        <w:t>7.</w:t>
      </w:r>
      <w:r w:rsidRPr="005D6C34">
        <w:rPr>
          <w:sz w:val="18"/>
          <w:szCs w:val="18"/>
          <w:lang w:val="fr-FR"/>
        </w:rPr>
        <w:tab/>
        <w:t>Soupape rapide, telle qu’une soupape d’échappement de 60 mm de diamètre, actionnée par un cylindre pneumatique d’une force de 120 N à 400 kPa. Le temps de réponse à l’ouverture et à la fermeture ne doit pas dépasser 0,5 s.</w:t>
      </w:r>
    </w:p>
    <w:p w:rsidR="005D6C34" w:rsidRPr="005D6C34" w:rsidRDefault="005D6C34" w:rsidP="005D6C34">
      <w:pPr>
        <w:pStyle w:val="SingleTxtG"/>
        <w:spacing w:after="0"/>
        <w:ind w:left="1418" w:hanging="284"/>
        <w:rPr>
          <w:sz w:val="18"/>
          <w:szCs w:val="18"/>
          <w:lang w:val="fr-FR"/>
        </w:rPr>
      </w:pPr>
      <w:r w:rsidRPr="005D6C34">
        <w:rPr>
          <w:sz w:val="18"/>
          <w:szCs w:val="18"/>
          <w:lang w:val="fr-FR"/>
        </w:rPr>
        <w:t>8.</w:t>
      </w:r>
      <w:r w:rsidRPr="005D6C34">
        <w:rPr>
          <w:sz w:val="18"/>
          <w:szCs w:val="18"/>
          <w:lang w:val="fr-FR"/>
        </w:rPr>
        <w:tab/>
        <w:t>Évacuation des gaz d’échappement</w:t>
      </w:r>
      <w:r>
        <w:rPr>
          <w:sz w:val="18"/>
          <w:szCs w:val="18"/>
          <w:lang w:val="fr-FR"/>
        </w:rPr>
        <w:t>.</w:t>
      </w:r>
    </w:p>
    <w:p w:rsidR="005D6C34" w:rsidRPr="005D6C34" w:rsidRDefault="005D6C34" w:rsidP="005D6C34">
      <w:pPr>
        <w:pStyle w:val="SingleTxtG"/>
        <w:spacing w:after="0"/>
        <w:ind w:left="1418" w:hanging="284"/>
        <w:rPr>
          <w:sz w:val="18"/>
          <w:szCs w:val="18"/>
          <w:lang w:val="fr-FR"/>
        </w:rPr>
      </w:pPr>
      <w:r w:rsidRPr="005D6C34">
        <w:rPr>
          <w:sz w:val="18"/>
          <w:szCs w:val="18"/>
          <w:lang w:val="fr-FR"/>
        </w:rPr>
        <w:t>9.</w:t>
      </w:r>
      <w:r w:rsidRPr="005D6C34">
        <w:rPr>
          <w:sz w:val="18"/>
          <w:szCs w:val="18"/>
          <w:lang w:val="fr-FR"/>
        </w:rPr>
        <w:tab/>
        <w:t>Tuyau souple</w:t>
      </w:r>
      <w:r>
        <w:rPr>
          <w:sz w:val="18"/>
          <w:szCs w:val="18"/>
          <w:lang w:val="fr-FR"/>
        </w:rPr>
        <w:t>.</w:t>
      </w:r>
    </w:p>
    <w:p w:rsidR="005D6C34" w:rsidRPr="005D6C34" w:rsidRDefault="005D6C34" w:rsidP="005D6C34">
      <w:pPr>
        <w:pStyle w:val="SingleTxtG"/>
        <w:spacing w:after="240"/>
        <w:ind w:left="1418" w:hanging="284"/>
        <w:rPr>
          <w:b/>
          <w:sz w:val="18"/>
          <w:szCs w:val="18"/>
          <w:lang w:val="fr-FR"/>
        </w:rPr>
      </w:pPr>
      <w:r w:rsidRPr="005D6C34">
        <w:rPr>
          <w:sz w:val="18"/>
          <w:szCs w:val="18"/>
          <w:lang w:val="fr-FR"/>
        </w:rPr>
        <w:t>10.</w:t>
      </w:r>
      <w:r w:rsidRPr="005D6C34">
        <w:rPr>
          <w:sz w:val="18"/>
          <w:szCs w:val="18"/>
          <w:lang w:val="fr-FR"/>
        </w:rPr>
        <w:tab/>
        <w:t>Manomètre</w:t>
      </w:r>
      <w:r>
        <w:rPr>
          <w:sz w:val="18"/>
          <w:szCs w:val="18"/>
          <w:lang w:val="fr-FR"/>
        </w:rPr>
        <w:t>.</w:t>
      </w:r>
    </w:p>
    <w:p w:rsidR="005D6C34" w:rsidRPr="005D6C34" w:rsidRDefault="005D6C34" w:rsidP="005D6C34">
      <w:pPr>
        <w:pStyle w:val="SingleTxtG"/>
        <w:ind w:left="2268" w:hanging="1134"/>
        <w:rPr>
          <w:lang w:val="fr-FR"/>
        </w:rPr>
      </w:pPr>
      <w:r w:rsidRPr="005D6C34">
        <w:rPr>
          <w:lang w:val="fr-FR"/>
        </w:rPr>
        <w:t>5.1.4.2.3</w:t>
      </w:r>
      <w:r w:rsidRPr="005D6C34">
        <w:rPr>
          <w:lang w:val="fr-FR"/>
        </w:rPr>
        <w:tab/>
        <w:t>La soupape doit s’ouvrir lorsque la contrepression des gaz d’échappement, mesurée au moins à 100 mm en aval de la bride d’entrée, atteint une valeur comprise entre 35 et 40 kPa. Si, à cause des caractéristiques du moteur, cette valeur ne peut être atteinte, la soupape doit s’ouvrir lorsque la contrepression des gaz atteint une valeur égale à 90 % de la valeur maximale qui peut être mesurée avant que le moteur ne s’arrête. La soupape doit se refermer quand cette pression ne diffère pas de plus de 10 % de sa valeur stabilisée lorsque la soupape est ouverte.</w:t>
      </w:r>
    </w:p>
    <w:p w:rsidR="005D6C34" w:rsidRPr="005D6C34" w:rsidRDefault="005D6C34" w:rsidP="005D6C34">
      <w:pPr>
        <w:pStyle w:val="SingleTxtG"/>
        <w:ind w:left="2268" w:hanging="1134"/>
        <w:rPr>
          <w:lang w:val="fr-FR"/>
        </w:rPr>
      </w:pPr>
      <w:r w:rsidRPr="005D6C34">
        <w:rPr>
          <w:lang w:val="fr-FR"/>
        </w:rPr>
        <w:t>5.1.4.2.4</w:t>
      </w:r>
      <w:r w:rsidRPr="005D6C34">
        <w:rPr>
          <w:lang w:val="fr-FR"/>
        </w:rPr>
        <w:tab/>
        <w:t>Le relais temporisé doit être réglé pour la durée des gaz d’échappement résultant des prescriptions figurant au paragraphe 5.1.4.2.3 ci-dessus.</w:t>
      </w:r>
    </w:p>
    <w:p w:rsidR="005D6C34" w:rsidRPr="005D6C34" w:rsidRDefault="005D6C34" w:rsidP="005D6C34">
      <w:pPr>
        <w:pStyle w:val="SingleTxtG"/>
        <w:ind w:left="2268" w:hanging="1134"/>
        <w:rPr>
          <w:lang w:val="fr-FR"/>
        </w:rPr>
      </w:pPr>
      <w:r w:rsidRPr="005D6C34">
        <w:rPr>
          <w:lang w:val="fr-FR"/>
        </w:rPr>
        <w:t>5.1.4.2.5</w:t>
      </w:r>
      <w:r w:rsidRPr="005D6C34">
        <w:rPr>
          <w:lang w:val="fr-FR"/>
        </w:rPr>
        <w:tab/>
        <w:t>Le régime moteur doit être égal à 75 % du régime nomin</w:t>
      </w:r>
      <w:r>
        <w:rPr>
          <w:lang w:val="fr-FR"/>
        </w:rPr>
        <w:t>al tel que défini au paragraphe </w:t>
      </w:r>
      <w:r w:rsidRPr="005D6C34">
        <w:rPr>
          <w:lang w:val="fr-FR"/>
        </w:rPr>
        <w:t>2.7 du présent Règlement.</w:t>
      </w:r>
    </w:p>
    <w:p w:rsidR="005D6C34" w:rsidRPr="005D6C34" w:rsidRDefault="005D6C34" w:rsidP="005D6C34">
      <w:pPr>
        <w:pStyle w:val="SingleTxtG"/>
        <w:ind w:left="2268" w:hanging="1134"/>
        <w:rPr>
          <w:lang w:val="fr-FR"/>
        </w:rPr>
      </w:pPr>
      <w:r w:rsidRPr="005D6C34">
        <w:rPr>
          <w:lang w:val="fr-FR"/>
        </w:rPr>
        <w:t>5.1.4.2.6</w:t>
      </w:r>
      <w:r w:rsidRPr="005D6C34">
        <w:rPr>
          <w:lang w:val="fr-FR"/>
        </w:rPr>
        <w:tab/>
        <w:t>La puissance indiquée par le dynamomètre doit être égale à 50 % de la puissance mesurée à pleine charge à 75 % du régime nomin</w:t>
      </w:r>
      <w:r>
        <w:rPr>
          <w:lang w:val="fr-FR"/>
        </w:rPr>
        <w:t>al tel que défini au paragraphe </w:t>
      </w:r>
      <w:r w:rsidRPr="005D6C34">
        <w:rPr>
          <w:lang w:val="fr-FR"/>
        </w:rPr>
        <w:t>2.7 du présent Règlement.</w:t>
      </w:r>
    </w:p>
    <w:p w:rsidR="005D6C34" w:rsidRPr="005D6C34" w:rsidRDefault="005D6C34" w:rsidP="00EA43BC">
      <w:pPr>
        <w:pStyle w:val="SingleTxtG"/>
        <w:keepNext/>
        <w:keepLines/>
        <w:ind w:left="2268" w:hanging="1134"/>
        <w:rPr>
          <w:lang w:val="fr-FR"/>
        </w:rPr>
      </w:pPr>
      <w:r w:rsidRPr="005D6C34">
        <w:rPr>
          <w:lang w:val="fr-FR"/>
        </w:rPr>
        <w:t>5.1.4.2.7</w:t>
      </w:r>
      <w:r w:rsidRPr="005D6C34">
        <w:rPr>
          <w:lang w:val="fr-FR"/>
        </w:rPr>
        <w:tab/>
        <w:t>Tout orifice de purge doit être bouché pendant l’essai.</w:t>
      </w:r>
    </w:p>
    <w:p w:rsidR="005D6C34" w:rsidRPr="005D6C34" w:rsidRDefault="005D6C34" w:rsidP="005D6C34">
      <w:pPr>
        <w:pStyle w:val="SingleTxtG"/>
        <w:ind w:left="2268" w:hanging="1134"/>
        <w:rPr>
          <w:lang w:val="fr-FR"/>
        </w:rPr>
      </w:pPr>
      <w:r w:rsidRPr="005D6C34">
        <w:rPr>
          <w:lang w:val="fr-FR"/>
        </w:rPr>
        <w:t>5.1.4.2.8</w:t>
      </w:r>
      <w:r w:rsidRPr="005D6C34">
        <w:rPr>
          <w:lang w:val="fr-FR"/>
        </w:rPr>
        <w:tab/>
        <w:t xml:space="preserve">L’essai complet ne doit pas prendre plus de </w:t>
      </w:r>
      <w:r w:rsidR="005134D2">
        <w:rPr>
          <w:lang w:val="fr-FR"/>
        </w:rPr>
        <w:t>quarante-huit</w:t>
      </w:r>
      <w:r w:rsidRPr="005D6C34">
        <w:rPr>
          <w:lang w:val="fr-FR"/>
        </w:rPr>
        <w:t> h</w:t>
      </w:r>
      <w:r w:rsidR="005134D2">
        <w:rPr>
          <w:lang w:val="fr-FR"/>
        </w:rPr>
        <w:t>eures</w:t>
      </w:r>
      <w:r w:rsidRPr="005D6C34">
        <w:rPr>
          <w:lang w:val="fr-FR"/>
        </w:rPr>
        <w:t>. Si nécessaire, une pause de refroidissement doit être observée toutes les heures.</w:t>
      </w:r>
    </w:p>
    <w:p w:rsidR="005D6C34" w:rsidRPr="005D6C34" w:rsidRDefault="005D6C34" w:rsidP="00EA43BC">
      <w:pPr>
        <w:pStyle w:val="SingleTxtG"/>
        <w:keepNext/>
        <w:keepLines/>
        <w:ind w:left="2268" w:hanging="1134"/>
        <w:rPr>
          <w:lang w:val="fr-FR"/>
        </w:rPr>
      </w:pPr>
      <w:r w:rsidRPr="005D6C34">
        <w:rPr>
          <w:lang w:val="fr-FR"/>
        </w:rPr>
        <w:t>5.1.4.3</w:t>
      </w:r>
      <w:r w:rsidRPr="005D6C34">
        <w:rPr>
          <w:lang w:val="fr-FR"/>
        </w:rPr>
        <w:tab/>
        <w:t>Conditionnement sur banc d’essai</w:t>
      </w:r>
    </w:p>
    <w:p w:rsidR="005D6C34" w:rsidRPr="005D6C34" w:rsidRDefault="005D6C34" w:rsidP="005D6C34">
      <w:pPr>
        <w:pStyle w:val="SingleTxtG"/>
        <w:ind w:left="2268" w:hanging="1134"/>
        <w:rPr>
          <w:lang w:val="fr-FR"/>
        </w:rPr>
      </w:pPr>
      <w:r w:rsidRPr="005D6C34">
        <w:rPr>
          <w:lang w:val="fr-FR"/>
        </w:rPr>
        <w:t>5.1.4.3.1</w:t>
      </w:r>
      <w:r w:rsidRPr="005D6C34">
        <w:rPr>
          <w:lang w:val="fr-FR"/>
        </w:rPr>
        <w:tab/>
        <w:t>Le dispositif d’échappement doit être monté sur un moteur représentatif du type équipant le véhicule pour lequel le dispositif est conçu, après quoi le moteur est monté sur le banc d’essai.</w:t>
      </w:r>
    </w:p>
    <w:p w:rsidR="005D6C34" w:rsidRPr="005D6C34" w:rsidRDefault="005D6C34" w:rsidP="00EA43BC">
      <w:pPr>
        <w:pStyle w:val="SingleTxtG"/>
        <w:keepNext/>
        <w:keepLines/>
        <w:ind w:left="2268" w:hanging="1134"/>
        <w:rPr>
          <w:lang w:val="fr-FR"/>
        </w:rPr>
      </w:pPr>
      <w:r w:rsidRPr="005D6C34">
        <w:rPr>
          <w:lang w:val="fr-FR"/>
        </w:rPr>
        <w:t>5.1.4.3.2</w:t>
      </w:r>
      <w:r w:rsidRPr="005D6C34">
        <w:rPr>
          <w:lang w:val="fr-FR"/>
        </w:rPr>
        <w:tab/>
        <w:t>Le conditionnement comprend trois cycles d’essai.</w:t>
      </w:r>
    </w:p>
    <w:p w:rsidR="005D6C34" w:rsidRPr="005D6C34" w:rsidRDefault="005D6C34" w:rsidP="005D6C34">
      <w:pPr>
        <w:pStyle w:val="SingleTxtG"/>
        <w:ind w:left="2268" w:hanging="1134"/>
        <w:rPr>
          <w:lang w:val="fr-FR"/>
        </w:rPr>
      </w:pPr>
      <w:r w:rsidRPr="005D6C34">
        <w:rPr>
          <w:lang w:val="fr-FR"/>
        </w:rPr>
        <w:t>5.1.4.3.3</w:t>
      </w:r>
      <w:r w:rsidRPr="005D6C34">
        <w:rPr>
          <w:lang w:val="fr-FR"/>
        </w:rPr>
        <w:tab/>
      </w:r>
      <w:r w:rsidRPr="00155D93">
        <w:rPr>
          <w:spacing w:val="-3"/>
          <w:lang w:val="fr-FR"/>
        </w:rPr>
        <w:t>Afin de reproduire les effets du refroidissement et de la condensation, chaque cycle sur banc d’essai doit être</w:t>
      </w:r>
      <w:r w:rsidRPr="00155D93">
        <w:rPr>
          <w:b/>
          <w:spacing w:val="-3"/>
          <w:lang w:val="fr-FR"/>
        </w:rPr>
        <w:t xml:space="preserve"> </w:t>
      </w:r>
      <w:r w:rsidRPr="00155D93">
        <w:rPr>
          <w:spacing w:val="-3"/>
          <w:lang w:val="fr-FR"/>
        </w:rPr>
        <w:t>suivi d’une interruption d’au moins six heures</w:t>
      </w:r>
      <w:r w:rsidRPr="005D6C34">
        <w:rPr>
          <w:lang w:val="fr-FR"/>
        </w:rPr>
        <w:t>.</w:t>
      </w:r>
    </w:p>
    <w:p w:rsidR="005D6C34" w:rsidRDefault="005D6C34" w:rsidP="005D6C34">
      <w:pPr>
        <w:pStyle w:val="SingleTxtG"/>
        <w:ind w:left="2268" w:hanging="1134"/>
        <w:rPr>
          <w:lang w:val="fr-FR"/>
        </w:rPr>
      </w:pPr>
      <w:r w:rsidRPr="005D6C34">
        <w:rPr>
          <w:lang w:val="fr-FR"/>
        </w:rPr>
        <w:t>5.1.4.3.4</w:t>
      </w:r>
      <w:r w:rsidRPr="005D6C34">
        <w:rPr>
          <w:lang w:val="fr-FR"/>
        </w:rPr>
        <w:tab/>
        <w:t>Chaque cycle au banc d’essai comprend six phases, dont les modalités sont définies ci-dessous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
        <w:gridCol w:w="3085"/>
        <w:gridCol w:w="2430"/>
      </w:tblGrid>
      <w:tr w:rsidR="005D6C34" w:rsidRPr="005D6C34" w:rsidTr="00816D45">
        <w:trPr>
          <w:tblHeader/>
        </w:trPr>
        <w:tc>
          <w:tcPr>
            <w:tcW w:w="722" w:type="dxa"/>
            <w:tcBorders>
              <w:bottom w:val="single" w:sz="12" w:space="0" w:color="auto"/>
            </w:tcBorders>
            <w:shd w:val="clear" w:color="auto" w:fill="auto"/>
            <w:vAlign w:val="bottom"/>
          </w:tcPr>
          <w:p w:rsidR="005D6C34" w:rsidRPr="005D6C34" w:rsidRDefault="005D6C34" w:rsidP="00816D45">
            <w:pPr>
              <w:suppressAutoHyphens w:val="0"/>
              <w:spacing w:before="80" w:after="80" w:line="200" w:lineRule="exact"/>
              <w:ind w:left="57" w:right="57"/>
              <w:rPr>
                <w:i/>
                <w:sz w:val="16"/>
                <w:lang w:val="fr-FR"/>
              </w:rPr>
            </w:pPr>
            <w:r w:rsidRPr="005D6C34">
              <w:rPr>
                <w:i/>
                <w:sz w:val="16"/>
                <w:lang w:val="fr-FR"/>
              </w:rPr>
              <w:t>Phase</w:t>
            </w:r>
          </w:p>
        </w:tc>
        <w:tc>
          <w:tcPr>
            <w:tcW w:w="3085" w:type="dxa"/>
            <w:tcBorders>
              <w:bottom w:val="single" w:sz="12" w:space="0" w:color="auto"/>
            </w:tcBorders>
            <w:shd w:val="clear" w:color="auto" w:fill="auto"/>
            <w:vAlign w:val="bottom"/>
          </w:tcPr>
          <w:p w:rsidR="005D6C34" w:rsidRPr="005D6C34" w:rsidRDefault="005D6C34" w:rsidP="0012315E">
            <w:pPr>
              <w:suppressAutoHyphens w:val="0"/>
              <w:spacing w:before="80" w:after="80" w:line="200" w:lineRule="exact"/>
              <w:ind w:left="57" w:right="57"/>
              <w:rPr>
                <w:i/>
                <w:sz w:val="16"/>
                <w:lang w:val="fr-FR"/>
              </w:rPr>
            </w:pPr>
            <w:r w:rsidRPr="005D6C34">
              <w:rPr>
                <w:i/>
                <w:sz w:val="16"/>
                <w:lang w:val="fr-FR"/>
              </w:rPr>
              <w:t>Conditions</w:t>
            </w:r>
          </w:p>
        </w:tc>
        <w:tc>
          <w:tcPr>
            <w:tcW w:w="2430" w:type="dxa"/>
            <w:tcBorders>
              <w:bottom w:val="single" w:sz="12" w:space="0" w:color="auto"/>
            </w:tcBorders>
            <w:shd w:val="clear" w:color="auto" w:fill="auto"/>
            <w:vAlign w:val="bottom"/>
          </w:tcPr>
          <w:p w:rsidR="005D6C34" w:rsidRPr="005D6C34" w:rsidRDefault="005D6C34" w:rsidP="00816D45">
            <w:pPr>
              <w:suppressAutoHyphens w:val="0"/>
              <w:spacing w:before="80" w:after="80" w:line="200" w:lineRule="exact"/>
              <w:ind w:left="57" w:right="57"/>
              <w:jc w:val="right"/>
              <w:rPr>
                <w:i/>
                <w:sz w:val="16"/>
                <w:lang w:val="fr-FR"/>
              </w:rPr>
            </w:pPr>
            <w:r w:rsidRPr="005D6C34">
              <w:rPr>
                <w:i/>
                <w:sz w:val="16"/>
                <w:lang w:val="fr-FR"/>
              </w:rPr>
              <w:t xml:space="preserve">Durée de chaque phase </w:t>
            </w:r>
            <w:r>
              <w:rPr>
                <w:i/>
                <w:sz w:val="16"/>
                <w:lang w:val="fr-FR"/>
              </w:rPr>
              <w:br/>
            </w:r>
            <w:r w:rsidRPr="005D6C34">
              <w:rPr>
                <w:i/>
                <w:sz w:val="16"/>
                <w:lang w:val="fr-FR"/>
              </w:rPr>
              <w:t>(en minute)</w:t>
            </w:r>
          </w:p>
        </w:tc>
      </w:tr>
      <w:tr w:rsidR="005D6C34" w:rsidRPr="005D6C34" w:rsidTr="00816D45">
        <w:tc>
          <w:tcPr>
            <w:tcW w:w="722" w:type="dxa"/>
            <w:tcBorders>
              <w:top w:val="single" w:sz="12" w:space="0" w:color="auto"/>
            </w:tcBorders>
            <w:shd w:val="clear" w:color="auto" w:fill="auto"/>
          </w:tcPr>
          <w:p w:rsidR="005D6C34" w:rsidRPr="005D6C34" w:rsidRDefault="005D6C34" w:rsidP="00816D45">
            <w:pPr>
              <w:suppressAutoHyphens w:val="0"/>
              <w:spacing w:before="40" w:after="40" w:line="220" w:lineRule="exact"/>
              <w:ind w:left="57" w:right="57"/>
              <w:rPr>
                <w:sz w:val="18"/>
                <w:lang w:val="fr-FR"/>
              </w:rPr>
            </w:pPr>
            <w:r w:rsidRPr="005D6C34">
              <w:rPr>
                <w:sz w:val="18"/>
                <w:lang w:val="fr-FR"/>
              </w:rPr>
              <w:t>1</w:t>
            </w:r>
          </w:p>
        </w:tc>
        <w:tc>
          <w:tcPr>
            <w:tcW w:w="3085" w:type="dxa"/>
            <w:tcBorders>
              <w:top w:val="single" w:sz="12" w:space="0" w:color="auto"/>
            </w:tcBorders>
            <w:shd w:val="clear" w:color="auto" w:fill="auto"/>
            <w:vAlign w:val="bottom"/>
          </w:tcPr>
          <w:p w:rsidR="005D6C34" w:rsidRPr="005D6C34" w:rsidRDefault="005D6C34" w:rsidP="0012315E">
            <w:pPr>
              <w:suppressAutoHyphens w:val="0"/>
              <w:spacing w:before="40" w:after="40" w:line="220" w:lineRule="exact"/>
              <w:ind w:left="57" w:right="57"/>
              <w:rPr>
                <w:sz w:val="18"/>
                <w:lang w:val="fr-FR"/>
              </w:rPr>
            </w:pPr>
            <w:r w:rsidRPr="005D6C34">
              <w:rPr>
                <w:sz w:val="18"/>
                <w:lang w:val="fr-FR"/>
              </w:rPr>
              <w:t>Ralenti</w:t>
            </w:r>
          </w:p>
        </w:tc>
        <w:tc>
          <w:tcPr>
            <w:tcW w:w="2430" w:type="dxa"/>
            <w:tcBorders>
              <w:top w:val="single" w:sz="12" w:space="0" w:color="auto"/>
            </w:tcBorders>
            <w:shd w:val="clear" w:color="auto" w:fill="auto"/>
            <w:vAlign w:val="bottom"/>
          </w:tcPr>
          <w:p w:rsidR="005D6C34" w:rsidRPr="005D6C34" w:rsidRDefault="005D6C34" w:rsidP="00816D45">
            <w:pPr>
              <w:suppressAutoHyphens w:val="0"/>
              <w:spacing w:before="40" w:after="40" w:line="220" w:lineRule="exact"/>
              <w:ind w:left="57" w:right="57"/>
              <w:jc w:val="right"/>
              <w:rPr>
                <w:sz w:val="18"/>
                <w:lang w:val="fr-FR"/>
              </w:rPr>
            </w:pPr>
            <w:r w:rsidRPr="005D6C34">
              <w:rPr>
                <w:sz w:val="18"/>
                <w:lang w:val="fr-FR"/>
              </w:rPr>
              <w:t>6</w:t>
            </w:r>
          </w:p>
        </w:tc>
      </w:tr>
      <w:tr w:rsidR="005D6C34" w:rsidRPr="005D6C34" w:rsidTr="00816D45">
        <w:tc>
          <w:tcPr>
            <w:tcW w:w="722" w:type="dxa"/>
            <w:shd w:val="clear" w:color="auto" w:fill="auto"/>
          </w:tcPr>
          <w:p w:rsidR="005D6C34" w:rsidRPr="005D6C34" w:rsidRDefault="005D6C34" w:rsidP="00816D45">
            <w:pPr>
              <w:suppressAutoHyphens w:val="0"/>
              <w:spacing w:before="40" w:after="40" w:line="220" w:lineRule="exact"/>
              <w:ind w:left="57" w:right="57"/>
              <w:rPr>
                <w:sz w:val="18"/>
                <w:lang w:val="fr-FR"/>
              </w:rPr>
            </w:pPr>
            <w:r w:rsidRPr="005D6C34">
              <w:rPr>
                <w:sz w:val="18"/>
                <w:lang w:val="fr-FR"/>
              </w:rPr>
              <w:t>2</w:t>
            </w:r>
          </w:p>
        </w:tc>
        <w:tc>
          <w:tcPr>
            <w:tcW w:w="3085" w:type="dxa"/>
            <w:shd w:val="clear" w:color="auto" w:fill="auto"/>
            <w:vAlign w:val="bottom"/>
          </w:tcPr>
          <w:p w:rsidR="005D6C34" w:rsidRPr="005D6C34" w:rsidRDefault="005D6C34" w:rsidP="0012315E">
            <w:pPr>
              <w:suppressAutoHyphens w:val="0"/>
              <w:spacing w:before="40" w:after="40" w:line="220" w:lineRule="exact"/>
              <w:ind w:left="57" w:right="57"/>
              <w:rPr>
                <w:b/>
                <w:sz w:val="18"/>
                <w:lang w:val="fr-FR"/>
              </w:rPr>
            </w:pPr>
            <w:r w:rsidRPr="005D6C34">
              <w:rPr>
                <w:sz w:val="18"/>
                <w:lang w:val="fr-FR"/>
              </w:rPr>
              <w:t>25 % de charge à 75 % de n</w:t>
            </w:r>
            <w:r w:rsidRPr="005D6C34">
              <w:rPr>
                <w:sz w:val="18"/>
                <w:vertAlign w:val="subscript"/>
                <w:lang w:val="fr-FR"/>
              </w:rPr>
              <w:t>rated</w:t>
            </w:r>
          </w:p>
        </w:tc>
        <w:tc>
          <w:tcPr>
            <w:tcW w:w="2430" w:type="dxa"/>
            <w:shd w:val="clear" w:color="auto" w:fill="auto"/>
            <w:vAlign w:val="bottom"/>
          </w:tcPr>
          <w:p w:rsidR="005D6C34" w:rsidRPr="005D6C34" w:rsidRDefault="005D6C34" w:rsidP="00816D45">
            <w:pPr>
              <w:suppressAutoHyphens w:val="0"/>
              <w:spacing w:before="40" w:after="40" w:line="220" w:lineRule="exact"/>
              <w:ind w:left="57" w:right="57"/>
              <w:jc w:val="right"/>
              <w:rPr>
                <w:sz w:val="18"/>
                <w:lang w:val="fr-FR"/>
              </w:rPr>
            </w:pPr>
            <w:r w:rsidRPr="005D6C34">
              <w:rPr>
                <w:sz w:val="18"/>
                <w:lang w:val="fr-FR"/>
              </w:rPr>
              <w:t>40</w:t>
            </w:r>
          </w:p>
        </w:tc>
      </w:tr>
      <w:tr w:rsidR="005D6C34" w:rsidRPr="005D6C34" w:rsidTr="00816D45">
        <w:tc>
          <w:tcPr>
            <w:tcW w:w="722" w:type="dxa"/>
            <w:shd w:val="clear" w:color="auto" w:fill="auto"/>
          </w:tcPr>
          <w:p w:rsidR="005D6C34" w:rsidRPr="005D6C34" w:rsidRDefault="005D6C34" w:rsidP="00816D45">
            <w:pPr>
              <w:suppressAutoHyphens w:val="0"/>
              <w:spacing w:before="40" w:after="40" w:line="220" w:lineRule="exact"/>
              <w:ind w:left="57" w:right="57"/>
              <w:rPr>
                <w:sz w:val="18"/>
                <w:lang w:val="fr-FR"/>
              </w:rPr>
            </w:pPr>
            <w:r w:rsidRPr="005D6C34">
              <w:rPr>
                <w:sz w:val="18"/>
                <w:lang w:val="fr-FR"/>
              </w:rPr>
              <w:t>3</w:t>
            </w:r>
          </w:p>
        </w:tc>
        <w:tc>
          <w:tcPr>
            <w:tcW w:w="3085" w:type="dxa"/>
            <w:shd w:val="clear" w:color="auto" w:fill="auto"/>
            <w:vAlign w:val="bottom"/>
          </w:tcPr>
          <w:p w:rsidR="005D6C34" w:rsidRPr="005D6C34" w:rsidRDefault="005D6C34" w:rsidP="0012315E">
            <w:pPr>
              <w:suppressAutoHyphens w:val="0"/>
              <w:spacing w:before="40" w:after="40" w:line="220" w:lineRule="exact"/>
              <w:ind w:left="57" w:right="57"/>
              <w:rPr>
                <w:sz w:val="18"/>
                <w:lang w:val="fr-FR"/>
              </w:rPr>
            </w:pPr>
            <w:r w:rsidRPr="005D6C34">
              <w:rPr>
                <w:sz w:val="18"/>
                <w:lang w:val="fr-FR"/>
              </w:rPr>
              <w:t>50 % de charge à 75 % de n</w:t>
            </w:r>
            <w:r w:rsidRPr="005D6C34">
              <w:rPr>
                <w:sz w:val="18"/>
                <w:vertAlign w:val="subscript"/>
                <w:lang w:val="fr-FR"/>
              </w:rPr>
              <w:t>rated</w:t>
            </w:r>
          </w:p>
        </w:tc>
        <w:tc>
          <w:tcPr>
            <w:tcW w:w="2430" w:type="dxa"/>
            <w:shd w:val="clear" w:color="auto" w:fill="auto"/>
            <w:vAlign w:val="bottom"/>
          </w:tcPr>
          <w:p w:rsidR="005D6C34" w:rsidRPr="005D6C34" w:rsidRDefault="005D6C34" w:rsidP="00816D45">
            <w:pPr>
              <w:suppressAutoHyphens w:val="0"/>
              <w:spacing w:before="40" w:after="40" w:line="220" w:lineRule="exact"/>
              <w:ind w:left="57" w:right="57"/>
              <w:jc w:val="right"/>
              <w:rPr>
                <w:sz w:val="18"/>
                <w:lang w:val="fr-FR"/>
              </w:rPr>
            </w:pPr>
            <w:r w:rsidRPr="005D6C34">
              <w:rPr>
                <w:sz w:val="18"/>
                <w:lang w:val="fr-FR"/>
              </w:rPr>
              <w:t>40</w:t>
            </w:r>
          </w:p>
        </w:tc>
      </w:tr>
      <w:tr w:rsidR="005D6C34" w:rsidRPr="005D6C34" w:rsidTr="00816D45">
        <w:tc>
          <w:tcPr>
            <w:tcW w:w="722" w:type="dxa"/>
            <w:shd w:val="clear" w:color="auto" w:fill="auto"/>
          </w:tcPr>
          <w:p w:rsidR="005D6C34" w:rsidRPr="005D6C34" w:rsidRDefault="005D6C34" w:rsidP="00816D45">
            <w:pPr>
              <w:suppressAutoHyphens w:val="0"/>
              <w:spacing w:before="40" w:after="40" w:line="220" w:lineRule="exact"/>
              <w:ind w:left="57" w:right="57"/>
              <w:rPr>
                <w:sz w:val="18"/>
                <w:lang w:val="fr-FR"/>
              </w:rPr>
            </w:pPr>
            <w:r w:rsidRPr="005D6C34">
              <w:rPr>
                <w:sz w:val="18"/>
                <w:lang w:val="fr-FR"/>
              </w:rPr>
              <w:t>4</w:t>
            </w:r>
          </w:p>
        </w:tc>
        <w:tc>
          <w:tcPr>
            <w:tcW w:w="3085" w:type="dxa"/>
            <w:shd w:val="clear" w:color="auto" w:fill="auto"/>
            <w:vAlign w:val="bottom"/>
          </w:tcPr>
          <w:p w:rsidR="005D6C34" w:rsidRPr="005D6C34" w:rsidRDefault="005D6C34" w:rsidP="0012315E">
            <w:pPr>
              <w:suppressAutoHyphens w:val="0"/>
              <w:spacing w:before="40" w:after="40" w:line="220" w:lineRule="exact"/>
              <w:ind w:left="57" w:right="57"/>
              <w:rPr>
                <w:sz w:val="18"/>
                <w:lang w:val="fr-FR"/>
              </w:rPr>
            </w:pPr>
            <w:r w:rsidRPr="005D6C34">
              <w:rPr>
                <w:sz w:val="18"/>
                <w:lang w:val="fr-FR"/>
              </w:rPr>
              <w:t>100 % de charge à 75 % de n</w:t>
            </w:r>
            <w:r w:rsidRPr="005D6C34">
              <w:rPr>
                <w:sz w:val="18"/>
                <w:vertAlign w:val="subscript"/>
                <w:lang w:val="fr-FR"/>
              </w:rPr>
              <w:t>rated</w:t>
            </w:r>
          </w:p>
        </w:tc>
        <w:tc>
          <w:tcPr>
            <w:tcW w:w="2430" w:type="dxa"/>
            <w:shd w:val="clear" w:color="auto" w:fill="auto"/>
            <w:vAlign w:val="bottom"/>
          </w:tcPr>
          <w:p w:rsidR="005D6C34" w:rsidRPr="005D6C34" w:rsidRDefault="005D6C34" w:rsidP="00816D45">
            <w:pPr>
              <w:suppressAutoHyphens w:val="0"/>
              <w:spacing w:before="40" w:after="40" w:line="220" w:lineRule="exact"/>
              <w:ind w:left="57" w:right="57"/>
              <w:jc w:val="right"/>
              <w:rPr>
                <w:sz w:val="18"/>
                <w:lang w:val="fr-FR"/>
              </w:rPr>
            </w:pPr>
            <w:r w:rsidRPr="005D6C34">
              <w:rPr>
                <w:sz w:val="18"/>
                <w:lang w:val="fr-FR"/>
              </w:rPr>
              <w:t>30</w:t>
            </w:r>
          </w:p>
        </w:tc>
      </w:tr>
      <w:tr w:rsidR="005D6C34" w:rsidRPr="005D6C34" w:rsidTr="00816D45">
        <w:tc>
          <w:tcPr>
            <w:tcW w:w="722" w:type="dxa"/>
            <w:shd w:val="clear" w:color="auto" w:fill="auto"/>
          </w:tcPr>
          <w:p w:rsidR="005D6C34" w:rsidRPr="005D6C34" w:rsidRDefault="005D6C34" w:rsidP="00816D45">
            <w:pPr>
              <w:suppressAutoHyphens w:val="0"/>
              <w:spacing w:before="40" w:after="40" w:line="220" w:lineRule="exact"/>
              <w:ind w:left="57" w:right="57"/>
              <w:rPr>
                <w:sz w:val="18"/>
                <w:lang w:val="fr-FR"/>
              </w:rPr>
            </w:pPr>
            <w:r w:rsidRPr="005D6C34">
              <w:rPr>
                <w:sz w:val="18"/>
                <w:lang w:val="fr-FR"/>
              </w:rPr>
              <w:t>5</w:t>
            </w:r>
          </w:p>
        </w:tc>
        <w:tc>
          <w:tcPr>
            <w:tcW w:w="3085" w:type="dxa"/>
            <w:shd w:val="clear" w:color="auto" w:fill="auto"/>
            <w:vAlign w:val="bottom"/>
          </w:tcPr>
          <w:p w:rsidR="005D6C34" w:rsidRPr="005D6C34" w:rsidRDefault="005D6C34" w:rsidP="0012315E">
            <w:pPr>
              <w:suppressAutoHyphens w:val="0"/>
              <w:spacing w:before="40" w:after="40" w:line="220" w:lineRule="exact"/>
              <w:ind w:left="57" w:right="57"/>
              <w:rPr>
                <w:sz w:val="18"/>
                <w:lang w:val="fr-FR"/>
              </w:rPr>
            </w:pPr>
            <w:r w:rsidRPr="005D6C34">
              <w:rPr>
                <w:sz w:val="18"/>
                <w:lang w:val="fr-FR"/>
              </w:rPr>
              <w:t>50 % de charge à 100 % de n</w:t>
            </w:r>
            <w:r w:rsidRPr="005D6C34">
              <w:rPr>
                <w:sz w:val="18"/>
                <w:vertAlign w:val="subscript"/>
                <w:lang w:val="fr-FR"/>
              </w:rPr>
              <w:t>rated</w:t>
            </w:r>
          </w:p>
        </w:tc>
        <w:tc>
          <w:tcPr>
            <w:tcW w:w="2430" w:type="dxa"/>
            <w:shd w:val="clear" w:color="auto" w:fill="auto"/>
            <w:vAlign w:val="bottom"/>
          </w:tcPr>
          <w:p w:rsidR="005D6C34" w:rsidRPr="005D6C34" w:rsidRDefault="005D6C34" w:rsidP="00816D45">
            <w:pPr>
              <w:suppressAutoHyphens w:val="0"/>
              <w:spacing w:before="40" w:after="40" w:line="220" w:lineRule="exact"/>
              <w:ind w:left="57" w:right="57"/>
              <w:jc w:val="right"/>
              <w:rPr>
                <w:sz w:val="18"/>
                <w:lang w:val="fr-FR"/>
              </w:rPr>
            </w:pPr>
            <w:r w:rsidRPr="005D6C34">
              <w:rPr>
                <w:sz w:val="18"/>
                <w:lang w:val="fr-FR"/>
              </w:rPr>
              <w:t>12</w:t>
            </w:r>
          </w:p>
        </w:tc>
      </w:tr>
      <w:tr w:rsidR="005D6C34" w:rsidRPr="005D6C34" w:rsidTr="0012315E">
        <w:tc>
          <w:tcPr>
            <w:tcW w:w="722" w:type="dxa"/>
            <w:tcBorders>
              <w:bottom w:val="single" w:sz="4" w:space="0" w:color="auto"/>
            </w:tcBorders>
            <w:shd w:val="clear" w:color="auto" w:fill="auto"/>
          </w:tcPr>
          <w:p w:rsidR="005D6C34" w:rsidRPr="005D6C34" w:rsidRDefault="005D6C34" w:rsidP="00816D45">
            <w:pPr>
              <w:suppressAutoHyphens w:val="0"/>
              <w:spacing w:before="40" w:after="40" w:line="220" w:lineRule="exact"/>
              <w:ind w:left="57" w:right="57"/>
              <w:rPr>
                <w:sz w:val="18"/>
                <w:lang w:val="fr-FR"/>
              </w:rPr>
            </w:pPr>
            <w:r w:rsidRPr="005D6C34">
              <w:rPr>
                <w:sz w:val="18"/>
                <w:lang w:val="fr-FR"/>
              </w:rPr>
              <w:t>6</w:t>
            </w:r>
          </w:p>
        </w:tc>
        <w:tc>
          <w:tcPr>
            <w:tcW w:w="3085" w:type="dxa"/>
            <w:tcBorders>
              <w:bottom w:val="single" w:sz="4" w:space="0" w:color="auto"/>
            </w:tcBorders>
            <w:shd w:val="clear" w:color="auto" w:fill="auto"/>
            <w:vAlign w:val="bottom"/>
          </w:tcPr>
          <w:p w:rsidR="005D6C34" w:rsidRPr="005D6C34" w:rsidRDefault="005D6C34" w:rsidP="0012315E">
            <w:pPr>
              <w:suppressAutoHyphens w:val="0"/>
              <w:spacing w:before="40" w:after="40" w:line="220" w:lineRule="exact"/>
              <w:ind w:left="57" w:right="57"/>
              <w:rPr>
                <w:sz w:val="18"/>
                <w:lang w:val="fr-FR"/>
              </w:rPr>
            </w:pPr>
            <w:r w:rsidRPr="005D6C34">
              <w:rPr>
                <w:sz w:val="18"/>
                <w:lang w:val="fr-FR"/>
              </w:rPr>
              <w:t>25 % de charge à 100 % de n</w:t>
            </w:r>
            <w:r w:rsidRPr="005D6C34">
              <w:rPr>
                <w:sz w:val="18"/>
                <w:vertAlign w:val="subscript"/>
                <w:lang w:val="fr-FR"/>
              </w:rPr>
              <w:t>rated</w:t>
            </w:r>
          </w:p>
        </w:tc>
        <w:tc>
          <w:tcPr>
            <w:tcW w:w="2430" w:type="dxa"/>
            <w:tcBorders>
              <w:bottom w:val="single" w:sz="4" w:space="0" w:color="auto"/>
            </w:tcBorders>
            <w:shd w:val="clear" w:color="auto" w:fill="auto"/>
            <w:vAlign w:val="bottom"/>
          </w:tcPr>
          <w:p w:rsidR="005D6C34" w:rsidRPr="005D6C34" w:rsidRDefault="005D6C34" w:rsidP="00816D45">
            <w:pPr>
              <w:suppressAutoHyphens w:val="0"/>
              <w:spacing w:before="40" w:after="40" w:line="220" w:lineRule="exact"/>
              <w:ind w:left="57" w:right="57"/>
              <w:jc w:val="right"/>
              <w:rPr>
                <w:sz w:val="18"/>
                <w:lang w:val="fr-FR"/>
              </w:rPr>
            </w:pPr>
            <w:r w:rsidRPr="005D6C34">
              <w:rPr>
                <w:sz w:val="18"/>
                <w:lang w:val="fr-FR"/>
              </w:rPr>
              <w:t>22</w:t>
            </w:r>
          </w:p>
        </w:tc>
      </w:tr>
      <w:tr w:rsidR="005D6C34" w:rsidRPr="0012315E" w:rsidTr="0012315E">
        <w:tc>
          <w:tcPr>
            <w:tcW w:w="3807" w:type="dxa"/>
            <w:gridSpan w:val="2"/>
            <w:tcBorders>
              <w:left w:val="single" w:sz="4" w:space="0" w:color="auto"/>
              <w:bottom w:val="single" w:sz="12" w:space="0" w:color="auto"/>
            </w:tcBorders>
            <w:shd w:val="clear" w:color="auto" w:fill="auto"/>
          </w:tcPr>
          <w:p w:rsidR="005D6C34" w:rsidRPr="0012315E" w:rsidRDefault="005D6C34" w:rsidP="0012315E">
            <w:pPr>
              <w:suppressAutoHyphens w:val="0"/>
              <w:spacing w:before="80" w:after="80" w:line="220" w:lineRule="exact"/>
              <w:ind w:left="283"/>
              <w:rPr>
                <w:b/>
                <w:sz w:val="18"/>
                <w:lang w:val="fr-FR"/>
              </w:rPr>
            </w:pPr>
            <w:r w:rsidRPr="0012315E">
              <w:rPr>
                <w:b/>
                <w:sz w:val="18"/>
                <w:lang w:val="fr-FR"/>
              </w:rPr>
              <w:t>Durée totale</w:t>
            </w:r>
          </w:p>
        </w:tc>
        <w:tc>
          <w:tcPr>
            <w:tcW w:w="2430" w:type="dxa"/>
            <w:tcBorders>
              <w:bottom w:val="single" w:sz="12" w:space="0" w:color="auto"/>
              <w:right w:val="single" w:sz="4" w:space="0" w:color="auto"/>
            </w:tcBorders>
            <w:shd w:val="clear" w:color="auto" w:fill="auto"/>
            <w:vAlign w:val="bottom"/>
          </w:tcPr>
          <w:p w:rsidR="005D6C34" w:rsidRPr="0012315E" w:rsidRDefault="005D6C34" w:rsidP="0012315E">
            <w:pPr>
              <w:suppressAutoHyphens w:val="0"/>
              <w:spacing w:before="80" w:after="80" w:line="220" w:lineRule="exact"/>
              <w:jc w:val="right"/>
              <w:rPr>
                <w:b/>
                <w:sz w:val="18"/>
                <w:lang w:val="fr-FR"/>
              </w:rPr>
            </w:pPr>
            <w:r w:rsidRPr="0012315E">
              <w:rPr>
                <w:b/>
                <w:sz w:val="18"/>
                <w:lang w:val="fr-FR"/>
              </w:rPr>
              <w:t>2 h 30</w:t>
            </w:r>
          </w:p>
        </w:tc>
      </w:tr>
    </w:tbl>
    <w:p w:rsidR="00155D93" w:rsidRPr="00155D93" w:rsidRDefault="00155D93" w:rsidP="006B7381">
      <w:pPr>
        <w:pStyle w:val="SingleTxtG"/>
        <w:spacing w:before="240"/>
        <w:ind w:left="2268" w:hanging="1134"/>
        <w:rPr>
          <w:lang w:val="fr-FR"/>
        </w:rPr>
      </w:pPr>
      <w:r w:rsidRPr="00155D93">
        <w:rPr>
          <w:lang w:val="fr-FR"/>
        </w:rPr>
        <w:t>5.1.4.3.5</w:t>
      </w:r>
      <w:r w:rsidRPr="00155D93">
        <w:rPr>
          <w:lang w:val="fr-FR"/>
        </w:rPr>
        <w:tab/>
        <w:t>Pendant</w:t>
      </w:r>
      <w:r w:rsidR="00081AA8">
        <w:rPr>
          <w:lang w:val="fr-FR"/>
        </w:rPr>
        <w:t xml:space="preserve"> </w:t>
      </w:r>
      <w:r w:rsidRPr="00155D93">
        <w:rPr>
          <w:lang w:val="fr-FR"/>
        </w:rPr>
        <w:t>le conditionnement, le moteur et le silencieux peuvent, à la demande du constructeur, être refroidis de telle manière que la température enregistrée en un point situé à une distance maximale de 100 mm de la sortie des gaz d’échappement ne soit pas supérieure à celle enregistrée lorsque le véhicule</w:t>
      </w:r>
      <w:r w:rsidRPr="00155D93">
        <w:rPr>
          <w:b/>
          <w:lang w:val="fr-FR"/>
        </w:rPr>
        <w:t xml:space="preserve"> </w:t>
      </w:r>
      <w:r w:rsidRPr="00155D93">
        <w:rPr>
          <w:lang w:val="fr-FR"/>
        </w:rPr>
        <w:t>roule à 75 %</w:t>
      </w:r>
      <w:r w:rsidR="00081AA8">
        <w:rPr>
          <w:lang w:val="fr-FR"/>
        </w:rPr>
        <w:t xml:space="preserve"> </w:t>
      </w:r>
      <w:r w:rsidRPr="00155D93">
        <w:rPr>
          <w:lang w:val="fr-FR"/>
        </w:rPr>
        <w:t>du régime nomina</w:t>
      </w:r>
      <w:r w:rsidR="00081AA8">
        <w:rPr>
          <w:lang w:val="fr-FR"/>
        </w:rPr>
        <w:t>l (tel que défini au paragraphe </w:t>
      </w:r>
      <w:r w:rsidRPr="00155D93">
        <w:rPr>
          <w:lang w:val="fr-FR"/>
        </w:rPr>
        <w:t>2.7 du présent Règlement</w:t>
      </w:r>
      <w:r w:rsidRPr="00155D93">
        <w:rPr>
          <w:b/>
          <w:lang w:val="fr-FR"/>
        </w:rPr>
        <w:t>)</w:t>
      </w:r>
      <w:r w:rsidRPr="00155D93">
        <w:rPr>
          <w:lang w:val="fr-FR"/>
        </w:rPr>
        <w:t xml:space="preserve">, sur le rapport le plus élevé. La vitesse du véhicule et le régime moteur doivent être mesurés avec une précision de </w:t>
      </w:r>
      <w:r w:rsidRPr="00155D93">
        <w:rPr>
          <w:lang w:val="fr-FR"/>
        </w:rPr>
        <w:sym w:font="Symbol" w:char="F0B1"/>
      </w:r>
      <w:r w:rsidRPr="00155D93">
        <w:rPr>
          <w:lang w:val="fr-FR"/>
        </w:rPr>
        <w:t>3 %.</w:t>
      </w:r>
    </w:p>
    <w:p w:rsidR="00155D93" w:rsidRPr="00155D93" w:rsidRDefault="00155D93" w:rsidP="00155D93">
      <w:pPr>
        <w:pStyle w:val="SingleTxtG"/>
        <w:ind w:left="2268" w:hanging="1134"/>
        <w:rPr>
          <w:lang w:val="fr-FR"/>
        </w:rPr>
      </w:pPr>
      <w:r w:rsidRPr="00155D93">
        <w:rPr>
          <w:lang w:val="fr-FR"/>
        </w:rPr>
        <w:t>5.1.5</w:t>
      </w:r>
      <w:r w:rsidRPr="00155D93">
        <w:rPr>
          <w:lang w:val="fr-FR"/>
        </w:rPr>
        <w:tab/>
        <w:t>Les gaz d’échappement n’entrent pas en contact avec les matériaux fibreux et ces derniers ne sont pas soumis à des variations de pression.</w:t>
      </w:r>
    </w:p>
    <w:p w:rsidR="00155D93" w:rsidRPr="00155D93" w:rsidRDefault="00155D93" w:rsidP="00EA43BC">
      <w:pPr>
        <w:pStyle w:val="SingleTxtG"/>
        <w:keepNext/>
        <w:keepLines/>
        <w:ind w:left="2268" w:hanging="1134"/>
        <w:rPr>
          <w:lang w:val="fr-FR"/>
        </w:rPr>
      </w:pPr>
      <w:r w:rsidRPr="00155D93">
        <w:rPr>
          <w:lang w:val="fr-FR"/>
        </w:rPr>
        <w:t>5.2</w:t>
      </w:r>
      <w:r w:rsidRPr="00155D93">
        <w:rPr>
          <w:lang w:val="fr-FR"/>
        </w:rPr>
        <w:tab/>
        <w:t>Schéma et marquage</w:t>
      </w:r>
    </w:p>
    <w:p w:rsidR="00155D93" w:rsidRPr="00155D93" w:rsidRDefault="00155D93" w:rsidP="00155D93">
      <w:pPr>
        <w:pStyle w:val="SingleTxtG"/>
        <w:ind w:left="2268" w:hanging="1134"/>
        <w:rPr>
          <w:lang w:val="fr-FR"/>
        </w:rPr>
      </w:pPr>
      <w:r w:rsidRPr="00155D93">
        <w:rPr>
          <w:lang w:val="fr-FR"/>
        </w:rPr>
        <w:t>5.2.1</w:t>
      </w:r>
      <w:r w:rsidRPr="00155D93">
        <w:rPr>
          <w:lang w:val="fr-FR"/>
        </w:rPr>
        <w:tab/>
        <w:t>Un schéma et une coupe cotée du silencieux doivent être joints en annexe</w:t>
      </w:r>
      <w:r w:rsidR="00081AA8">
        <w:rPr>
          <w:lang w:val="fr-FR"/>
        </w:rPr>
        <w:t xml:space="preserve"> aux documents visés à l’annexe </w:t>
      </w:r>
      <w:r w:rsidRPr="00155D93">
        <w:rPr>
          <w:lang w:val="fr-FR"/>
        </w:rPr>
        <w:t>1 du présent Règlement.</w:t>
      </w:r>
    </w:p>
    <w:p w:rsidR="00155D93" w:rsidRPr="00155D93" w:rsidRDefault="00155D93" w:rsidP="00EA43BC">
      <w:pPr>
        <w:pStyle w:val="SingleTxtG"/>
        <w:keepNext/>
        <w:keepLines/>
        <w:ind w:left="2268" w:hanging="1134"/>
        <w:rPr>
          <w:lang w:val="fr-FR"/>
        </w:rPr>
      </w:pPr>
      <w:r w:rsidRPr="00155D93">
        <w:rPr>
          <w:lang w:val="fr-FR"/>
        </w:rPr>
        <w:t>5.2.2</w:t>
      </w:r>
      <w:r w:rsidRPr="00155D93">
        <w:rPr>
          <w:lang w:val="fr-FR"/>
        </w:rPr>
        <w:tab/>
        <w:t>Tous les silencieux d’origine doivent porter au minimum les inscriptions suivantes :</w:t>
      </w:r>
    </w:p>
    <w:p w:rsidR="00155D93" w:rsidRPr="00155D93" w:rsidRDefault="00155D93" w:rsidP="00EA43BC">
      <w:pPr>
        <w:pStyle w:val="SingleTxtG"/>
        <w:ind w:left="2835" w:hanging="567"/>
        <w:rPr>
          <w:lang w:val="fr-FR"/>
        </w:rPr>
      </w:pPr>
      <w:r w:rsidRPr="00155D93">
        <w:rPr>
          <w:lang w:val="fr-FR"/>
        </w:rPr>
        <w:t>a)</w:t>
      </w:r>
      <w:r w:rsidRPr="00155D93">
        <w:rPr>
          <w:lang w:val="fr-FR"/>
        </w:rPr>
        <w:tab/>
      </w:r>
      <w:r w:rsidRPr="00EA43BC">
        <w:rPr>
          <w:spacing w:val="-3"/>
          <w:lang w:val="fr-FR"/>
        </w:rPr>
        <w:t xml:space="preserve">La lettre </w:t>
      </w:r>
      <w:r w:rsidRPr="00EA43BC">
        <w:rPr>
          <w:spacing w:val="-3"/>
        </w:rPr>
        <w:t>“</w:t>
      </w:r>
      <w:r w:rsidRPr="00EA43BC">
        <w:rPr>
          <w:spacing w:val="-3"/>
          <w:lang w:val="fr-FR"/>
        </w:rPr>
        <w:t>E</w:t>
      </w:r>
      <w:r w:rsidRPr="00EA43BC">
        <w:rPr>
          <w:spacing w:val="-3"/>
        </w:rPr>
        <w:t>”</w:t>
      </w:r>
      <w:r w:rsidRPr="00EA43BC">
        <w:rPr>
          <w:spacing w:val="-3"/>
          <w:lang w:val="fr-FR"/>
        </w:rPr>
        <w:t xml:space="preserve"> suivie du numéro du pays ayant accordé l’homologation</w:t>
      </w:r>
      <w:r w:rsidRPr="00155D93">
        <w:rPr>
          <w:lang w:val="fr-FR"/>
        </w:rPr>
        <w:t> ;</w:t>
      </w:r>
    </w:p>
    <w:p w:rsidR="00155D93" w:rsidRPr="00155D93" w:rsidRDefault="00155D93" w:rsidP="006B7381">
      <w:pPr>
        <w:pStyle w:val="SingleTxtG"/>
        <w:ind w:left="2268"/>
        <w:rPr>
          <w:lang w:val="fr-FR"/>
        </w:rPr>
      </w:pPr>
      <w:r w:rsidRPr="00155D93">
        <w:rPr>
          <w:lang w:val="fr-FR"/>
        </w:rPr>
        <w:t>b)</w:t>
      </w:r>
      <w:r w:rsidRPr="00155D93">
        <w:rPr>
          <w:lang w:val="fr-FR"/>
        </w:rPr>
        <w:tab/>
        <w:t>Le nom ou la marque du constructeur du véhicule ; et</w:t>
      </w:r>
    </w:p>
    <w:p w:rsidR="00155D93" w:rsidRPr="00155D93" w:rsidRDefault="00155D93" w:rsidP="006B7381">
      <w:pPr>
        <w:pStyle w:val="SingleTxtG"/>
        <w:ind w:left="2268"/>
        <w:rPr>
          <w:lang w:val="fr-FR"/>
        </w:rPr>
      </w:pPr>
      <w:r w:rsidRPr="00155D93">
        <w:rPr>
          <w:lang w:val="fr-FR"/>
        </w:rPr>
        <w:t>c)</w:t>
      </w:r>
      <w:r w:rsidRPr="00155D93">
        <w:rPr>
          <w:lang w:val="fr-FR"/>
        </w:rPr>
        <w:tab/>
        <w:t>La marque et la référence de la pièce.</w:t>
      </w:r>
    </w:p>
    <w:p w:rsidR="00155D93" w:rsidRPr="00155D93" w:rsidRDefault="00155D93" w:rsidP="006B7381">
      <w:pPr>
        <w:pStyle w:val="SingleTxtG"/>
        <w:ind w:left="2268"/>
        <w:rPr>
          <w:lang w:val="fr-FR"/>
        </w:rPr>
      </w:pPr>
      <w:r w:rsidRPr="00155D93">
        <w:rPr>
          <w:lang w:val="fr-FR"/>
        </w:rPr>
        <w:t>Ces inscriptions doivent être lisibles, indélébiles et visibles dans la position de montage prévue.</w:t>
      </w:r>
    </w:p>
    <w:p w:rsidR="00155D93" w:rsidRPr="00155D93" w:rsidRDefault="00155D93" w:rsidP="00155D93">
      <w:pPr>
        <w:pStyle w:val="SingleTxtG"/>
        <w:ind w:left="2268" w:hanging="1134"/>
        <w:rPr>
          <w:b/>
          <w:lang w:val="fr-FR"/>
        </w:rPr>
      </w:pPr>
      <w:r w:rsidRPr="00155D93">
        <w:rPr>
          <w:lang w:val="fr-FR"/>
        </w:rPr>
        <w:t>5.2.3</w:t>
      </w:r>
      <w:r w:rsidRPr="00155D93">
        <w:rPr>
          <w:lang w:val="fr-FR"/>
        </w:rPr>
        <w:tab/>
        <w:t xml:space="preserve">Tout colis contenant des dispositifs d’échappement ou des silencieux de rechange d’origine doit porter de façon lisible la mention </w:t>
      </w:r>
      <w:r w:rsidRPr="00155D93">
        <w:t>“</w:t>
      </w:r>
      <w:r w:rsidRPr="00155D93">
        <w:rPr>
          <w:lang w:val="fr-FR"/>
        </w:rPr>
        <w:t>pièces d’origine</w:t>
      </w:r>
      <w:r w:rsidRPr="00155D93">
        <w:t>”</w:t>
      </w:r>
      <w:r w:rsidRPr="00155D93">
        <w:rPr>
          <w:lang w:val="fr-FR"/>
        </w:rPr>
        <w:t xml:space="preserve"> et l’indication de la marque et du type groupées avec la marque </w:t>
      </w:r>
      <w:r w:rsidRPr="00155D93">
        <w:t>“</w:t>
      </w:r>
      <w:r w:rsidRPr="00155D93">
        <w:rPr>
          <w:lang w:val="fr-FR"/>
        </w:rPr>
        <w:t>E</w:t>
      </w:r>
      <w:r w:rsidRPr="00155D93">
        <w:t>”</w:t>
      </w:r>
      <w:r w:rsidRPr="00155D93">
        <w:rPr>
          <w:lang w:val="fr-FR"/>
        </w:rPr>
        <w:t xml:space="preserve"> et la référence du pays d’origine.</w:t>
      </w:r>
    </w:p>
    <w:p w:rsidR="00155D93" w:rsidRPr="00155D93" w:rsidRDefault="00155D93" w:rsidP="00EA43BC">
      <w:pPr>
        <w:pStyle w:val="SingleTxtG"/>
        <w:keepNext/>
        <w:keepLines/>
        <w:ind w:left="2268" w:hanging="1134"/>
        <w:rPr>
          <w:lang w:val="fr-FR"/>
        </w:rPr>
      </w:pPr>
      <w:r w:rsidRPr="00155D93">
        <w:rPr>
          <w:lang w:val="fr-FR"/>
        </w:rPr>
        <w:t>5.3</w:t>
      </w:r>
      <w:r w:rsidRPr="00155D93">
        <w:rPr>
          <w:lang w:val="fr-FR"/>
        </w:rPr>
        <w:tab/>
        <w:t>Silencieux d’admission</w:t>
      </w:r>
    </w:p>
    <w:p w:rsidR="00EA43BC" w:rsidRDefault="00155D93" w:rsidP="00EA43BC">
      <w:pPr>
        <w:pStyle w:val="SingleTxtG"/>
        <w:ind w:left="2268"/>
        <w:rPr>
          <w:lang w:val="fr-FR"/>
        </w:rPr>
      </w:pPr>
      <w:r w:rsidRPr="00155D93">
        <w:rPr>
          <w:lang w:val="fr-FR"/>
        </w:rPr>
        <w:t>Si l’admission doit être équipée d’un filtre à air et/ou d’un silencieux d’admission pour pouvoir satisfaire au niveau sonore admissible, ce filtre et/ou ce silencieux sont considérés comme faisant partie du dispositif silencieux et les prescriptions des paragraphes 5.1 et 5.2 ci-dessus leur sont aussi applicables.</w:t>
      </w:r>
    </w:p>
    <w:p w:rsidR="0059421C" w:rsidRDefault="0059421C" w:rsidP="00EA43BC">
      <w:pPr>
        <w:pStyle w:val="SingleTxtG"/>
        <w:ind w:left="2268"/>
        <w:rPr>
          <w:lang w:val="fr-FR"/>
        </w:rPr>
        <w:sectPr w:rsidR="0059421C" w:rsidSect="00E618BE">
          <w:footnotePr>
            <w:numRestart w:val="eachSect"/>
          </w:footnotePr>
          <w:endnotePr>
            <w:numFmt w:val="decimal"/>
          </w:endnotePr>
          <w:pgSz w:w="11906" w:h="16838" w:code="9"/>
          <w:pgMar w:top="1417" w:right="1134" w:bottom="1134" w:left="1134" w:header="850" w:footer="567" w:gutter="0"/>
          <w:cols w:space="708"/>
          <w:docGrid w:linePitch="360"/>
        </w:sectPr>
      </w:pPr>
    </w:p>
    <w:p w:rsidR="0059421C" w:rsidRPr="0059421C" w:rsidRDefault="0059421C" w:rsidP="0059421C">
      <w:pPr>
        <w:pStyle w:val="HChG"/>
        <w:rPr>
          <w:lang w:val="fr-FR"/>
        </w:rPr>
      </w:pPr>
      <w:r>
        <w:rPr>
          <w:lang w:val="fr-FR"/>
        </w:rPr>
        <w:t>Annexe </w:t>
      </w:r>
      <w:r w:rsidRPr="0059421C">
        <w:rPr>
          <w:lang w:val="fr-FR"/>
        </w:rPr>
        <w:t>4</w:t>
      </w:r>
    </w:p>
    <w:p w:rsidR="005D6C34" w:rsidRDefault="0059421C" w:rsidP="0059421C">
      <w:pPr>
        <w:pStyle w:val="HChG"/>
        <w:rPr>
          <w:lang w:val="fr-FR"/>
        </w:rPr>
      </w:pPr>
      <w:r w:rsidRPr="0059421C">
        <w:rPr>
          <w:lang w:val="fr-FR"/>
        </w:rPr>
        <w:tab/>
      </w:r>
      <w:r w:rsidRPr="0059421C">
        <w:rPr>
          <w:lang w:val="fr-FR"/>
        </w:rPr>
        <w:tab/>
        <w:t xml:space="preserve">Limites maximales du niveau sonore </w:t>
      </w:r>
      <w:r w:rsidRPr="0059421C">
        <w:rPr>
          <w:lang w:val="fr-FR"/>
        </w:rPr>
        <w:br/>
        <w:t>(véhicules neufs)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9421C" w:rsidRPr="0059421C" w:rsidTr="00816D45">
        <w:trPr>
          <w:tblHeader/>
        </w:trPr>
        <w:tc>
          <w:tcPr>
            <w:tcW w:w="3685"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59421C" w:rsidRPr="0059421C" w:rsidRDefault="0059421C" w:rsidP="0059421C">
            <w:pPr>
              <w:suppressAutoHyphens w:val="0"/>
              <w:spacing w:before="80" w:after="80" w:line="200" w:lineRule="exact"/>
              <w:jc w:val="center"/>
              <w:rPr>
                <w:i/>
                <w:sz w:val="16"/>
                <w:lang w:val="fr-FR"/>
              </w:rPr>
            </w:pPr>
            <w:r w:rsidRPr="0059421C">
              <w:rPr>
                <w:i/>
                <w:sz w:val="16"/>
                <w:lang w:val="fr-FR"/>
              </w:rPr>
              <w:t xml:space="preserve">Vitesse maximale par construction </w:t>
            </w:r>
            <w:r w:rsidR="001C1E1B">
              <w:rPr>
                <w:i/>
                <w:sz w:val="16"/>
                <w:lang w:val="fr-FR"/>
              </w:rPr>
              <w:br/>
            </w:r>
            <w:r w:rsidRPr="0059421C">
              <w:rPr>
                <w:i/>
                <w:sz w:val="16"/>
                <w:lang w:val="fr-FR"/>
              </w:rPr>
              <w:t>exprimée en km/h</w:t>
            </w:r>
          </w:p>
        </w:tc>
        <w:tc>
          <w:tcPr>
            <w:tcW w:w="3685"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59421C" w:rsidRPr="0059421C" w:rsidRDefault="0059421C" w:rsidP="0059421C">
            <w:pPr>
              <w:suppressAutoHyphens w:val="0"/>
              <w:spacing w:before="80" w:after="80" w:line="200" w:lineRule="exact"/>
              <w:jc w:val="center"/>
              <w:rPr>
                <w:i/>
                <w:sz w:val="16"/>
                <w:lang w:val="fr-FR"/>
              </w:rPr>
            </w:pPr>
            <w:r w:rsidRPr="0059421C">
              <w:rPr>
                <w:i/>
                <w:sz w:val="16"/>
                <w:lang w:val="fr-FR"/>
              </w:rPr>
              <w:t xml:space="preserve">Valeurs limites du niveau sonore </w:t>
            </w:r>
            <w:r w:rsidR="001C1E1B">
              <w:rPr>
                <w:i/>
                <w:sz w:val="16"/>
                <w:lang w:val="fr-FR"/>
              </w:rPr>
              <w:br/>
            </w:r>
            <w:r w:rsidRPr="0059421C">
              <w:rPr>
                <w:i/>
                <w:sz w:val="16"/>
                <w:lang w:val="fr-FR"/>
              </w:rPr>
              <w:t>exprimées en dB(A)</w:t>
            </w:r>
          </w:p>
        </w:tc>
      </w:tr>
      <w:tr w:rsidR="0059421C" w:rsidRPr="0059421C" w:rsidTr="00816D45">
        <w:tc>
          <w:tcPr>
            <w:tcW w:w="3685" w:type="dxa"/>
            <w:tcBorders>
              <w:top w:val="single" w:sz="12" w:space="0" w:color="auto"/>
              <w:left w:val="single" w:sz="4" w:space="0" w:color="auto"/>
              <w:right w:val="single" w:sz="4" w:space="0" w:color="auto"/>
            </w:tcBorders>
            <w:shd w:val="clear" w:color="auto" w:fill="auto"/>
            <w:tcMar>
              <w:left w:w="0" w:type="dxa"/>
              <w:right w:w="0" w:type="dxa"/>
            </w:tcMar>
          </w:tcPr>
          <w:p w:rsidR="0059421C" w:rsidRPr="0059421C" w:rsidRDefault="0059421C" w:rsidP="0059421C">
            <w:pPr>
              <w:suppressAutoHyphens w:val="0"/>
              <w:spacing w:before="40" w:after="40" w:line="220" w:lineRule="exact"/>
              <w:jc w:val="center"/>
              <w:rPr>
                <w:sz w:val="18"/>
                <w:lang w:val="fr-FR"/>
              </w:rPr>
            </w:pPr>
            <w:r w:rsidRPr="0059421C">
              <w:rPr>
                <w:sz w:val="18"/>
                <w:lang w:val="fr-FR"/>
              </w:rPr>
              <w:t>≤</w:t>
            </w:r>
            <w:r w:rsidR="001C1E1B">
              <w:rPr>
                <w:sz w:val="18"/>
                <w:lang w:val="fr-FR"/>
              </w:rPr>
              <w:t xml:space="preserve"> </w:t>
            </w:r>
            <w:r w:rsidRPr="0059421C">
              <w:rPr>
                <w:sz w:val="18"/>
                <w:lang w:val="fr-FR"/>
              </w:rPr>
              <w:t>25</w:t>
            </w:r>
          </w:p>
        </w:tc>
        <w:tc>
          <w:tcPr>
            <w:tcW w:w="3685" w:type="dxa"/>
            <w:tcBorders>
              <w:top w:val="single" w:sz="12" w:space="0" w:color="auto"/>
              <w:left w:val="single" w:sz="4" w:space="0" w:color="auto"/>
              <w:right w:val="single" w:sz="4" w:space="0" w:color="auto"/>
            </w:tcBorders>
            <w:shd w:val="clear" w:color="auto" w:fill="auto"/>
            <w:tcMar>
              <w:left w:w="0" w:type="dxa"/>
              <w:right w:w="0" w:type="dxa"/>
            </w:tcMar>
            <w:vAlign w:val="bottom"/>
          </w:tcPr>
          <w:p w:rsidR="0059421C" w:rsidRPr="0059421C" w:rsidRDefault="0059421C" w:rsidP="0059421C">
            <w:pPr>
              <w:suppressAutoHyphens w:val="0"/>
              <w:spacing w:before="40" w:after="40" w:line="220" w:lineRule="exact"/>
              <w:jc w:val="center"/>
              <w:rPr>
                <w:sz w:val="18"/>
                <w:lang w:val="fr-FR"/>
              </w:rPr>
            </w:pPr>
            <w:r w:rsidRPr="0059421C">
              <w:rPr>
                <w:sz w:val="18"/>
                <w:lang w:val="fr-FR"/>
              </w:rPr>
              <w:t>66</w:t>
            </w:r>
          </w:p>
        </w:tc>
      </w:tr>
      <w:tr w:rsidR="0059421C" w:rsidRPr="0059421C" w:rsidTr="00816D45">
        <w:tc>
          <w:tcPr>
            <w:tcW w:w="3685" w:type="dxa"/>
            <w:tcBorders>
              <w:left w:val="single" w:sz="4" w:space="0" w:color="auto"/>
              <w:bottom w:val="single" w:sz="12" w:space="0" w:color="auto"/>
              <w:right w:val="single" w:sz="4" w:space="0" w:color="auto"/>
            </w:tcBorders>
            <w:shd w:val="clear" w:color="auto" w:fill="auto"/>
            <w:tcMar>
              <w:left w:w="0" w:type="dxa"/>
              <w:right w:w="0" w:type="dxa"/>
            </w:tcMar>
          </w:tcPr>
          <w:p w:rsidR="0059421C" w:rsidRPr="0059421C" w:rsidRDefault="0059421C" w:rsidP="0059421C">
            <w:pPr>
              <w:suppressAutoHyphens w:val="0"/>
              <w:spacing w:before="40" w:after="40" w:line="220" w:lineRule="exact"/>
              <w:jc w:val="center"/>
              <w:rPr>
                <w:sz w:val="18"/>
                <w:lang w:val="fr-FR"/>
              </w:rPr>
            </w:pPr>
            <w:r w:rsidRPr="0059421C">
              <w:rPr>
                <w:sz w:val="18"/>
                <w:lang w:val="fr-FR"/>
              </w:rPr>
              <w:t>&gt;</w:t>
            </w:r>
            <w:r w:rsidR="001C1E1B">
              <w:rPr>
                <w:sz w:val="18"/>
                <w:lang w:val="fr-FR"/>
              </w:rPr>
              <w:t xml:space="preserve"> </w:t>
            </w:r>
            <w:r w:rsidRPr="0059421C">
              <w:rPr>
                <w:sz w:val="18"/>
                <w:lang w:val="fr-FR"/>
              </w:rPr>
              <w:t>25</w:t>
            </w:r>
          </w:p>
        </w:tc>
        <w:tc>
          <w:tcPr>
            <w:tcW w:w="3685" w:type="dxa"/>
            <w:tcBorders>
              <w:left w:val="single" w:sz="4" w:space="0" w:color="auto"/>
              <w:bottom w:val="single" w:sz="12" w:space="0" w:color="auto"/>
              <w:right w:val="single" w:sz="4" w:space="0" w:color="auto"/>
            </w:tcBorders>
            <w:shd w:val="clear" w:color="auto" w:fill="auto"/>
            <w:tcMar>
              <w:left w:w="0" w:type="dxa"/>
              <w:right w:w="0" w:type="dxa"/>
            </w:tcMar>
            <w:vAlign w:val="bottom"/>
          </w:tcPr>
          <w:p w:rsidR="0059421C" w:rsidRPr="0059421C" w:rsidRDefault="0059421C" w:rsidP="0059421C">
            <w:pPr>
              <w:suppressAutoHyphens w:val="0"/>
              <w:spacing w:before="40" w:after="40" w:line="220" w:lineRule="exact"/>
              <w:jc w:val="center"/>
              <w:rPr>
                <w:sz w:val="18"/>
                <w:lang w:val="fr-FR"/>
              </w:rPr>
            </w:pPr>
            <w:r w:rsidRPr="0059421C">
              <w:rPr>
                <w:sz w:val="18"/>
                <w:lang w:val="fr-FR"/>
              </w:rPr>
              <w:t>71</w:t>
            </w:r>
          </w:p>
        </w:tc>
      </w:tr>
    </w:tbl>
    <w:p w:rsidR="0059421C" w:rsidRDefault="0059421C" w:rsidP="0059421C">
      <w:pPr>
        <w:pStyle w:val="SingleTxtG"/>
        <w:rPr>
          <w:lang w:val="fr-FR"/>
        </w:rPr>
        <w:sectPr w:rsidR="0059421C" w:rsidSect="00E618BE">
          <w:footnotePr>
            <w:numRestart w:val="eachSect"/>
          </w:footnotePr>
          <w:endnotePr>
            <w:numFmt w:val="decimal"/>
          </w:endnotePr>
          <w:pgSz w:w="11906" w:h="16838" w:code="9"/>
          <w:pgMar w:top="1417" w:right="1134" w:bottom="1134" w:left="1134" w:header="850" w:footer="567" w:gutter="0"/>
          <w:cols w:space="708"/>
          <w:docGrid w:linePitch="360"/>
        </w:sectPr>
      </w:pPr>
    </w:p>
    <w:p w:rsidR="0059421C" w:rsidRPr="0059421C" w:rsidRDefault="0059421C" w:rsidP="0059421C">
      <w:pPr>
        <w:pStyle w:val="HChG"/>
        <w:rPr>
          <w:lang w:val="fr-FR"/>
        </w:rPr>
      </w:pPr>
      <w:r w:rsidRPr="0059421C">
        <w:rPr>
          <w:lang w:val="fr-FR"/>
        </w:rPr>
        <w:t>Annexe</w:t>
      </w:r>
      <w:r>
        <w:rPr>
          <w:lang w:val="fr-FR"/>
        </w:rPr>
        <w:t> </w:t>
      </w:r>
      <w:r w:rsidRPr="0059421C">
        <w:rPr>
          <w:lang w:val="fr-FR"/>
        </w:rPr>
        <w:t>5</w:t>
      </w:r>
    </w:p>
    <w:p w:rsidR="0059421C" w:rsidRPr="0059421C" w:rsidRDefault="0059421C" w:rsidP="0059421C">
      <w:pPr>
        <w:pStyle w:val="HChG"/>
        <w:rPr>
          <w:lang w:val="fr-FR"/>
        </w:rPr>
      </w:pPr>
      <w:r w:rsidRPr="0059421C">
        <w:rPr>
          <w:lang w:val="fr-FR"/>
        </w:rPr>
        <w:tab/>
      </w:r>
      <w:r w:rsidRPr="0059421C">
        <w:rPr>
          <w:lang w:val="fr-FR"/>
        </w:rPr>
        <w:tab/>
        <w:t>Caractéristiques du terrain d’essai</w:t>
      </w:r>
      <w:r w:rsidRPr="0059421C">
        <w:rPr>
          <w:rStyle w:val="FootnoteReference"/>
          <w:b w:val="0"/>
        </w:rPr>
        <w:footnoteReference w:id="13"/>
      </w:r>
    </w:p>
    <w:p w:rsidR="0059421C" w:rsidRPr="0059421C" w:rsidRDefault="0059421C" w:rsidP="0059421C">
      <w:pPr>
        <w:pStyle w:val="SingleTxtG"/>
        <w:keepNext/>
        <w:keepLines/>
        <w:ind w:left="2268" w:hanging="1134"/>
        <w:rPr>
          <w:lang w:val="fr-FR"/>
        </w:rPr>
      </w:pPr>
      <w:r w:rsidRPr="0059421C">
        <w:rPr>
          <w:lang w:val="fr-FR"/>
        </w:rPr>
        <w:t>1.</w:t>
      </w:r>
      <w:r w:rsidRPr="0059421C">
        <w:rPr>
          <w:lang w:val="fr-FR"/>
        </w:rPr>
        <w:tab/>
        <w:t>Introduction</w:t>
      </w:r>
    </w:p>
    <w:p w:rsidR="0059421C" w:rsidRPr="0059421C" w:rsidRDefault="0059421C" w:rsidP="0059421C">
      <w:pPr>
        <w:pStyle w:val="SingleTxtG"/>
        <w:ind w:left="2268"/>
        <w:rPr>
          <w:lang w:val="fr-FR"/>
        </w:rPr>
      </w:pPr>
      <w:r w:rsidRPr="0059421C">
        <w:rPr>
          <w:lang w:val="fr-FR"/>
        </w:rPr>
        <w:t>La présente annexe énonce les prescriptions concernant les caractéristiques physiques et la construction de la piste d’essai. Ces prescriptions, établies sur la base d’une norme</w:t>
      </w:r>
      <w:r w:rsidRPr="0059421C">
        <w:rPr>
          <w:rStyle w:val="FootnoteReference"/>
        </w:rPr>
        <w:footnoteReference w:id="14"/>
      </w:r>
      <w:r w:rsidRPr="0059421C">
        <w:rPr>
          <w:lang w:val="fr-FR"/>
        </w:rPr>
        <w:t>, précisent les caractéristiques physiques requises ainsi que les méthodes de contrôle de celles-ci.</w:t>
      </w:r>
    </w:p>
    <w:p w:rsidR="0059421C" w:rsidRPr="0059421C" w:rsidRDefault="0059421C" w:rsidP="0059421C">
      <w:pPr>
        <w:pStyle w:val="SingleTxtG"/>
        <w:keepNext/>
        <w:keepLines/>
        <w:ind w:left="2268" w:hanging="1134"/>
        <w:rPr>
          <w:lang w:val="fr-FR"/>
        </w:rPr>
      </w:pPr>
      <w:r w:rsidRPr="0059421C">
        <w:rPr>
          <w:lang w:val="fr-FR"/>
        </w:rPr>
        <w:t>2.</w:t>
      </w:r>
      <w:r w:rsidRPr="0059421C">
        <w:rPr>
          <w:lang w:val="fr-FR"/>
        </w:rPr>
        <w:tab/>
        <w:t>Prescriptions applicables au revêtement</w:t>
      </w:r>
    </w:p>
    <w:p w:rsidR="0059421C" w:rsidRPr="0059421C" w:rsidRDefault="0059421C" w:rsidP="0059421C">
      <w:pPr>
        <w:pStyle w:val="SingleTxtG"/>
        <w:ind w:left="2268"/>
        <w:rPr>
          <w:lang w:val="fr-FR"/>
        </w:rPr>
      </w:pPr>
      <w:r w:rsidRPr="0059421C">
        <w:rPr>
          <w:lang w:val="fr-FR"/>
        </w:rPr>
        <w:t>Un revêtement est considéré comme conforme au présent Règlement si sa texture et son indice de vides ou son coefficient d’absorption acoustique satisfont à toutes les prescriptions énoncé</w:t>
      </w:r>
      <w:r>
        <w:rPr>
          <w:lang w:val="fr-FR"/>
        </w:rPr>
        <w:t>es aux paragraphes 2.1 à 2.4 ci</w:t>
      </w:r>
      <w:r>
        <w:rPr>
          <w:lang w:val="fr-FR"/>
        </w:rPr>
        <w:noBreakHyphen/>
      </w:r>
      <w:r w:rsidRPr="0059421C">
        <w:rPr>
          <w:lang w:val="fr-FR"/>
        </w:rPr>
        <w:t>dessous, et si l’aire d’essai satisfait aux prescriptions concernant la conception (par. 3.2 ci-dessous).</w:t>
      </w:r>
    </w:p>
    <w:p w:rsidR="0059421C" w:rsidRPr="0059421C" w:rsidRDefault="0059421C" w:rsidP="0059421C">
      <w:pPr>
        <w:pStyle w:val="SingleTxtG"/>
        <w:keepNext/>
        <w:keepLines/>
        <w:ind w:left="2268" w:hanging="1134"/>
        <w:rPr>
          <w:lang w:val="fr-FR"/>
        </w:rPr>
      </w:pPr>
      <w:r w:rsidRPr="0059421C">
        <w:rPr>
          <w:lang w:val="fr-FR"/>
        </w:rPr>
        <w:t>2.1</w:t>
      </w:r>
      <w:r w:rsidRPr="0059421C">
        <w:rPr>
          <w:lang w:val="fr-FR"/>
        </w:rPr>
        <w:tab/>
        <w:t>Indice de vides</w:t>
      </w:r>
    </w:p>
    <w:p w:rsidR="0059421C" w:rsidRPr="0059421C" w:rsidRDefault="0059421C" w:rsidP="0059421C">
      <w:pPr>
        <w:pStyle w:val="SingleTxtG"/>
        <w:ind w:left="2268"/>
        <w:rPr>
          <w:lang w:val="fr-FR"/>
        </w:rPr>
      </w:pPr>
      <w:r w:rsidRPr="0059421C">
        <w:rPr>
          <w:lang w:val="fr-FR"/>
        </w:rPr>
        <w:t>L’indice de vides, V</w:t>
      </w:r>
      <w:r w:rsidRPr="0059421C">
        <w:rPr>
          <w:vertAlign w:val="subscript"/>
          <w:lang w:val="fr-FR"/>
        </w:rPr>
        <w:t>C</w:t>
      </w:r>
      <w:r w:rsidRPr="0059421C">
        <w:rPr>
          <w:lang w:val="fr-FR"/>
        </w:rPr>
        <w:t xml:space="preserve">, du mélange utilisé pour le revêtement de la piste d’essai ne doit pas dépasser 8 %. Pour la procédure de mesurage, se reporter au </w:t>
      </w:r>
      <w:r>
        <w:rPr>
          <w:lang w:val="fr-FR"/>
        </w:rPr>
        <w:t>paragraphe </w:t>
      </w:r>
      <w:r w:rsidRPr="0059421C">
        <w:rPr>
          <w:lang w:val="fr-FR"/>
        </w:rPr>
        <w:t>4.1 ci-dessous.</w:t>
      </w:r>
    </w:p>
    <w:p w:rsidR="0059421C" w:rsidRPr="0059421C" w:rsidRDefault="0059421C" w:rsidP="0059421C">
      <w:pPr>
        <w:pStyle w:val="SingleTxtG"/>
        <w:keepNext/>
        <w:keepLines/>
        <w:ind w:left="2268" w:hanging="1134"/>
        <w:rPr>
          <w:lang w:val="fr-FR"/>
        </w:rPr>
      </w:pPr>
      <w:r w:rsidRPr="0059421C">
        <w:rPr>
          <w:lang w:val="fr-FR"/>
        </w:rPr>
        <w:t>2.2</w:t>
      </w:r>
      <w:r w:rsidRPr="0059421C">
        <w:rPr>
          <w:lang w:val="fr-FR"/>
        </w:rPr>
        <w:tab/>
        <w:t>Coefficient d’absorption acoustique</w:t>
      </w:r>
    </w:p>
    <w:p w:rsidR="0059421C" w:rsidRPr="0059421C" w:rsidRDefault="0059421C" w:rsidP="0059421C">
      <w:pPr>
        <w:pStyle w:val="SingleTxtG"/>
        <w:ind w:left="2268"/>
        <w:rPr>
          <w:lang w:val="fr-FR"/>
        </w:rPr>
      </w:pPr>
      <w:r w:rsidRPr="0059421C">
        <w:rPr>
          <w:lang w:val="fr-FR"/>
        </w:rPr>
        <w:t>Si le revêtement ne satisfait pas à la prescription relative à l’indice de vides, il n’est considéré comme acceptable que si son coefficient d’absorption acousti</w:t>
      </w:r>
      <w:r>
        <w:rPr>
          <w:lang w:val="fr-FR"/>
        </w:rPr>
        <w:t>que, α, est inférieur ou égal à </w:t>
      </w:r>
      <w:r w:rsidRPr="0059421C">
        <w:rPr>
          <w:lang w:val="fr-FR"/>
        </w:rPr>
        <w:t xml:space="preserve">0,10. Voir le </w:t>
      </w:r>
      <w:r>
        <w:rPr>
          <w:lang w:val="fr-FR"/>
        </w:rPr>
        <w:t>paragraphe </w:t>
      </w:r>
      <w:r w:rsidRPr="0059421C">
        <w:rPr>
          <w:lang w:val="fr-FR"/>
        </w:rPr>
        <w:t>4.2 ci-dessous pour la procédure de mesurage. Les prescriptions énoncées aux paragraphes</w:t>
      </w:r>
      <w:r>
        <w:rPr>
          <w:lang w:val="fr-FR"/>
        </w:rPr>
        <w:t> </w:t>
      </w:r>
      <w:r w:rsidR="00114989">
        <w:rPr>
          <w:lang w:val="fr-FR"/>
        </w:rPr>
        <w:t>2.1 et </w:t>
      </w:r>
      <w:r w:rsidRPr="0059421C">
        <w:rPr>
          <w:lang w:val="fr-FR"/>
        </w:rPr>
        <w:t>2.2 sont considérées comme respectées si l’</w:t>
      </w:r>
      <w:r>
        <w:rPr>
          <w:lang w:val="fr-FR"/>
        </w:rPr>
        <w:t>absorption acoustique </w:t>
      </w:r>
      <w:r w:rsidRPr="0059421C">
        <w:rPr>
          <w:lang w:val="fr-FR"/>
        </w:rPr>
        <w:t>α, seule, a été mesurée et</w:t>
      </w:r>
      <w:r w:rsidR="00081AA8">
        <w:rPr>
          <w:lang w:val="fr-FR"/>
        </w:rPr>
        <w:t xml:space="preserve"> constatée inférieure ou égale à </w:t>
      </w:r>
      <w:r w:rsidRPr="0059421C">
        <w:rPr>
          <w:lang w:val="fr-FR"/>
        </w:rPr>
        <w:t>0,10.</w:t>
      </w:r>
    </w:p>
    <w:p w:rsidR="0059421C" w:rsidRPr="0059421C" w:rsidRDefault="0059421C" w:rsidP="0059421C">
      <w:pPr>
        <w:pStyle w:val="SingleTxtG"/>
        <w:ind w:left="2268"/>
        <w:rPr>
          <w:lang w:val="fr-FR"/>
        </w:rPr>
      </w:pPr>
      <w:r w:rsidRPr="0059421C">
        <w:rPr>
          <w:i/>
          <w:lang w:val="fr-FR"/>
        </w:rPr>
        <w:t>Note</w:t>
      </w:r>
      <w:r w:rsidRPr="0059421C">
        <w:rPr>
          <w:lang w:val="fr-FR"/>
        </w:rPr>
        <w:t> : Le critère le plus significatif est manifestement le coefficient d’absorption acoustique, mais l’indice de vides est une notion plus familière aux constructeurs de routes, de sorte que l’absorption acoustique n’est mesurée que si le revêtement ne satisfait pas aux prescriptions concernant cette dernière caractéristique. On ne doit pas perdre de vue que la mesure de l’indice de vides est relativement imprécise et qu’un revêtement peut être refusé à tort parce qu’il ne satisfait pas à ce critère.</w:t>
      </w:r>
    </w:p>
    <w:p w:rsidR="0059421C" w:rsidRPr="0059421C" w:rsidRDefault="0059421C" w:rsidP="0059421C">
      <w:pPr>
        <w:pStyle w:val="SingleTxtG"/>
        <w:keepNext/>
        <w:keepLines/>
        <w:ind w:left="2268" w:hanging="1134"/>
        <w:rPr>
          <w:lang w:val="fr-FR"/>
        </w:rPr>
      </w:pPr>
      <w:r w:rsidRPr="0059421C">
        <w:rPr>
          <w:lang w:val="fr-FR"/>
        </w:rPr>
        <w:t>2.3</w:t>
      </w:r>
      <w:r w:rsidRPr="0059421C">
        <w:rPr>
          <w:lang w:val="fr-FR"/>
        </w:rPr>
        <w:tab/>
        <w:t>Profondeur de texture</w:t>
      </w:r>
    </w:p>
    <w:p w:rsidR="0059421C" w:rsidRPr="0059421C" w:rsidRDefault="0059421C" w:rsidP="0059421C">
      <w:pPr>
        <w:pStyle w:val="SingleTxtG"/>
        <w:ind w:left="2268"/>
        <w:rPr>
          <w:lang w:val="fr-FR"/>
        </w:rPr>
      </w:pPr>
      <w:r w:rsidRPr="0059421C">
        <w:rPr>
          <w:lang w:val="fr-FR"/>
        </w:rPr>
        <w:t>La profondeur de texture (PT), mesurée conformément à la méthode volumétrique (voir le pa</w:t>
      </w:r>
      <w:r w:rsidR="00114989">
        <w:rPr>
          <w:lang w:val="fr-FR"/>
        </w:rPr>
        <w:t>ragraphe </w:t>
      </w:r>
      <w:r w:rsidRPr="0059421C">
        <w:rPr>
          <w:lang w:val="fr-FR"/>
        </w:rPr>
        <w:t>4.3 ci-dessous), s’établit comme suit :</w:t>
      </w:r>
    </w:p>
    <w:p w:rsidR="0059421C" w:rsidRPr="0059421C" w:rsidRDefault="0059421C" w:rsidP="0059421C">
      <w:pPr>
        <w:pStyle w:val="SingleTxtG"/>
        <w:ind w:left="2268"/>
        <w:rPr>
          <w:lang w:val="fr-FR"/>
        </w:rPr>
      </w:pPr>
      <w:r w:rsidRPr="0059421C">
        <w:rPr>
          <w:lang w:val="fr-FR"/>
        </w:rPr>
        <w:t>PT</w:t>
      </w:r>
      <w:r>
        <w:rPr>
          <w:lang w:val="fr-FR"/>
        </w:rPr>
        <w:t> </w:t>
      </w:r>
      <w:r w:rsidRPr="0059421C">
        <w:rPr>
          <w:lang w:val="fr-FR"/>
        </w:rPr>
        <w:sym w:font="Symbol" w:char="F0B3"/>
      </w:r>
      <w:r>
        <w:rPr>
          <w:lang w:val="fr-FR"/>
        </w:rPr>
        <w:t> </w:t>
      </w:r>
      <w:r w:rsidRPr="0059421C">
        <w:rPr>
          <w:lang w:val="fr-FR"/>
        </w:rPr>
        <w:t>0,4 mm.</w:t>
      </w:r>
    </w:p>
    <w:p w:rsidR="0059421C" w:rsidRPr="0059421C" w:rsidRDefault="0059421C" w:rsidP="0059421C">
      <w:pPr>
        <w:pStyle w:val="SingleTxtG"/>
        <w:keepNext/>
        <w:keepLines/>
        <w:ind w:left="2268" w:hanging="1134"/>
        <w:rPr>
          <w:lang w:val="fr-FR"/>
        </w:rPr>
      </w:pPr>
      <w:r w:rsidRPr="0059421C">
        <w:rPr>
          <w:lang w:val="fr-FR"/>
        </w:rPr>
        <w:t>2.4</w:t>
      </w:r>
      <w:r w:rsidRPr="0059421C">
        <w:rPr>
          <w:lang w:val="fr-FR"/>
        </w:rPr>
        <w:tab/>
        <w:t>Homogénéité du revêtement</w:t>
      </w:r>
    </w:p>
    <w:p w:rsidR="0059421C" w:rsidRPr="0059421C" w:rsidRDefault="0059421C" w:rsidP="0059421C">
      <w:pPr>
        <w:pStyle w:val="SingleTxtG"/>
        <w:ind w:left="2268"/>
        <w:rPr>
          <w:lang w:val="fr-FR"/>
        </w:rPr>
      </w:pPr>
      <w:r w:rsidRPr="0059421C">
        <w:rPr>
          <w:lang w:val="fr-FR"/>
        </w:rPr>
        <w:t>Tout doit être fait pour que le revêtement de l’aire d’essai soit aussi homogène que possible. Ceci vaut autant pour la texture que pour l’indice de vides, mais il convient également d’observer que si le roulage est plus efficace à certains endroits, la texture peut présenter des différences et le manque d’uniformité peut aller jusqu’à produire des bosses.</w:t>
      </w:r>
    </w:p>
    <w:p w:rsidR="0059421C" w:rsidRPr="0059421C" w:rsidRDefault="0059421C" w:rsidP="0059421C">
      <w:pPr>
        <w:pStyle w:val="SingleTxtG"/>
        <w:keepNext/>
        <w:keepLines/>
        <w:ind w:left="2268" w:hanging="1134"/>
        <w:rPr>
          <w:lang w:val="fr-FR"/>
        </w:rPr>
      </w:pPr>
      <w:r w:rsidRPr="0059421C">
        <w:rPr>
          <w:lang w:val="fr-FR"/>
        </w:rPr>
        <w:t>2.5</w:t>
      </w:r>
      <w:r w:rsidRPr="0059421C">
        <w:rPr>
          <w:lang w:val="fr-FR"/>
        </w:rPr>
        <w:tab/>
        <w:t>Périodicité des contrôles</w:t>
      </w:r>
    </w:p>
    <w:p w:rsidR="0059421C" w:rsidRPr="0059421C" w:rsidRDefault="0059421C" w:rsidP="0059421C">
      <w:pPr>
        <w:pStyle w:val="SingleTxtG"/>
        <w:ind w:left="2268"/>
        <w:rPr>
          <w:lang w:val="fr-FR"/>
        </w:rPr>
      </w:pPr>
      <w:r w:rsidRPr="0059421C">
        <w:rPr>
          <w:lang w:val="fr-FR"/>
        </w:rPr>
        <w:t>Pour s’assurer que le revêtement reste conforme aux prescriptions en matière de texture et d’indice de vides ou d’absorption acoustique stipulées dans le présent Règlement, il doit être soumis à des contrôles périodiques selon les modalités suivantes :</w:t>
      </w:r>
    </w:p>
    <w:p w:rsidR="0059421C" w:rsidRPr="0059421C" w:rsidRDefault="0059421C" w:rsidP="0059421C">
      <w:pPr>
        <w:pStyle w:val="SingleTxtG"/>
        <w:keepNext/>
        <w:keepLines/>
        <w:ind w:left="2268"/>
        <w:rPr>
          <w:lang w:val="fr-FR"/>
        </w:rPr>
      </w:pPr>
      <w:r w:rsidRPr="0059421C">
        <w:rPr>
          <w:lang w:val="fr-FR"/>
        </w:rPr>
        <w:t>a)</w:t>
      </w:r>
      <w:r w:rsidRPr="0059421C">
        <w:rPr>
          <w:lang w:val="fr-FR"/>
        </w:rPr>
        <w:tab/>
        <w:t>Pour l’indice de vides ou l’absorption acoustique :</w:t>
      </w:r>
    </w:p>
    <w:p w:rsidR="0059421C" w:rsidRPr="0059421C" w:rsidRDefault="0059421C" w:rsidP="0059421C">
      <w:pPr>
        <w:pStyle w:val="SingleTxtG"/>
        <w:ind w:left="2835"/>
        <w:rPr>
          <w:lang w:val="fr-FR"/>
        </w:rPr>
      </w:pPr>
      <w:r w:rsidRPr="0059421C">
        <w:rPr>
          <w:lang w:val="fr-FR"/>
        </w:rPr>
        <w:t>Lorsque le revêtement est neuf ; si le revêtement satisfait aux prescriptions quand il est neuf, aucun autre contrôle périodique n’est nécessaire.</w:t>
      </w:r>
    </w:p>
    <w:p w:rsidR="0059421C" w:rsidRPr="0059421C" w:rsidRDefault="0059421C" w:rsidP="0059421C">
      <w:pPr>
        <w:pStyle w:val="SingleTxtG"/>
        <w:keepNext/>
        <w:keepLines/>
        <w:ind w:left="2268"/>
        <w:rPr>
          <w:lang w:val="fr-FR"/>
        </w:rPr>
      </w:pPr>
      <w:r w:rsidRPr="0059421C">
        <w:rPr>
          <w:lang w:val="fr-FR"/>
        </w:rPr>
        <w:t>b)</w:t>
      </w:r>
      <w:r w:rsidRPr="0059421C">
        <w:rPr>
          <w:lang w:val="fr-FR"/>
        </w:rPr>
        <w:tab/>
        <w:t>Pour la profondeur de texture (PT) :</w:t>
      </w:r>
    </w:p>
    <w:p w:rsidR="0059421C" w:rsidRPr="0059421C" w:rsidRDefault="0059421C" w:rsidP="0059421C">
      <w:pPr>
        <w:pStyle w:val="SingleTxtG"/>
        <w:ind w:left="2835"/>
        <w:rPr>
          <w:lang w:val="fr-FR"/>
        </w:rPr>
      </w:pPr>
      <w:r w:rsidRPr="0059421C">
        <w:rPr>
          <w:lang w:val="fr-FR"/>
        </w:rPr>
        <w:t>Lorsque le revêtement est neuf ; au début des essais</w:t>
      </w:r>
      <w:r w:rsidR="00081AA8">
        <w:rPr>
          <w:lang w:val="fr-FR"/>
        </w:rPr>
        <w:t xml:space="preserve"> </w:t>
      </w:r>
      <w:r w:rsidRPr="0059421C">
        <w:rPr>
          <w:lang w:val="fr-FR"/>
        </w:rPr>
        <w:t>de mesure des émissions sonores</w:t>
      </w:r>
      <w:r w:rsidRPr="0059421C">
        <w:rPr>
          <w:b/>
          <w:lang w:val="fr-FR"/>
        </w:rPr>
        <w:t xml:space="preserve"> </w:t>
      </w:r>
      <w:r w:rsidRPr="0059421C">
        <w:rPr>
          <w:lang w:val="fr-FR"/>
        </w:rPr>
        <w:t>(</w:t>
      </w:r>
      <w:r w:rsidRPr="0059421C">
        <w:rPr>
          <w:i/>
          <w:lang w:val="fr-FR"/>
        </w:rPr>
        <w:t>Note</w:t>
      </w:r>
      <w:r w:rsidRPr="0059421C">
        <w:rPr>
          <w:lang w:val="fr-FR"/>
        </w:rPr>
        <w:t> : mais quatre</w:t>
      </w:r>
      <w:r w:rsidRPr="0059421C">
        <w:rPr>
          <w:b/>
          <w:lang w:val="fr-FR"/>
        </w:rPr>
        <w:t xml:space="preserve"> </w:t>
      </w:r>
      <w:r w:rsidRPr="0059421C">
        <w:rPr>
          <w:lang w:val="fr-FR"/>
        </w:rPr>
        <w:t>semaines au moins après la pose du revêtement) ; ensuite, tous les douze mois.</w:t>
      </w:r>
    </w:p>
    <w:p w:rsidR="0059421C" w:rsidRPr="0059421C" w:rsidRDefault="0059421C" w:rsidP="0059421C">
      <w:pPr>
        <w:pStyle w:val="SingleTxtG"/>
        <w:keepNext/>
        <w:keepLines/>
        <w:ind w:left="2268" w:hanging="1134"/>
        <w:rPr>
          <w:lang w:val="fr-FR"/>
        </w:rPr>
      </w:pPr>
      <w:r w:rsidRPr="0059421C">
        <w:rPr>
          <w:lang w:val="fr-FR"/>
        </w:rPr>
        <w:t>3.</w:t>
      </w:r>
      <w:r w:rsidRPr="0059421C">
        <w:rPr>
          <w:lang w:val="fr-FR"/>
        </w:rPr>
        <w:tab/>
        <w:t>Conception de l’aire d’essai</w:t>
      </w:r>
    </w:p>
    <w:p w:rsidR="0059421C" w:rsidRPr="0059421C" w:rsidRDefault="0059421C" w:rsidP="0059421C">
      <w:pPr>
        <w:pStyle w:val="SingleTxtG"/>
        <w:keepNext/>
        <w:keepLines/>
        <w:ind w:left="2268" w:hanging="1134"/>
        <w:rPr>
          <w:lang w:val="fr-FR"/>
        </w:rPr>
      </w:pPr>
      <w:r w:rsidRPr="0059421C">
        <w:rPr>
          <w:lang w:val="fr-FR"/>
        </w:rPr>
        <w:t>3.1</w:t>
      </w:r>
      <w:r w:rsidRPr="0059421C">
        <w:rPr>
          <w:lang w:val="fr-FR"/>
        </w:rPr>
        <w:tab/>
        <w:t>Aire d’essai</w:t>
      </w:r>
    </w:p>
    <w:p w:rsidR="0059421C" w:rsidRDefault="0059421C" w:rsidP="0059421C">
      <w:pPr>
        <w:pStyle w:val="SingleTxtG"/>
        <w:ind w:left="2268"/>
        <w:rPr>
          <w:lang w:val="fr-FR"/>
        </w:rPr>
      </w:pPr>
      <w:r w:rsidRPr="0059421C">
        <w:rPr>
          <w:lang w:val="fr-FR"/>
        </w:rPr>
        <w:t>Lors de la conception de l’aire d’essai, il est important de s’assurer à titre d’exigence minimale que la piste empruntée par les véhicules soumis à l’essai est recouverte du revêtement d’essai prescrit, avec des marges appropriées pour une conduite sûre et commode. Ceci exige que la largeur de la piste soit d’au moins 3 m et que sa longueur dépasse les lignes AA et BB de 10 m au moins à chaque extrémité. La figure 1 représente le plan d’une aire d’essai appropriée et indique quelle est au minimum la partie qui doit être recouverte du revêtement d’essai prescrit posé et compacté à la machine. Conformément au</w:t>
      </w:r>
      <w:r w:rsidR="00081AA8">
        <w:rPr>
          <w:lang w:val="fr-FR"/>
        </w:rPr>
        <w:t xml:space="preserve"> paragraphe 3.1.1.1 de l’annexe </w:t>
      </w:r>
      <w:r w:rsidRPr="0059421C">
        <w:rPr>
          <w:lang w:val="fr-FR"/>
        </w:rPr>
        <w:t>3 du présent Règlement, le mesurage doit être effectué des deux côtés du véhicule. Pour ce faire, il faut utiliser soit deux microphones (un de chaque côté de la piste), le véhicule se déplaçant dans un seul sens, soit un seul microphone placé d’un côté de la piste, mais le véhicule se déplaçant alors dans les deux sens. Si l’on utilise la seconde méthode, il n’existe aucune prescription relative au revêtement du côté de la piste dépourvu de microphone.</w:t>
      </w:r>
    </w:p>
    <w:p w:rsidR="0059421C" w:rsidRDefault="0059421C" w:rsidP="00081AA8">
      <w:pPr>
        <w:pStyle w:val="Heading1"/>
        <w:spacing w:after="120"/>
        <w:ind w:left="2268"/>
        <w:rPr>
          <w:b/>
          <w:lang w:val="fr-FR"/>
        </w:rPr>
      </w:pPr>
      <w:r w:rsidRPr="00816D45">
        <w:rPr>
          <w:lang w:val="fr-FR"/>
        </w:rPr>
        <w:t>Figure 1</w:t>
      </w:r>
      <w:r w:rsidRPr="0059421C">
        <w:rPr>
          <w:lang w:val="fr-FR"/>
        </w:rPr>
        <w:t xml:space="preserve"> </w:t>
      </w:r>
      <w:r w:rsidRPr="0059421C">
        <w:rPr>
          <w:lang w:val="fr-FR"/>
        </w:rPr>
        <w:br/>
      </w:r>
      <w:r w:rsidRPr="0059421C">
        <w:rPr>
          <w:b/>
          <w:lang w:val="fr-FR"/>
        </w:rPr>
        <w:t>Prescriptions minimales concernant l’</w:t>
      </w:r>
      <w:r w:rsidRPr="0059421C">
        <w:rPr>
          <w:b/>
        </w:rPr>
        <w:t>“</w:t>
      </w:r>
      <w:r w:rsidRPr="0059421C">
        <w:rPr>
          <w:b/>
          <w:lang w:val="fr-FR"/>
        </w:rPr>
        <w:t>aire d’essai</w:t>
      </w:r>
      <w:r w:rsidRPr="0059421C">
        <w:rPr>
          <w:b/>
        </w:rPr>
        <w:t>”</w:t>
      </w:r>
      <w:r w:rsidRPr="0059421C">
        <w:rPr>
          <w:b/>
          <w:lang w:val="fr-FR"/>
        </w:rPr>
        <w:t xml:space="preserve"> (zone ombrée)</w:t>
      </w:r>
    </w:p>
    <w:bookmarkStart w:id="6" w:name="_MON_1403684310"/>
    <w:bookmarkEnd w:id="6"/>
    <w:p w:rsidR="00816D45" w:rsidRDefault="00081AA8" w:rsidP="00081AA8">
      <w:pPr>
        <w:pStyle w:val="SingleTxtG"/>
        <w:ind w:left="2268"/>
        <w:rPr>
          <w:lang w:val="fr-FR"/>
        </w:rPr>
      </w:pPr>
      <w:r w:rsidRPr="008933B9">
        <w:rPr>
          <w:lang w:val="fr-FR"/>
        </w:rPr>
        <w:object w:dxaOrig="8281" w:dyaOrig="6273">
          <v:shape id="_x0000_i1026" type="#_x0000_t75" style="width:312pt;height:234.75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Word.Picture.8" ShapeID="_x0000_i1026" DrawAspect="Content" ObjectID="_1549985546" r:id="rId23"/>
        </w:object>
      </w:r>
    </w:p>
    <w:p w:rsidR="0059421C" w:rsidRPr="0059421C" w:rsidRDefault="0059421C" w:rsidP="00816D45">
      <w:pPr>
        <w:pStyle w:val="SingleTxtG"/>
        <w:keepNext/>
        <w:keepLines/>
        <w:spacing w:before="240"/>
        <w:ind w:left="2268" w:hanging="1134"/>
        <w:rPr>
          <w:lang w:val="fr-FR"/>
        </w:rPr>
      </w:pPr>
      <w:r w:rsidRPr="0059421C">
        <w:rPr>
          <w:lang w:val="fr-FR"/>
        </w:rPr>
        <w:t>3.2</w:t>
      </w:r>
      <w:r w:rsidRPr="0059421C">
        <w:rPr>
          <w:lang w:val="fr-FR"/>
        </w:rPr>
        <w:tab/>
        <w:t>Conception et préparation du revêtement</w:t>
      </w:r>
    </w:p>
    <w:p w:rsidR="0059421C" w:rsidRPr="0059421C" w:rsidRDefault="0059421C" w:rsidP="00816D45">
      <w:pPr>
        <w:pStyle w:val="SingleTxtG"/>
        <w:keepNext/>
        <w:keepLines/>
        <w:ind w:left="2268" w:hanging="1134"/>
        <w:rPr>
          <w:lang w:val="fr-FR"/>
        </w:rPr>
      </w:pPr>
      <w:r w:rsidRPr="0059421C">
        <w:rPr>
          <w:lang w:val="fr-FR"/>
        </w:rPr>
        <w:t>3.2.1</w:t>
      </w:r>
      <w:r w:rsidRPr="0059421C">
        <w:rPr>
          <w:lang w:val="fr-FR"/>
        </w:rPr>
        <w:tab/>
        <w:t>Prescriptions fondamentales de conception. Le revêtement d’essai doit satisfaire à quatre prescriptions de conception :</w:t>
      </w:r>
    </w:p>
    <w:p w:rsidR="0059421C" w:rsidRPr="0059421C" w:rsidRDefault="0059421C" w:rsidP="00816D45">
      <w:pPr>
        <w:pStyle w:val="SingleTxtG"/>
        <w:keepNext/>
        <w:keepLines/>
        <w:ind w:left="2268" w:hanging="1134"/>
        <w:rPr>
          <w:lang w:val="fr-FR"/>
        </w:rPr>
      </w:pPr>
      <w:r w:rsidRPr="0059421C">
        <w:rPr>
          <w:lang w:val="fr-FR"/>
        </w:rPr>
        <w:t>3.2.1.1</w:t>
      </w:r>
      <w:r w:rsidRPr="0059421C">
        <w:rPr>
          <w:lang w:val="fr-FR"/>
        </w:rPr>
        <w:tab/>
        <w:t>Il doit</w:t>
      </w:r>
      <w:r w:rsidR="00BD14D6">
        <w:rPr>
          <w:lang w:val="fr-FR"/>
        </w:rPr>
        <w:t xml:space="preserve"> être en béton bitumineux dense ;</w:t>
      </w:r>
    </w:p>
    <w:p w:rsidR="0059421C" w:rsidRPr="0059421C" w:rsidRDefault="0059421C" w:rsidP="00816D45">
      <w:pPr>
        <w:pStyle w:val="SingleTxtG"/>
        <w:keepNext/>
        <w:keepLines/>
        <w:ind w:left="2268" w:hanging="1134"/>
        <w:rPr>
          <w:lang w:val="fr-FR"/>
        </w:rPr>
      </w:pPr>
      <w:r w:rsidRPr="0059421C">
        <w:rPr>
          <w:lang w:val="fr-FR"/>
        </w:rPr>
        <w:t>3.2.1.2</w:t>
      </w:r>
      <w:r w:rsidRPr="0059421C">
        <w:rPr>
          <w:lang w:val="fr-FR"/>
        </w:rPr>
        <w:tab/>
        <w:t xml:space="preserve">Le calibre maximal des gravillons doit être de 8 mm (soit entre 6,3 et 10 mm, compte tenu des </w:t>
      </w:r>
      <w:r w:rsidR="00BD14D6">
        <w:rPr>
          <w:lang w:val="fr-FR"/>
        </w:rPr>
        <w:t>tolérances) ;</w:t>
      </w:r>
    </w:p>
    <w:p w:rsidR="0059421C" w:rsidRPr="0059421C" w:rsidRDefault="0059421C" w:rsidP="00816D45">
      <w:pPr>
        <w:pStyle w:val="SingleTxtG"/>
        <w:keepNext/>
        <w:keepLines/>
        <w:ind w:left="2268" w:hanging="1134"/>
        <w:rPr>
          <w:lang w:val="fr-FR"/>
        </w:rPr>
      </w:pPr>
      <w:r w:rsidRPr="0059421C">
        <w:rPr>
          <w:lang w:val="fr-FR"/>
        </w:rPr>
        <w:t>3.2.1.3</w:t>
      </w:r>
      <w:r w:rsidRPr="0059421C">
        <w:rPr>
          <w:lang w:val="fr-FR"/>
        </w:rPr>
        <w:tab/>
        <w:t xml:space="preserve">L’épaisseur de la couche de roulement doit être </w:t>
      </w:r>
      <w:r w:rsidRPr="0059421C">
        <w:rPr>
          <w:lang w:val="fr-FR"/>
        </w:rPr>
        <w:sym w:font="Symbol" w:char="F0B3"/>
      </w:r>
      <w:r w:rsidR="00114989">
        <w:rPr>
          <w:lang w:val="fr-FR"/>
        </w:rPr>
        <w:t> </w:t>
      </w:r>
      <w:r w:rsidR="00BD14D6">
        <w:rPr>
          <w:lang w:val="fr-FR"/>
        </w:rPr>
        <w:t>30 mm ;</w:t>
      </w:r>
    </w:p>
    <w:p w:rsidR="0059421C" w:rsidRPr="0059421C" w:rsidRDefault="0059421C" w:rsidP="00816D45">
      <w:pPr>
        <w:pStyle w:val="SingleTxtG"/>
        <w:keepNext/>
        <w:keepLines/>
        <w:ind w:left="2268" w:hanging="1134"/>
        <w:rPr>
          <w:lang w:val="fr-FR"/>
        </w:rPr>
      </w:pPr>
      <w:r w:rsidRPr="0059421C">
        <w:rPr>
          <w:lang w:val="fr-FR"/>
        </w:rPr>
        <w:t>3.2.1.4</w:t>
      </w:r>
      <w:r w:rsidRPr="0059421C">
        <w:rPr>
          <w:lang w:val="fr-FR"/>
        </w:rPr>
        <w:tab/>
        <w:t>Le liant doit être un bitume à pénétration directe non modifié.</w:t>
      </w:r>
    </w:p>
    <w:p w:rsidR="0059421C" w:rsidRPr="0059421C" w:rsidRDefault="0059421C" w:rsidP="00816D45">
      <w:pPr>
        <w:pStyle w:val="SingleTxtG"/>
        <w:keepNext/>
        <w:keepLines/>
        <w:ind w:left="2268" w:hanging="1134"/>
        <w:rPr>
          <w:lang w:val="fr-FR"/>
        </w:rPr>
      </w:pPr>
      <w:r w:rsidRPr="0059421C">
        <w:rPr>
          <w:lang w:val="fr-FR"/>
        </w:rPr>
        <w:t>3.2.2</w:t>
      </w:r>
      <w:r w:rsidRPr="0059421C">
        <w:rPr>
          <w:lang w:val="fr-FR"/>
        </w:rPr>
        <w:tab/>
        <w:t>Valeurs guides</w:t>
      </w:r>
    </w:p>
    <w:p w:rsidR="0059421C" w:rsidRPr="0059421C" w:rsidRDefault="0059421C" w:rsidP="00816D45">
      <w:pPr>
        <w:pStyle w:val="SingleTxtG"/>
        <w:ind w:left="2268"/>
        <w:rPr>
          <w:lang w:val="fr-FR"/>
        </w:rPr>
      </w:pPr>
      <w:r w:rsidRPr="0059421C">
        <w:rPr>
          <w:lang w:val="fr-FR"/>
        </w:rPr>
        <w:t>La courbe granulométrique des gr</w:t>
      </w:r>
      <w:r w:rsidR="00816D45">
        <w:rPr>
          <w:lang w:val="fr-FR"/>
        </w:rPr>
        <w:t>anulats illustrée sur la figure </w:t>
      </w:r>
      <w:r w:rsidRPr="0059421C">
        <w:rPr>
          <w:lang w:val="fr-FR"/>
        </w:rPr>
        <w:t>2 donne au constructeur les caractéristiques souhaitées du revêtement. En outre, le tableau</w:t>
      </w:r>
      <w:r w:rsidR="007F2DE1">
        <w:rPr>
          <w:lang w:val="fr-FR"/>
        </w:rPr>
        <w:t> </w:t>
      </w:r>
      <w:r w:rsidRPr="0059421C">
        <w:rPr>
          <w:lang w:val="fr-FR"/>
        </w:rPr>
        <w:t>1 fournit des indications pour obtenir la texture et la durabilité souhaitées. La courbe granulométrique répond à la formule suivante :</w:t>
      </w:r>
    </w:p>
    <w:p w:rsidR="0059421C" w:rsidRPr="0059421C" w:rsidRDefault="0059421C" w:rsidP="00816D45">
      <w:pPr>
        <w:pStyle w:val="SingleTxtG"/>
        <w:ind w:left="2268"/>
        <w:rPr>
          <w:lang w:val="fr-FR"/>
        </w:rPr>
      </w:pPr>
      <w:r w:rsidRPr="0059421C">
        <w:rPr>
          <w:lang w:val="fr-FR"/>
        </w:rPr>
        <w:t>P (% de passant) = 100 • (d/d</w:t>
      </w:r>
      <w:r w:rsidRPr="0059421C">
        <w:rPr>
          <w:vertAlign w:val="subscript"/>
          <w:lang w:val="fr-FR"/>
        </w:rPr>
        <w:t>max</w:t>
      </w:r>
      <w:r w:rsidRPr="0059421C">
        <w:rPr>
          <w:lang w:val="fr-FR"/>
        </w:rPr>
        <w:t>)</w:t>
      </w:r>
      <w:r w:rsidRPr="0059421C">
        <w:rPr>
          <w:vertAlign w:val="superscript"/>
          <w:lang w:val="fr-FR"/>
        </w:rPr>
        <w:t>1/2</w:t>
      </w:r>
    </w:p>
    <w:p w:rsidR="0059421C" w:rsidRPr="0059421C" w:rsidRDefault="0059421C" w:rsidP="00816D45">
      <w:pPr>
        <w:pStyle w:val="SingleTxtG"/>
        <w:ind w:left="2268"/>
        <w:rPr>
          <w:lang w:val="fr-FR"/>
        </w:rPr>
      </w:pPr>
      <w:r w:rsidRPr="0059421C">
        <w:rPr>
          <w:lang w:val="fr-FR"/>
        </w:rPr>
        <w:t>où</w:t>
      </w:r>
    </w:p>
    <w:p w:rsidR="0059421C" w:rsidRPr="0059421C" w:rsidRDefault="0059421C" w:rsidP="00816D45">
      <w:pPr>
        <w:pStyle w:val="SingleTxtG"/>
        <w:ind w:left="2268"/>
        <w:rPr>
          <w:lang w:val="fr-FR"/>
        </w:rPr>
      </w:pPr>
      <w:r w:rsidRPr="0059421C">
        <w:rPr>
          <w:lang w:val="fr-FR"/>
        </w:rPr>
        <w:t>d</w:t>
      </w:r>
      <w:r w:rsidRPr="0059421C">
        <w:rPr>
          <w:lang w:val="fr-FR"/>
        </w:rPr>
        <w:tab/>
        <w:t>=</w:t>
      </w:r>
      <w:r w:rsidRPr="0059421C">
        <w:rPr>
          <w:lang w:val="fr-FR"/>
        </w:rPr>
        <w:tab/>
        <w:t>maillage carré du tamis en mm ;</w:t>
      </w:r>
    </w:p>
    <w:p w:rsidR="0059421C" w:rsidRPr="0059421C" w:rsidRDefault="0059421C" w:rsidP="00816D45">
      <w:pPr>
        <w:pStyle w:val="SingleTxtG"/>
        <w:ind w:left="2268"/>
        <w:rPr>
          <w:lang w:val="fr-FR"/>
        </w:rPr>
      </w:pPr>
      <w:r w:rsidRPr="0059421C">
        <w:rPr>
          <w:lang w:val="fr-FR"/>
        </w:rPr>
        <w:t>d</w:t>
      </w:r>
      <w:r w:rsidRPr="0059421C">
        <w:rPr>
          <w:vertAlign w:val="subscript"/>
          <w:lang w:val="fr-FR"/>
        </w:rPr>
        <w:t>max</w:t>
      </w:r>
      <w:r w:rsidRPr="0059421C">
        <w:rPr>
          <w:lang w:val="fr-FR"/>
        </w:rPr>
        <w:tab/>
        <w:t>=</w:t>
      </w:r>
      <w:r w:rsidRPr="0059421C">
        <w:rPr>
          <w:lang w:val="fr-FR"/>
        </w:rPr>
        <w:tab/>
        <w:t>8 mm pour la courbe moyenne ;</w:t>
      </w:r>
    </w:p>
    <w:p w:rsidR="0059421C" w:rsidRPr="0059421C" w:rsidRDefault="0059421C" w:rsidP="00816D45">
      <w:pPr>
        <w:pStyle w:val="SingleTxtG"/>
        <w:ind w:left="2268"/>
        <w:rPr>
          <w:lang w:val="fr-FR"/>
        </w:rPr>
      </w:pPr>
      <w:r w:rsidRPr="0059421C">
        <w:rPr>
          <w:lang w:val="fr-FR"/>
        </w:rPr>
        <w:t>d</w:t>
      </w:r>
      <w:r w:rsidRPr="0059421C">
        <w:rPr>
          <w:vertAlign w:val="subscript"/>
          <w:lang w:val="fr-FR"/>
        </w:rPr>
        <w:t>max</w:t>
      </w:r>
      <w:r w:rsidRPr="0059421C">
        <w:rPr>
          <w:lang w:val="fr-FR"/>
        </w:rPr>
        <w:tab/>
        <w:t>=</w:t>
      </w:r>
      <w:r w:rsidRPr="0059421C">
        <w:rPr>
          <w:lang w:val="fr-FR"/>
        </w:rPr>
        <w:tab/>
        <w:t>10 mm pour la courbe de tolérance inférieure ;</w:t>
      </w:r>
    </w:p>
    <w:p w:rsidR="0059421C" w:rsidRPr="0059421C" w:rsidRDefault="0059421C" w:rsidP="00816D45">
      <w:pPr>
        <w:pStyle w:val="SingleTxtG"/>
        <w:ind w:left="2268"/>
        <w:rPr>
          <w:lang w:val="fr-FR"/>
        </w:rPr>
      </w:pPr>
      <w:r w:rsidRPr="0059421C">
        <w:rPr>
          <w:lang w:val="fr-FR"/>
        </w:rPr>
        <w:t>d</w:t>
      </w:r>
      <w:r w:rsidRPr="0059421C">
        <w:rPr>
          <w:vertAlign w:val="subscript"/>
          <w:lang w:val="fr-FR"/>
        </w:rPr>
        <w:t>max</w:t>
      </w:r>
      <w:r w:rsidRPr="0059421C">
        <w:rPr>
          <w:lang w:val="fr-FR"/>
        </w:rPr>
        <w:tab/>
        <w:t>=</w:t>
      </w:r>
      <w:r w:rsidRPr="0059421C">
        <w:rPr>
          <w:lang w:val="fr-FR"/>
        </w:rPr>
        <w:tab/>
        <w:t>6,3 mm pour la courbe de tolérance supérieure.</w:t>
      </w:r>
    </w:p>
    <w:p w:rsidR="0059421C" w:rsidRPr="00816D45" w:rsidRDefault="00816D45" w:rsidP="00804266">
      <w:pPr>
        <w:pStyle w:val="Heading1"/>
        <w:spacing w:after="120"/>
        <w:ind w:left="2268"/>
        <w:rPr>
          <w:b/>
          <w:lang w:val="fr-FR"/>
        </w:rPr>
      </w:pPr>
      <w:r>
        <w:rPr>
          <w:lang w:val="fr-FR"/>
        </w:rPr>
        <w:t>Figure </w:t>
      </w:r>
      <w:r w:rsidR="0059421C" w:rsidRPr="0059421C">
        <w:rPr>
          <w:lang w:val="fr-FR"/>
        </w:rPr>
        <w:t xml:space="preserve">2 </w:t>
      </w:r>
      <w:r w:rsidR="0059421C" w:rsidRPr="0059421C">
        <w:rPr>
          <w:lang w:val="fr-FR"/>
        </w:rPr>
        <w:br/>
      </w:r>
      <w:r w:rsidR="0059421C" w:rsidRPr="00816D45">
        <w:rPr>
          <w:b/>
          <w:lang w:val="fr-FR"/>
        </w:rPr>
        <w:t>Courbe granulométrique des granulats enrobés, avec tolérances</w:t>
      </w:r>
    </w:p>
    <w:bookmarkStart w:id="7" w:name="_MON_1403684349"/>
    <w:bookmarkEnd w:id="7"/>
    <w:p w:rsidR="0059421C" w:rsidRDefault="00804266" w:rsidP="00804266">
      <w:pPr>
        <w:pStyle w:val="SingleTxtG"/>
        <w:ind w:left="2268"/>
        <w:rPr>
          <w:lang w:val="fr-FR"/>
        </w:rPr>
      </w:pPr>
      <w:r w:rsidRPr="008933B9">
        <w:rPr>
          <w:lang w:val="fr-FR"/>
        </w:rPr>
        <w:object w:dxaOrig="8341" w:dyaOrig="6063">
          <v:shape id="_x0000_i1027" type="#_x0000_t75" style="width:309pt;height:225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Word.Picture.8" ShapeID="_x0000_i1027" DrawAspect="Content" ObjectID="_1549985547" r:id="rId25"/>
        </w:object>
      </w:r>
    </w:p>
    <w:p w:rsidR="0059421C" w:rsidRPr="0059421C" w:rsidRDefault="0059421C" w:rsidP="00816D45">
      <w:pPr>
        <w:pStyle w:val="SingleTxtG"/>
        <w:keepNext/>
        <w:keepLines/>
        <w:spacing w:before="240"/>
        <w:ind w:left="2268"/>
        <w:rPr>
          <w:lang w:val="fr-FR"/>
        </w:rPr>
      </w:pPr>
      <w:r w:rsidRPr="0059421C">
        <w:rPr>
          <w:lang w:val="fr-FR"/>
        </w:rPr>
        <w:t>Aux conseils ci-dessus on peut ajouter les recommandations suivantes :</w:t>
      </w:r>
    </w:p>
    <w:p w:rsidR="0059421C" w:rsidRPr="0059421C" w:rsidRDefault="0059421C" w:rsidP="00816D45">
      <w:pPr>
        <w:pStyle w:val="SingleTxtG"/>
        <w:ind w:left="2835" w:hanging="567"/>
        <w:rPr>
          <w:lang w:val="fr-FR"/>
        </w:rPr>
      </w:pPr>
      <w:r w:rsidRPr="0059421C">
        <w:rPr>
          <w:lang w:val="fr-FR"/>
        </w:rPr>
        <w:t>a)</w:t>
      </w:r>
      <w:r w:rsidRPr="0059421C">
        <w:rPr>
          <w:lang w:val="fr-FR"/>
        </w:rPr>
        <w:tab/>
        <w:t>La fraction de sable (0,063 mm &lt; maillage carré du tamis &lt; 2 mm) doit comprendre au plus 55 % de sable naturel et au moins 45 % de sable de concassage ;</w:t>
      </w:r>
    </w:p>
    <w:p w:rsidR="0059421C" w:rsidRPr="0059421C" w:rsidRDefault="0059421C" w:rsidP="00816D45">
      <w:pPr>
        <w:pStyle w:val="SingleTxtG"/>
        <w:ind w:left="2835" w:hanging="567"/>
        <w:rPr>
          <w:lang w:val="fr-FR"/>
        </w:rPr>
      </w:pPr>
      <w:r w:rsidRPr="0059421C">
        <w:rPr>
          <w:lang w:val="fr-FR"/>
        </w:rPr>
        <w:t>b)</w:t>
      </w:r>
      <w:r w:rsidRPr="0059421C">
        <w:rPr>
          <w:lang w:val="fr-FR"/>
        </w:rPr>
        <w:tab/>
        <w:t>La couche de base et la couche de fondation doivent être à la fois stables et homogènes, conformément aux meilleures pratiques de construction routière ;</w:t>
      </w:r>
    </w:p>
    <w:p w:rsidR="0059421C" w:rsidRPr="0059421C" w:rsidRDefault="0059421C" w:rsidP="00816D45">
      <w:pPr>
        <w:pStyle w:val="SingleTxtG"/>
        <w:ind w:left="2835" w:hanging="567"/>
        <w:rPr>
          <w:lang w:val="fr-FR"/>
        </w:rPr>
      </w:pPr>
      <w:r w:rsidRPr="0059421C">
        <w:rPr>
          <w:lang w:val="fr-FR"/>
        </w:rPr>
        <w:t>c)</w:t>
      </w:r>
      <w:r w:rsidRPr="0059421C">
        <w:rPr>
          <w:lang w:val="fr-FR"/>
        </w:rPr>
        <w:tab/>
        <w:t>Les gravillons doivent être concassés (100 % de faces concassées) et être constitués d’un matériau offrant une résistance élevée au concassage ;</w:t>
      </w:r>
    </w:p>
    <w:p w:rsidR="0059421C" w:rsidRPr="0059421C" w:rsidRDefault="0059421C" w:rsidP="00816D45">
      <w:pPr>
        <w:pStyle w:val="SingleTxtG"/>
        <w:ind w:left="2268"/>
        <w:rPr>
          <w:lang w:val="fr-FR"/>
        </w:rPr>
      </w:pPr>
      <w:r w:rsidRPr="0059421C">
        <w:rPr>
          <w:lang w:val="fr-FR"/>
        </w:rPr>
        <w:t>d)</w:t>
      </w:r>
      <w:r w:rsidRPr="0059421C">
        <w:rPr>
          <w:lang w:val="fr-FR"/>
        </w:rPr>
        <w:tab/>
        <w:t>Les gravillons utilisés dans le mélange doivent être lavés ;</w:t>
      </w:r>
    </w:p>
    <w:p w:rsidR="0059421C" w:rsidRPr="0059421C" w:rsidRDefault="0059421C" w:rsidP="00816D45">
      <w:pPr>
        <w:pStyle w:val="SingleTxtG"/>
        <w:ind w:left="2268"/>
        <w:rPr>
          <w:lang w:val="fr-FR"/>
        </w:rPr>
      </w:pPr>
      <w:r w:rsidRPr="0059421C">
        <w:rPr>
          <w:lang w:val="fr-FR"/>
        </w:rPr>
        <w:t>e)</w:t>
      </w:r>
      <w:r w:rsidRPr="0059421C">
        <w:rPr>
          <w:lang w:val="fr-FR"/>
        </w:rPr>
        <w:tab/>
        <w:t>Aucun gravillon supplémentaire ne doit être ajouté en surface ;</w:t>
      </w:r>
    </w:p>
    <w:p w:rsidR="0059421C" w:rsidRPr="0059421C" w:rsidRDefault="0059421C" w:rsidP="00816D45">
      <w:pPr>
        <w:pStyle w:val="SingleTxtG"/>
        <w:ind w:left="2835" w:hanging="567"/>
        <w:rPr>
          <w:lang w:val="fr-FR"/>
        </w:rPr>
      </w:pPr>
      <w:r w:rsidRPr="0059421C">
        <w:rPr>
          <w:lang w:val="fr-FR"/>
        </w:rPr>
        <w:t>f)</w:t>
      </w:r>
      <w:r w:rsidRPr="0059421C">
        <w:rPr>
          <w:lang w:val="fr-FR"/>
        </w:rPr>
        <w:tab/>
        <w:t>La dureté du liant exprimé</w:t>
      </w:r>
      <w:r w:rsidR="007F2DE1">
        <w:rPr>
          <w:lang w:val="fr-FR"/>
        </w:rPr>
        <w:t>e en valeur PEN devrait être de </w:t>
      </w:r>
      <w:r w:rsidRPr="0059421C">
        <w:rPr>
          <w:lang w:val="fr-FR"/>
        </w:rPr>
        <w:t>40-60, de</w:t>
      </w:r>
      <w:r w:rsidR="007F2DE1">
        <w:rPr>
          <w:lang w:val="fr-FR"/>
        </w:rPr>
        <w:t> 60-80, ou même de </w:t>
      </w:r>
      <w:r w:rsidRPr="0059421C">
        <w:rPr>
          <w:lang w:val="fr-FR"/>
        </w:rPr>
        <w:t>80-100 selon les conditions climatiques du pays considéré. La règle est que le liant utilisé doit être aussi dur que possible, à condition que ceci soit en conformité avec la pratique courante ;</w:t>
      </w:r>
    </w:p>
    <w:p w:rsidR="0059421C" w:rsidRPr="0059421C" w:rsidRDefault="0059421C" w:rsidP="00816D45">
      <w:pPr>
        <w:pStyle w:val="SingleTxtG"/>
        <w:ind w:left="2835" w:hanging="567"/>
        <w:rPr>
          <w:lang w:val="fr-FR"/>
        </w:rPr>
      </w:pPr>
      <w:r w:rsidRPr="0059421C">
        <w:rPr>
          <w:lang w:val="fr-FR"/>
        </w:rPr>
        <w:t>g)</w:t>
      </w:r>
      <w:r w:rsidRPr="0059421C">
        <w:rPr>
          <w:lang w:val="fr-FR"/>
        </w:rPr>
        <w:tab/>
        <w:t>La température des enrobés avant cylindrage doit être choisie en fonction de l’indice de vides prescrit. Pour que le revêtement ait les meilleures chances de satisfaire au</w:t>
      </w:r>
      <w:r w:rsidR="00816D45">
        <w:rPr>
          <w:lang w:val="fr-FR"/>
        </w:rPr>
        <w:t>x prescriptions des paragraphes </w:t>
      </w:r>
      <w:r w:rsidRPr="0059421C">
        <w:rPr>
          <w:lang w:val="fr-FR"/>
        </w:rPr>
        <w:t>2.1 à</w:t>
      </w:r>
      <w:r w:rsidR="007F2DE1">
        <w:rPr>
          <w:lang w:val="fr-FR"/>
        </w:rPr>
        <w:t> </w:t>
      </w:r>
      <w:r w:rsidRPr="0059421C">
        <w:rPr>
          <w:lang w:val="fr-FR"/>
        </w:rPr>
        <w:t>2.4 de la présente annexe, il faut judicieusement choisir non seulement la température d’enrobage, mais aussi le nombre de passes et l’engin de compactage.</w:t>
      </w:r>
    </w:p>
    <w:p w:rsidR="0059421C" w:rsidRPr="00816D45" w:rsidRDefault="0059421C" w:rsidP="00816D45">
      <w:pPr>
        <w:pStyle w:val="Heading1"/>
        <w:spacing w:after="120"/>
        <w:rPr>
          <w:b/>
          <w:lang w:val="fr-FR"/>
        </w:rPr>
      </w:pPr>
      <w:r w:rsidRPr="0059421C">
        <w:rPr>
          <w:lang w:val="fr-FR"/>
        </w:rPr>
        <w:t xml:space="preserve">Tableau 1 </w:t>
      </w:r>
      <w:r w:rsidRPr="0059421C">
        <w:rPr>
          <w:lang w:val="fr-FR"/>
        </w:rPr>
        <w:br/>
      </w:r>
      <w:r w:rsidRPr="00816D45">
        <w:rPr>
          <w:b/>
          <w:lang w:val="fr-FR"/>
        </w:rPr>
        <w:t>Valeurs guides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00"/>
        <w:gridCol w:w="1629"/>
        <w:gridCol w:w="1629"/>
        <w:gridCol w:w="1012"/>
      </w:tblGrid>
      <w:tr w:rsidR="009E3379" w:rsidRPr="00816D45" w:rsidTr="009E3379">
        <w:trPr>
          <w:tblHeader/>
        </w:trPr>
        <w:tc>
          <w:tcPr>
            <w:tcW w:w="3100" w:type="dxa"/>
            <w:vMerge w:val="restart"/>
            <w:shd w:val="clear" w:color="auto" w:fill="auto"/>
            <w:vAlign w:val="bottom"/>
          </w:tcPr>
          <w:p w:rsidR="009E3379" w:rsidRPr="00816D45" w:rsidRDefault="009E3379" w:rsidP="009E3379">
            <w:pPr>
              <w:keepNext/>
              <w:keepLines/>
              <w:suppressAutoHyphens w:val="0"/>
              <w:spacing w:before="80" w:after="80" w:line="200" w:lineRule="exact"/>
              <w:ind w:left="57" w:right="57"/>
              <w:rPr>
                <w:i/>
                <w:sz w:val="16"/>
                <w:lang w:val="fr-FR"/>
              </w:rPr>
            </w:pPr>
          </w:p>
        </w:tc>
        <w:tc>
          <w:tcPr>
            <w:tcW w:w="3258" w:type="dxa"/>
            <w:gridSpan w:val="2"/>
            <w:shd w:val="clear" w:color="auto" w:fill="auto"/>
            <w:vAlign w:val="bottom"/>
          </w:tcPr>
          <w:p w:rsidR="009E3379" w:rsidRPr="00816D45" w:rsidRDefault="009E3379" w:rsidP="009E3379">
            <w:pPr>
              <w:keepNext/>
              <w:keepLines/>
              <w:suppressAutoHyphens w:val="0"/>
              <w:spacing w:before="80" w:after="80" w:line="200" w:lineRule="exact"/>
              <w:ind w:left="57" w:right="57"/>
              <w:jc w:val="center"/>
              <w:rPr>
                <w:i/>
                <w:sz w:val="16"/>
                <w:lang w:val="fr-FR"/>
              </w:rPr>
            </w:pPr>
            <w:r w:rsidRPr="00816D45">
              <w:rPr>
                <w:i/>
                <w:sz w:val="16"/>
                <w:lang w:val="fr-FR"/>
              </w:rPr>
              <w:t>Valeurs visées</w:t>
            </w:r>
          </w:p>
        </w:tc>
        <w:tc>
          <w:tcPr>
            <w:tcW w:w="1012" w:type="dxa"/>
            <w:vMerge w:val="restart"/>
            <w:tcBorders>
              <w:bottom w:val="single" w:sz="12" w:space="0" w:color="auto"/>
            </w:tcBorders>
            <w:shd w:val="clear" w:color="auto" w:fill="auto"/>
            <w:vAlign w:val="bottom"/>
          </w:tcPr>
          <w:p w:rsidR="009E3379" w:rsidRPr="00816D45" w:rsidRDefault="009E3379" w:rsidP="009E3379">
            <w:pPr>
              <w:keepNext/>
              <w:keepLines/>
              <w:suppressAutoHyphens w:val="0"/>
              <w:spacing w:before="80" w:after="80" w:line="200" w:lineRule="exact"/>
              <w:ind w:left="57" w:right="57"/>
              <w:jc w:val="right"/>
              <w:rPr>
                <w:i/>
                <w:sz w:val="16"/>
                <w:lang w:val="fr-FR"/>
              </w:rPr>
            </w:pPr>
            <w:r w:rsidRPr="00816D45">
              <w:rPr>
                <w:i/>
                <w:sz w:val="16"/>
                <w:lang w:val="fr-FR"/>
              </w:rPr>
              <w:t>Tolérances</w:t>
            </w:r>
          </w:p>
        </w:tc>
      </w:tr>
      <w:tr w:rsidR="009E3379" w:rsidRPr="00816D45" w:rsidTr="009E3379">
        <w:trPr>
          <w:tblHeader/>
        </w:trPr>
        <w:tc>
          <w:tcPr>
            <w:tcW w:w="3100" w:type="dxa"/>
            <w:vMerge/>
            <w:tcBorders>
              <w:bottom w:val="single" w:sz="12" w:space="0" w:color="auto"/>
            </w:tcBorders>
            <w:shd w:val="clear" w:color="auto" w:fill="auto"/>
          </w:tcPr>
          <w:p w:rsidR="009E3379" w:rsidRPr="00816D45" w:rsidRDefault="009E3379" w:rsidP="009E3379">
            <w:pPr>
              <w:suppressAutoHyphens w:val="0"/>
              <w:spacing w:before="80" w:after="80" w:line="200" w:lineRule="exact"/>
              <w:ind w:left="57" w:right="57"/>
              <w:rPr>
                <w:i/>
                <w:sz w:val="16"/>
                <w:szCs w:val="16"/>
                <w:lang w:val="fr-FR"/>
              </w:rPr>
            </w:pPr>
          </w:p>
        </w:tc>
        <w:tc>
          <w:tcPr>
            <w:tcW w:w="1629" w:type="dxa"/>
            <w:tcBorders>
              <w:bottom w:val="single" w:sz="12" w:space="0" w:color="auto"/>
            </w:tcBorders>
            <w:shd w:val="clear" w:color="auto" w:fill="auto"/>
            <w:vAlign w:val="bottom"/>
          </w:tcPr>
          <w:p w:rsidR="009E3379" w:rsidRPr="00816D45" w:rsidRDefault="009E3379" w:rsidP="001D37F3">
            <w:pPr>
              <w:suppressAutoHyphens w:val="0"/>
              <w:spacing w:before="80" w:after="80" w:line="200" w:lineRule="exact"/>
              <w:ind w:left="57" w:right="57"/>
              <w:jc w:val="right"/>
              <w:rPr>
                <w:i/>
                <w:sz w:val="16"/>
                <w:szCs w:val="16"/>
                <w:lang w:val="fr-FR"/>
              </w:rPr>
            </w:pPr>
            <w:r w:rsidRPr="00816D45">
              <w:rPr>
                <w:i/>
                <w:sz w:val="16"/>
                <w:szCs w:val="16"/>
                <w:lang w:val="fr-FR"/>
              </w:rPr>
              <w:t>En pourcentage</w:t>
            </w:r>
            <w:r w:rsidR="001D37F3">
              <w:rPr>
                <w:i/>
                <w:sz w:val="16"/>
                <w:szCs w:val="16"/>
                <w:lang w:val="fr-FR"/>
              </w:rPr>
              <w:t xml:space="preserve"> </w:t>
            </w:r>
            <w:r w:rsidRPr="00816D45">
              <w:rPr>
                <w:i/>
                <w:sz w:val="16"/>
                <w:szCs w:val="16"/>
                <w:lang w:val="fr-FR"/>
              </w:rPr>
              <w:br/>
              <w:t>de la masse d’enrobés</w:t>
            </w:r>
          </w:p>
        </w:tc>
        <w:tc>
          <w:tcPr>
            <w:tcW w:w="1629" w:type="dxa"/>
            <w:tcBorders>
              <w:bottom w:val="single" w:sz="12" w:space="0" w:color="auto"/>
            </w:tcBorders>
            <w:shd w:val="clear" w:color="auto" w:fill="auto"/>
            <w:vAlign w:val="bottom"/>
          </w:tcPr>
          <w:p w:rsidR="009E3379" w:rsidRPr="00816D45" w:rsidRDefault="009E3379" w:rsidP="009E3379">
            <w:pPr>
              <w:suppressAutoHyphens w:val="0"/>
              <w:spacing w:before="80" w:after="80" w:line="200" w:lineRule="exact"/>
              <w:ind w:left="57" w:right="57"/>
              <w:jc w:val="right"/>
              <w:rPr>
                <w:i/>
                <w:sz w:val="16"/>
                <w:szCs w:val="16"/>
                <w:lang w:val="fr-FR"/>
              </w:rPr>
            </w:pPr>
            <w:r w:rsidRPr="00816D45">
              <w:rPr>
                <w:i/>
                <w:sz w:val="16"/>
                <w:szCs w:val="16"/>
                <w:lang w:val="fr-FR"/>
              </w:rPr>
              <w:t>En pourcentage</w:t>
            </w:r>
            <w:r w:rsidR="00593749">
              <w:rPr>
                <w:i/>
                <w:sz w:val="16"/>
                <w:szCs w:val="16"/>
                <w:lang w:val="fr-FR"/>
              </w:rPr>
              <w:t xml:space="preserve"> </w:t>
            </w:r>
            <w:r w:rsidRPr="00816D45">
              <w:rPr>
                <w:i/>
                <w:sz w:val="16"/>
                <w:szCs w:val="16"/>
                <w:lang w:val="fr-FR"/>
              </w:rPr>
              <w:br/>
              <w:t xml:space="preserve">de la masse </w:t>
            </w:r>
            <w:r w:rsidRPr="00816D45">
              <w:rPr>
                <w:i/>
                <w:sz w:val="16"/>
                <w:szCs w:val="16"/>
                <w:lang w:val="fr-FR"/>
              </w:rPr>
              <w:br/>
              <w:t xml:space="preserve">de granulats </w:t>
            </w:r>
          </w:p>
        </w:tc>
        <w:tc>
          <w:tcPr>
            <w:tcW w:w="1012" w:type="dxa"/>
            <w:vMerge/>
            <w:tcBorders>
              <w:bottom w:val="single" w:sz="12" w:space="0" w:color="auto"/>
            </w:tcBorders>
            <w:shd w:val="clear" w:color="auto" w:fill="auto"/>
            <w:vAlign w:val="bottom"/>
          </w:tcPr>
          <w:p w:rsidR="009E3379" w:rsidRPr="00816D45" w:rsidRDefault="009E3379" w:rsidP="009E3379">
            <w:pPr>
              <w:suppressAutoHyphens w:val="0"/>
              <w:spacing w:before="80" w:after="80" w:line="200" w:lineRule="exact"/>
              <w:ind w:left="57" w:right="57"/>
              <w:jc w:val="right"/>
              <w:rPr>
                <w:i/>
                <w:sz w:val="16"/>
                <w:szCs w:val="16"/>
                <w:lang w:val="fr-FR"/>
              </w:rPr>
            </w:pPr>
          </w:p>
        </w:tc>
      </w:tr>
      <w:tr w:rsidR="0059421C" w:rsidRPr="00816D45" w:rsidTr="009E3379">
        <w:trPr>
          <w:trHeight w:hRule="exact" w:val="113"/>
          <w:tblHeader/>
        </w:trPr>
        <w:tc>
          <w:tcPr>
            <w:tcW w:w="3100" w:type="dxa"/>
            <w:tcBorders>
              <w:top w:val="single" w:sz="12" w:space="0" w:color="auto"/>
              <w:bottom w:val="nil"/>
            </w:tcBorders>
            <w:shd w:val="clear" w:color="auto" w:fill="auto"/>
          </w:tcPr>
          <w:p w:rsidR="0059421C" w:rsidRPr="00816D45" w:rsidRDefault="0059421C" w:rsidP="009E3379">
            <w:pPr>
              <w:suppressAutoHyphens w:val="0"/>
              <w:spacing w:before="40" w:after="40" w:line="220" w:lineRule="exact"/>
              <w:ind w:left="57" w:right="57"/>
              <w:rPr>
                <w:sz w:val="18"/>
                <w:lang w:val="fr-FR"/>
              </w:rPr>
            </w:pPr>
          </w:p>
        </w:tc>
        <w:tc>
          <w:tcPr>
            <w:tcW w:w="1629" w:type="dxa"/>
            <w:tcBorders>
              <w:top w:val="single" w:sz="12" w:space="0" w:color="auto"/>
              <w:bottom w:val="nil"/>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p>
        </w:tc>
        <w:tc>
          <w:tcPr>
            <w:tcW w:w="1629" w:type="dxa"/>
            <w:tcBorders>
              <w:top w:val="single" w:sz="12" w:space="0" w:color="auto"/>
              <w:bottom w:val="nil"/>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p>
        </w:tc>
        <w:tc>
          <w:tcPr>
            <w:tcW w:w="1012" w:type="dxa"/>
            <w:tcBorders>
              <w:top w:val="single" w:sz="12" w:space="0" w:color="auto"/>
              <w:bottom w:val="nil"/>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p>
        </w:tc>
      </w:tr>
      <w:tr w:rsidR="0059421C" w:rsidRPr="00816D45" w:rsidTr="009E3379">
        <w:tc>
          <w:tcPr>
            <w:tcW w:w="3100" w:type="dxa"/>
            <w:tcBorders>
              <w:top w:val="nil"/>
            </w:tcBorders>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Pierres</w:t>
            </w:r>
            <w:r w:rsidR="009E3379">
              <w:rPr>
                <w:sz w:val="18"/>
                <w:lang w:val="fr-FR"/>
              </w:rPr>
              <w:t xml:space="preserve"> </w:t>
            </w:r>
            <w:r w:rsidRPr="00816D45">
              <w:rPr>
                <w:sz w:val="18"/>
                <w:lang w:val="fr-FR"/>
              </w:rPr>
              <w:br/>
              <w:t>(maille carrée du tamis &gt; 2 mm)</w:t>
            </w:r>
          </w:p>
        </w:tc>
        <w:tc>
          <w:tcPr>
            <w:tcW w:w="1629" w:type="dxa"/>
            <w:tcBorders>
              <w:top w:val="nil"/>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47,6 %</w:t>
            </w:r>
          </w:p>
        </w:tc>
        <w:tc>
          <w:tcPr>
            <w:tcW w:w="1629" w:type="dxa"/>
            <w:tcBorders>
              <w:top w:val="nil"/>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50,5 %</w:t>
            </w:r>
          </w:p>
        </w:tc>
        <w:tc>
          <w:tcPr>
            <w:tcW w:w="1012" w:type="dxa"/>
            <w:tcBorders>
              <w:top w:val="nil"/>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sym w:font="Symbol" w:char="F0B1"/>
            </w:r>
            <w:r w:rsidRPr="00816D45">
              <w:rPr>
                <w:sz w:val="18"/>
                <w:lang w:val="fr-FR"/>
              </w:rPr>
              <w:t>5</w:t>
            </w:r>
          </w:p>
        </w:tc>
      </w:tr>
      <w:tr w:rsidR="0059421C" w:rsidRPr="00816D45" w:rsidTr="009E3379">
        <w:tc>
          <w:tcPr>
            <w:tcW w:w="3100" w:type="dxa"/>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Sable</w:t>
            </w:r>
            <w:r w:rsidR="009E3379">
              <w:rPr>
                <w:sz w:val="18"/>
                <w:lang w:val="fr-FR"/>
              </w:rPr>
              <w:t xml:space="preserve"> </w:t>
            </w:r>
            <w:r w:rsidRPr="00816D45">
              <w:rPr>
                <w:sz w:val="18"/>
                <w:lang w:val="fr-FR"/>
              </w:rPr>
              <w:br/>
              <w:t>(0,063 &lt; maille carrée &lt; 2 mm)</w:t>
            </w:r>
          </w:p>
        </w:tc>
        <w:tc>
          <w:tcPr>
            <w:tcW w:w="1629"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38,0 %</w:t>
            </w:r>
          </w:p>
        </w:tc>
        <w:tc>
          <w:tcPr>
            <w:tcW w:w="1629"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40,2 %</w:t>
            </w:r>
          </w:p>
        </w:tc>
        <w:tc>
          <w:tcPr>
            <w:tcW w:w="1012"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sym w:font="Symbol" w:char="F0B1"/>
            </w:r>
            <w:r w:rsidRPr="00816D45">
              <w:rPr>
                <w:sz w:val="18"/>
                <w:lang w:val="fr-FR"/>
              </w:rPr>
              <w:t>5</w:t>
            </w:r>
          </w:p>
        </w:tc>
      </w:tr>
      <w:tr w:rsidR="0059421C" w:rsidRPr="00816D45" w:rsidTr="009E3379">
        <w:tc>
          <w:tcPr>
            <w:tcW w:w="3100" w:type="dxa"/>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Matière de charge</w:t>
            </w:r>
            <w:r w:rsidR="009E3379">
              <w:rPr>
                <w:sz w:val="18"/>
                <w:lang w:val="fr-FR"/>
              </w:rPr>
              <w:t xml:space="preserve"> </w:t>
            </w:r>
            <w:r w:rsidRPr="00816D45">
              <w:rPr>
                <w:sz w:val="18"/>
                <w:lang w:val="fr-FR"/>
              </w:rPr>
              <w:br/>
              <w:t>(maille carrée &lt; 0,063 mm)</w:t>
            </w:r>
          </w:p>
        </w:tc>
        <w:tc>
          <w:tcPr>
            <w:tcW w:w="1629"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8,8 %</w:t>
            </w:r>
          </w:p>
        </w:tc>
        <w:tc>
          <w:tcPr>
            <w:tcW w:w="1629"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9,3 %</w:t>
            </w:r>
          </w:p>
        </w:tc>
        <w:tc>
          <w:tcPr>
            <w:tcW w:w="1012"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sym w:font="Symbol" w:char="F0B1"/>
            </w:r>
            <w:r w:rsidRPr="00816D45">
              <w:rPr>
                <w:sz w:val="18"/>
                <w:lang w:val="fr-FR"/>
              </w:rPr>
              <w:t>2</w:t>
            </w:r>
          </w:p>
        </w:tc>
      </w:tr>
      <w:tr w:rsidR="0059421C" w:rsidRPr="00816D45" w:rsidTr="009E3379">
        <w:tc>
          <w:tcPr>
            <w:tcW w:w="3100" w:type="dxa"/>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Liant (bitume)</w:t>
            </w:r>
          </w:p>
        </w:tc>
        <w:tc>
          <w:tcPr>
            <w:tcW w:w="1629"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5,8 %</w:t>
            </w:r>
          </w:p>
        </w:tc>
        <w:tc>
          <w:tcPr>
            <w:tcW w:w="1629"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N.D.</w:t>
            </w:r>
          </w:p>
        </w:tc>
        <w:tc>
          <w:tcPr>
            <w:tcW w:w="1012"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sym w:font="Symbol" w:char="F0B1"/>
            </w:r>
            <w:r w:rsidRPr="00816D45">
              <w:rPr>
                <w:sz w:val="18"/>
                <w:lang w:val="fr-FR"/>
              </w:rPr>
              <w:t>0,5</w:t>
            </w:r>
          </w:p>
        </w:tc>
      </w:tr>
      <w:tr w:rsidR="0059421C" w:rsidRPr="00816D45" w:rsidTr="009E3379">
        <w:tc>
          <w:tcPr>
            <w:tcW w:w="3100" w:type="dxa"/>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Dimension maximale des gravillons</w:t>
            </w:r>
          </w:p>
        </w:tc>
        <w:tc>
          <w:tcPr>
            <w:tcW w:w="3258" w:type="dxa"/>
            <w:gridSpan w:val="2"/>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8 mm</w:t>
            </w:r>
          </w:p>
        </w:tc>
        <w:tc>
          <w:tcPr>
            <w:tcW w:w="1012" w:type="dxa"/>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6,3 - 10</w:t>
            </w:r>
          </w:p>
        </w:tc>
      </w:tr>
      <w:tr w:rsidR="0059421C" w:rsidRPr="00816D45" w:rsidTr="009E3379">
        <w:tc>
          <w:tcPr>
            <w:tcW w:w="3100" w:type="dxa"/>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Dureté du liant</w:t>
            </w:r>
          </w:p>
        </w:tc>
        <w:tc>
          <w:tcPr>
            <w:tcW w:w="3258" w:type="dxa"/>
            <w:gridSpan w:val="2"/>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(voir le paragraphe 3.2.2 f))</w:t>
            </w:r>
          </w:p>
        </w:tc>
        <w:tc>
          <w:tcPr>
            <w:tcW w:w="1012" w:type="dxa"/>
            <w:shd w:val="clear" w:color="auto" w:fill="auto"/>
            <w:vAlign w:val="bottom"/>
          </w:tcPr>
          <w:p w:rsidR="0059421C" w:rsidRPr="00816D45" w:rsidRDefault="001D37F3" w:rsidP="009E3379">
            <w:pPr>
              <w:suppressAutoHyphens w:val="0"/>
              <w:spacing w:before="40" w:after="40" w:line="220" w:lineRule="exact"/>
              <w:ind w:left="57" w:right="57"/>
              <w:jc w:val="right"/>
              <w:rPr>
                <w:sz w:val="18"/>
                <w:lang w:val="fr-FR"/>
              </w:rPr>
            </w:pPr>
            <w:r>
              <w:rPr>
                <w:sz w:val="18"/>
                <w:lang w:val="fr-FR"/>
              </w:rPr>
              <w:t>-</w:t>
            </w:r>
          </w:p>
        </w:tc>
      </w:tr>
      <w:tr w:rsidR="0059421C" w:rsidRPr="00816D45" w:rsidTr="00BD14D6">
        <w:tc>
          <w:tcPr>
            <w:tcW w:w="3100" w:type="dxa"/>
            <w:tcBorders>
              <w:bottom w:val="single" w:sz="4" w:space="0" w:color="auto"/>
            </w:tcBorders>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Coefficient de polissage accéléré (CPA)</w:t>
            </w:r>
          </w:p>
        </w:tc>
        <w:tc>
          <w:tcPr>
            <w:tcW w:w="3258" w:type="dxa"/>
            <w:gridSpan w:val="2"/>
            <w:tcBorders>
              <w:bottom w:val="single" w:sz="4" w:space="0" w:color="auto"/>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&gt;</w:t>
            </w:r>
            <w:r w:rsidR="00BD14D6">
              <w:rPr>
                <w:sz w:val="18"/>
                <w:lang w:val="fr-FR"/>
              </w:rPr>
              <w:t xml:space="preserve"> </w:t>
            </w:r>
            <w:r w:rsidRPr="00816D45">
              <w:rPr>
                <w:sz w:val="18"/>
                <w:lang w:val="fr-FR"/>
              </w:rPr>
              <w:t>50</w:t>
            </w:r>
          </w:p>
        </w:tc>
        <w:tc>
          <w:tcPr>
            <w:tcW w:w="1012" w:type="dxa"/>
            <w:tcBorders>
              <w:bottom w:val="single" w:sz="4" w:space="0" w:color="auto"/>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w:t>
            </w:r>
          </w:p>
        </w:tc>
      </w:tr>
      <w:tr w:rsidR="0059421C" w:rsidRPr="00816D45" w:rsidTr="00BD14D6">
        <w:tc>
          <w:tcPr>
            <w:tcW w:w="3100" w:type="dxa"/>
            <w:tcBorders>
              <w:bottom w:val="single" w:sz="12" w:space="0" w:color="auto"/>
            </w:tcBorders>
            <w:shd w:val="clear" w:color="auto" w:fill="auto"/>
          </w:tcPr>
          <w:p w:rsidR="0059421C" w:rsidRPr="00816D45" w:rsidRDefault="0059421C" w:rsidP="009E3379">
            <w:pPr>
              <w:suppressAutoHyphens w:val="0"/>
              <w:spacing w:before="40" w:after="40" w:line="220" w:lineRule="exact"/>
              <w:ind w:left="57" w:right="57"/>
              <w:rPr>
                <w:bCs/>
                <w:sz w:val="18"/>
                <w:lang w:val="fr-FR"/>
              </w:rPr>
            </w:pPr>
            <w:r w:rsidRPr="00816D45">
              <w:rPr>
                <w:sz w:val="18"/>
                <w:lang w:val="fr-FR"/>
              </w:rPr>
              <w:t>Compacité (essai Marshall)</w:t>
            </w:r>
          </w:p>
        </w:tc>
        <w:tc>
          <w:tcPr>
            <w:tcW w:w="3258" w:type="dxa"/>
            <w:gridSpan w:val="2"/>
            <w:tcBorders>
              <w:bottom w:val="single" w:sz="12" w:space="0" w:color="auto"/>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98 %</w:t>
            </w:r>
          </w:p>
        </w:tc>
        <w:tc>
          <w:tcPr>
            <w:tcW w:w="1012" w:type="dxa"/>
            <w:tcBorders>
              <w:bottom w:val="single" w:sz="12" w:space="0" w:color="auto"/>
            </w:tcBorders>
            <w:shd w:val="clear" w:color="auto" w:fill="auto"/>
            <w:vAlign w:val="bottom"/>
          </w:tcPr>
          <w:p w:rsidR="0059421C" w:rsidRPr="00816D45" w:rsidRDefault="0059421C" w:rsidP="009E3379">
            <w:pPr>
              <w:suppressAutoHyphens w:val="0"/>
              <w:spacing w:before="40" w:after="40" w:line="220" w:lineRule="exact"/>
              <w:ind w:left="57" w:right="57"/>
              <w:jc w:val="right"/>
              <w:rPr>
                <w:sz w:val="18"/>
                <w:lang w:val="fr-FR"/>
              </w:rPr>
            </w:pPr>
            <w:r w:rsidRPr="00816D45">
              <w:rPr>
                <w:sz w:val="18"/>
                <w:lang w:val="fr-FR"/>
              </w:rPr>
              <w:t>-</w:t>
            </w:r>
          </w:p>
        </w:tc>
      </w:tr>
    </w:tbl>
    <w:p w:rsidR="009D3B56" w:rsidRPr="009D3B56" w:rsidRDefault="009D3B56" w:rsidP="009E3379">
      <w:pPr>
        <w:pStyle w:val="SingleTxtG"/>
        <w:keepNext/>
        <w:keepLines/>
        <w:spacing w:before="240"/>
        <w:ind w:left="2268" w:hanging="1134"/>
        <w:rPr>
          <w:lang w:val="fr-FR"/>
        </w:rPr>
      </w:pPr>
      <w:r w:rsidRPr="009D3B56">
        <w:rPr>
          <w:lang w:val="fr-FR"/>
        </w:rPr>
        <w:t>4.</w:t>
      </w:r>
      <w:r w:rsidRPr="009D3B56">
        <w:rPr>
          <w:lang w:val="fr-FR"/>
        </w:rPr>
        <w:tab/>
        <w:t>Méthode de contrôle</w:t>
      </w:r>
    </w:p>
    <w:p w:rsidR="009D3B56" w:rsidRPr="009D3B56" w:rsidRDefault="009D3B56" w:rsidP="009E3379">
      <w:pPr>
        <w:pStyle w:val="SingleTxtG"/>
        <w:keepNext/>
        <w:keepLines/>
        <w:ind w:left="2268" w:hanging="1134"/>
        <w:rPr>
          <w:lang w:val="fr-FR"/>
        </w:rPr>
      </w:pPr>
      <w:r w:rsidRPr="009D3B56">
        <w:rPr>
          <w:lang w:val="fr-FR"/>
        </w:rPr>
        <w:t>4.1</w:t>
      </w:r>
      <w:r w:rsidRPr="009D3B56">
        <w:rPr>
          <w:lang w:val="fr-FR"/>
        </w:rPr>
        <w:tab/>
        <w:t>Mesure de l’indice de vides</w:t>
      </w:r>
    </w:p>
    <w:p w:rsidR="009D3B56" w:rsidRPr="009D3B56" w:rsidRDefault="009D3B56" w:rsidP="009E3379">
      <w:pPr>
        <w:pStyle w:val="SingleTxtG"/>
        <w:ind w:left="2268"/>
        <w:rPr>
          <w:lang w:val="fr-FR"/>
        </w:rPr>
      </w:pPr>
      <w:r w:rsidRPr="009D3B56">
        <w:rPr>
          <w:lang w:val="fr-FR"/>
        </w:rPr>
        <w:t>Pour cette mesure, des carottes doivent être prélevées en au moins quatre points également répartis sur l’aire d’essai entre les lignes AA et BB (voir fig. 1). Pour ne pas nuire à l’homogénéité et à la régularité du revêtement sur le trajet des roues, les carottes ne devraient pas être prélevées à cet endroit mais à côté. Deux carottes au minimum devraient être prélevées à côté du trajet des roues et une carotte (au minimum) à mi-chemin environ entre celui</w:t>
      </w:r>
      <w:r w:rsidR="00593749">
        <w:rPr>
          <w:lang w:val="fr-FR"/>
        </w:rPr>
        <w:noBreakHyphen/>
      </w:r>
      <w:r w:rsidRPr="009D3B56">
        <w:rPr>
          <w:lang w:val="fr-FR"/>
        </w:rPr>
        <w:t>ci et le (les) microphone(s).</w:t>
      </w:r>
    </w:p>
    <w:p w:rsidR="009D3B56" w:rsidRPr="009D3B56" w:rsidRDefault="009D3B56" w:rsidP="009E3379">
      <w:pPr>
        <w:pStyle w:val="SingleTxtG"/>
        <w:ind w:left="2268"/>
        <w:rPr>
          <w:lang w:val="fr-FR"/>
        </w:rPr>
      </w:pPr>
      <w:r w:rsidRPr="009D3B56">
        <w:rPr>
          <w:lang w:val="fr-FR"/>
        </w:rPr>
        <w:t>En cas de doute sur l’homogénéité du</w:t>
      </w:r>
      <w:r w:rsidR="00593749">
        <w:rPr>
          <w:lang w:val="fr-FR"/>
        </w:rPr>
        <w:t xml:space="preserve"> revêtement (voir le paragraphe </w:t>
      </w:r>
      <w:r w:rsidRPr="009D3B56">
        <w:rPr>
          <w:lang w:val="fr-FR"/>
        </w:rPr>
        <w:t xml:space="preserve">2.4 de la présente annexe), des carottes supplémentaires doivent être prélevées en d’autres points de la piste d’essai. L’indice de vides est déterminé pour chaque carotte, après quoi on calcule la moyenne pour s’assurer qu’elle est conforme </w:t>
      </w:r>
      <w:r w:rsidR="00593749">
        <w:rPr>
          <w:lang w:val="fr-FR"/>
        </w:rPr>
        <w:t>aux prescriptions du paragraphe </w:t>
      </w:r>
      <w:r w:rsidRPr="009D3B56">
        <w:rPr>
          <w:lang w:val="fr-FR"/>
        </w:rPr>
        <w:t>2.1 de la présente annexe. Une prescription additionnelle est qu’aucune carotte ne doit avoir un indice de vides supérieur à 10 %. Il faut rappeler au constructeur du revêtement le problème que peut poser pour le carottage la présence dans le sol de tuyaux de chauffage ou de fils électriques. Les plans des installations de cette nature doivent être soigneusement établis pour tenir compte des endroits où seront prélevées les carottes. Il est recommandé de prévoi</w:t>
      </w:r>
      <w:r w:rsidR="00593749">
        <w:rPr>
          <w:lang w:val="fr-FR"/>
        </w:rPr>
        <w:t>r plusieurs zones d’environ 200 </w:t>
      </w:r>
      <w:r w:rsidRPr="009D3B56">
        <w:rPr>
          <w:lang w:val="fr-FR"/>
        </w:rPr>
        <w:t>x</w:t>
      </w:r>
      <w:r w:rsidR="00593749">
        <w:rPr>
          <w:lang w:val="fr-FR"/>
        </w:rPr>
        <w:t> </w:t>
      </w:r>
      <w:r w:rsidRPr="009D3B56">
        <w:rPr>
          <w:lang w:val="fr-FR"/>
        </w:rPr>
        <w:t>300 mm où ne passeront ni tuyaux de chauffage ni fils électriques, ou alors de placer ceux-ci à une profondeur les mettant à l’abri du carottage.</w:t>
      </w:r>
    </w:p>
    <w:p w:rsidR="009D3B56" w:rsidRPr="009D3B56" w:rsidRDefault="009D3B56" w:rsidP="009E3379">
      <w:pPr>
        <w:pStyle w:val="SingleTxtG"/>
        <w:keepNext/>
        <w:keepLines/>
        <w:ind w:left="2268" w:hanging="1134"/>
        <w:rPr>
          <w:lang w:val="fr-FR"/>
        </w:rPr>
      </w:pPr>
      <w:r w:rsidRPr="009D3B56">
        <w:rPr>
          <w:lang w:val="fr-FR"/>
        </w:rPr>
        <w:t>4.2</w:t>
      </w:r>
      <w:r w:rsidRPr="009D3B56">
        <w:rPr>
          <w:lang w:val="fr-FR"/>
        </w:rPr>
        <w:tab/>
        <w:t>Coefficient d’absorption acoustique</w:t>
      </w:r>
    </w:p>
    <w:p w:rsidR="009D3B56" w:rsidRPr="009D3B56" w:rsidRDefault="009D3B56" w:rsidP="009E3379">
      <w:pPr>
        <w:pStyle w:val="SingleTxtG"/>
        <w:ind w:left="2268"/>
        <w:rPr>
          <w:lang w:val="fr-FR"/>
        </w:rPr>
      </w:pPr>
      <w:r w:rsidRPr="009D3B56">
        <w:rPr>
          <w:lang w:val="fr-FR"/>
        </w:rPr>
        <w:t>Le coefficient d’absorption acoustique (incidence normale) doit être mesuré par la méthode du tube d’impédance selon la procédure définie dans la norme ISO/DIS</w:t>
      </w:r>
      <w:r w:rsidR="001D37F3">
        <w:rPr>
          <w:lang w:val="fr-FR"/>
        </w:rPr>
        <w:t> </w:t>
      </w:r>
      <w:r w:rsidRPr="009D3B56">
        <w:rPr>
          <w:lang w:val="fr-FR"/>
        </w:rPr>
        <w:t xml:space="preserve">10534:1994 </w:t>
      </w:r>
      <w:r w:rsidRPr="009D3B56">
        <w:t>“</w:t>
      </w:r>
      <w:r w:rsidRPr="009D3B56">
        <w:rPr>
          <w:i/>
          <w:lang w:val="fr-FR"/>
        </w:rPr>
        <w:t xml:space="preserve">Acoustique </w:t>
      </w:r>
      <w:r w:rsidR="00593749">
        <w:rPr>
          <w:i/>
          <w:lang w:val="fr-FR"/>
        </w:rPr>
        <w:t>–</w:t>
      </w:r>
      <w:r w:rsidRPr="009D3B56">
        <w:rPr>
          <w:i/>
          <w:lang w:val="fr-FR"/>
        </w:rPr>
        <w:t> Détermination du facteur d’absorption acoustique et de l’impédance des tubes d’impédance</w:t>
      </w:r>
      <w:r w:rsidRPr="009D3B56">
        <w:t>”</w:t>
      </w:r>
      <w:r w:rsidRPr="009D3B56">
        <w:rPr>
          <w:lang w:val="fr-FR"/>
        </w:rPr>
        <w:t>.</w:t>
      </w:r>
    </w:p>
    <w:p w:rsidR="009D3B56" w:rsidRPr="009D3B56" w:rsidRDefault="009D3B56" w:rsidP="009E3379">
      <w:pPr>
        <w:pStyle w:val="SingleTxtG"/>
        <w:ind w:left="2268"/>
        <w:rPr>
          <w:lang w:val="fr-FR"/>
        </w:rPr>
      </w:pPr>
      <w:r w:rsidRPr="009D3B56">
        <w:rPr>
          <w:lang w:val="fr-FR"/>
        </w:rPr>
        <w:t>En ce qui concerne les éprouvettes, les mêmes prescriptions doivent être satisfaites pour l’indi</w:t>
      </w:r>
      <w:r w:rsidR="00593749">
        <w:rPr>
          <w:lang w:val="fr-FR"/>
        </w:rPr>
        <w:t>ce de vides (voir le paragraphe </w:t>
      </w:r>
      <w:r w:rsidRPr="009D3B56">
        <w:rPr>
          <w:lang w:val="fr-FR"/>
        </w:rPr>
        <w:t>4.1 ci-dessus).</w:t>
      </w:r>
    </w:p>
    <w:p w:rsidR="009D3B56" w:rsidRPr="009D3B56" w:rsidRDefault="009D3B56" w:rsidP="009E3379">
      <w:pPr>
        <w:pStyle w:val="SingleTxtG"/>
        <w:ind w:left="2268"/>
        <w:rPr>
          <w:lang w:val="fr-FR"/>
        </w:rPr>
      </w:pPr>
      <w:r w:rsidRPr="009D3B56">
        <w:rPr>
          <w:lang w:val="fr-FR"/>
        </w:rPr>
        <w:t>L’absorption acoustique doit être mesurée dans les plages comprises entre</w:t>
      </w:r>
      <w:r w:rsidR="00593749">
        <w:rPr>
          <w:lang w:val="fr-FR"/>
        </w:rPr>
        <w:t> </w:t>
      </w:r>
      <w:r w:rsidR="001D37F3">
        <w:rPr>
          <w:lang w:val="fr-FR"/>
        </w:rPr>
        <w:t>400 et 800 Hz et entre </w:t>
      </w:r>
      <w:r w:rsidRPr="009D3B56">
        <w:rPr>
          <w:lang w:val="fr-FR"/>
        </w:rPr>
        <w:t>800 et 1 600 Hz (au moins aux fréquences centrales des bandes de tiers d’octave), et les valeurs maximales déterminées pour ces deux plages de fréquence.</w:t>
      </w:r>
    </w:p>
    <w:p w:rsidR="009D3B56" w:rsidRPr="009D3B56" w:rsidRDefault="009D3B56" w:rsidP="009E3379">
      <w:pPr>
        <w:pStyle w:val="SingleTxtG"/>
        <w:ind w:left="2268"/>
        <w:rPr>
          <w:lang w:val="fr-FR"/>
        </w:rPr>
      </w:pPr>
      <w:r w:rsidRPr="009D3B56">
        <w:rPr>
          <w:lang w:val="fr-FR"/>
        </w:rPr>
        <w:t>On fera ensuite la moyenne de ces valeurs, pour toutes les carottes d’essai, pour obtenir le résultat final.</w:t>
      </w:r>
    </w:p>
    <w:p w:rsidR="009D3B56" w:rsidRPr="009D3B56" w:rsidRDefault="009D3B56" w:rsidP="009E3379">
      <w:pPr>
        <w:pStyle w:val="SingleTxtG"/>
        <w:keepNext/>
        <w:keepLines/>
        <w:ind w:left="2268" w:hanging="1134"/>
        <w:rPr>
          <w:lang w:val="fr-FR"/>
        </w:rPr>
      </w:pPr>
      <w:r w:rsidRPr="009D3B56">
        <w:rPr>
          <w:lang w:val="fr-FR"/>
        </w:rPr>
        <w:t>4.3</w:t>
      </w:r>
      <w:r w:rsidRPr="009D3B56">
        <w:rPr>
          <w:lang w:val="fr-FR"/>
        </w:rPr>
        <w:tab/>
        <w:t>Mesure volumétrique de la profondeur de texture</w:t>
      </w:r>
    </w:p>
    <w:p w:rsidR="009D3B56" w:rsidRPr="009D3B56" w:rsidRDefault="009D3B56" w:rsidP="009E3379">
      <w:pPr>
        <w:pStyle w:val="SingleTxtG"/>
        <w:ind w:left="2268"/>
        <w:rPr>
          <w:lang w:val="fr-FR"/>
        </w:rPr>
      </w:pPr>
      <w:r w:rsidRPr="009D3B56">
        <w:rPr>
          <w:lang w:val="fr-FR"/>
        </w:rPr>
        <w:t>Aux fins du présent Règlement, la profondeur de texture doit être mesurée en 10 points au moins, régulièrement répartis le long du trajet des roues, la valeur moyenne étant retenue pour être comparée à la valeur minima</w:t>
      </w:r>
      <w:r w:rsidR="00593749">
        <w:rPr>
          <w:lang w:val="fr-FR"/>
        </w:rPr>
        <w:t>le prescrite. Voir la norme ISO </w:t>
      </w:r>
      <w:r w:rsidRPr="009D3B56">
        <w:rPr>
          <w:lang w:val="fr-FR"/>
        </w:rPr>
        <w:t>10844:1994 pour la description de la procédure.</w:t>
      </w:r>
    </w:p>
    <w:p w:rsidR="009D3B56" w:rsidRPr="009D3B56" w:rsidRDefault="009D3B56" w:rsidP="009E3379">
      <w:pPr>
        <w:pStyle w:val="SingleTxtG"/>
        <w:keepNext/>
        <w:keepLines/>
        <w:ind w:left="2268" w:hanging="1134"/>
        <w:rPr>
          <w:lang w:val="fr-FR"/>
        </w:rPr>
      </w:pPr>
      <w:r w:rsidRPr="009D3B56">
        <w:rPr>
          <w:lang w:val="fr-FR"/>
        </w:rPr>
        <w:t>5.</w:t>
      </w:r>
      <w:r w:rsidRPr="009D3B56">
        <w:rPr>
          <w:lang w:val="fr-FR"/>
        </w:rPr>
        <w:tab/>
        <w:t>Stabilité dans le temps et entretien</w:t>
      </w:r>
    </w:p>
    <w:p w:rsidR="009D3B56" w:rsidRPr="009D3B56" w:rsidRDefault="009D3B56" w:rsidP="009E3379">
      <w:pPr>
        <w:pStyle w:val="SingleTxtG"/>
        <w:keepNext/>
        <w:keepLines/>
        <w:ind w:left="2268" w:hanging="1134"/>
        <w:rPr>
          <w:lang w:val="fr-FR"/>
        </w:rPr>
      </w:pPr>
      <w:r w:rsidRPr="009D3B56">
        <w:rPr>
          <w:lang w:val="fr-FR"/>
        </w:rPr>
        <w:t>5.1</w:t>
      </w:r>
      <w:r w:rsidRPr="009D3B56">
        <w:rPr>
          <w:lang w:val="fr-FR"/>
        </w:rPr>
        <w:tab/>
        <w:t>Vieillissement</w:t>
      </w:r>
    </w:p>
    <w:p w:rsidR="009D3B56" w:rsidRPr="009D3B56" w:rsidRDefault="009D3B56" w:rsidP="009E3379">
      <w:pPr>
        <w:pStyle w:val="SingleTxtG"/>
        <w:ind w:left="2268"/>
        <w:rPr>
          <w:lang w:val="fr-FR"/>
        </w:rPr>
      </w:pPr>
      <w:r w:rsidRPr="009D3B56">
        <w:rPr>
          <w:lang w:val="fr-FR"/>
        </w:rPr>
        <w:t>Comme pour tout autre revêtement, il est à prévoir que les niveaux</w:t>
      </w:r>
      <w:r w:rsidR="00081AA8">
        <w:rPr>
          <w:lang w:val="fr-FR"/>
        </w:rPr>
        <w:t xml:space="preserve"> </w:t>
      </w:r>
      <w:r w:rsidRPr="009D3B56">
        <w:rPr>
          <w:lang w:val="fr-FR"/>
        </w:rPr>
        <w:t>des émissions sonores</w:t>
      </w:r>
      <w:r w:rsidRPr="009D3B56">
        <w:rPr>
          <w:b/>
          <w:lang w:val="fr-FR"/>
        </w:rPr>
        <w:t xml:space="preserve"> </w:t>
      </w:r>
      <w:r w:rsidRPr="009D3B56">
        <w:rPr>
          <w:lang w:val="fr-FR"/>
        </w:rPr>
        <w:t>de roulement sur le revêtement d’essai augmenteront légèrement pendant les six ou douze premiers mois.</w:t>
      </w:r>
    </w:p>
    <w:p w:rsidR="009D3B56" w:rsidRPr="009D3B56" w:rsidRDefault="009D3B56" w:rsidP="009E3379">
      <w:pPr>
        <w:pStyle w:val="SingleTxtG"/>
        <w:ind w:left="2268"/>
        <w:rPr>
          <w:lang w:val="fr-FR"/>
        </w:rPr>
      </w:pPr>
      <w:r w:rsidRPr="009D3B56">
        <w:rPr>
          <w:lang w:val="fr-FR"/>
        </w:rPr>
        <w:t>Le revêtement ne présentera les caractéristiques requises qu’après quatre semaines au moins à partir de sa construction.</w:t>
      </w:r>
    </w:p>
    <w:p w:rsidR="009D3B56" w:rsidRPr="009D3B56" w:rsidRDefault="009D3B56" w:rsidP="009E3379">
      <w:pPr>
        <w:pStyle w:val="SingleTxtG"/>
        <w:ind w:left="2268"/>
        <w:rPr>
          <w:lang w:val="fr-FR"/>
        </w:rPr>
      </w:pPr>
      <w:r w:rsidRPr="009D3B56">
        <w:rPr>
          <w:lang w:val="fr-FR"/>
        </w:rPr>
        <w:t>La stabilité dans le temps dépend essentiellement de l’effet de polissage et de compactage dû au passage des véhicules. Elle doit être vérifiée périodiqueme</w:t>
      </w:r>
      <w:r w:rsidR="00593749">
        <w:rPr>
          <w:lang w:val="fr-FR"/>
        </w:rPr>
        <w:t>nt comme prescrit au paragraphe </w:t>
      </w:r>
      <w:r w:rsidRPr="009D3B56">
        <w:rPr>
          <w:lang w:val="fr-FR"/>
        </w:rPr>
        <w:t>2.5 de la présente annexe.</w:t>
      </w:r>
    </w:p>
    <w:p w:rsidR="009D3B56" w:rsidRPr="009D3B56" w:rsidRDefault="009D3B56" w:rsidP="009E3379">
      <w:pPr>
        <w:pStyle w:val="SingleTxtG"/>
        <w:keepNext/>
        <w:keepLines/>
        <w:ind w:left="2268" w:hanging="1134"/>
        <w:rPr>
          <w:lang w:val="fr-FR"/>
        </w:rPr>
      </w:pPr>
      <w:r w:rsidRPr="009D3B56">
        <w:rPr>
          <w:lang w:val="fr-FR"/>
        </w:rPr>
        <w:t>5.2</w:t>
      </w:r>
      <w:r w:rsidRPr="009D3B56">
        <w:rPr>
          <w:lang w:val="fr-FR"/>
        </w:rPr>
        <w:tab/>
        <w:t>Entretien du revêtement</w:t>
      </w:r>
    </w:p>
    <w:p w:rsidR="009D3B56" w:rsidRPr="009D3B56" w:rsidRDefault="009D3B56" w:rsidP="009E3379">
      <w:pPr>
        <w:pStyle w:val="SingleTxtG"/>
        <w:ind w:left="2268"/>
        <w:rPr>
          <w:lang w:val="fr-FR"/>
        </w:rPr>
      </w:pPr>
      <w:r w:rsidRPr="009D3B56">
        <w:rPr>
          <w:lang w:val="fr-FR"/>
        </w:rPr>
        <w:t>Le revêtement doit être balayé de tous débris ou poussières susceptibles de diminuer de façon significative la profondeur de texture effective. Dans les pays où les hivers sont froids, le sel parfois utilisé pour le déneigement peut altérer la qualité du revêtement temporairement, voire de manière permanente, et le rendre plus bruyant. Le salage n’est donc pas recommandé.</w:t>
      </w:r>
    </w:p>
    <w:p w:rsidR="009D3B56" w:rsidRPr="009D3B56" w:rsidRDefault="009D3B56" w:rsidP="009E3379">
      <w:pPr>
        <w:pStyle w:val="SingleTxtG"/>
        <w:keepNext/>
        <w:keepLines/>
        <w:ind w:left="2268" w:hanging="1134"/>
        <w:rPr>
          <w:lang w:val="fr-FR"/>
        </w:rPr>
      </w:pPr>
      <w:r w:rsidRPr="009D3B56">
        <w:rPr>
          <w:lang w:val="fr-FR"/>
        </w:rPr>
        <w:t>5.3</w:t>
      </w:r>
      <w:r w:rsidRPr="009D3B56">
        <w:rPr>
          <w:lang w:val="fr-FR"/>
        </w:rPr>
        <w:tab/>
        <w:t>Réfection de la piste d’essai</w:t>
      </w:r>
    </w:p>
    <w:p w:rsidR="009D3B56" w:rsidRPr="009D3B56" w:rsidRDefault="009D3B56" w:rsidP="009E3379">
      <w:pPr>
        <w:pStyle w:val="SingleTxtG"/>
        <w:ind w:left="2268"/>
        <w:rPr>
          <w:lang w:val="fr-FR"/>
        </w:rPr>
      </w:pPr>
      <w:r w:rsidRPr="009D3B56">
        <w:rPr>
          <w:lang w:val="fr-FR"/>
        </w:rPr>
        <w:t>En cas de réfection, il suffit généralement de refaire la bande de revêtement de la piste d’essai (d’une largeur de 3 m sur la figure 1) empruntée par les véhicules, à condition que le reste de l’aire d’essai ait satisfait à la prescription relative à l’indice de vides ou à l’absorption acoustique lors de son mesurage.</w:t>
      </w:r>
    </w:p>
    <w:p w:rsidR="009D3B56" w:rsidRPr="009D3B56" w:rsidRDefault="009D3B56" w:rsidP="009E3379">
      <w:pPr>
        <w:pStyle w:val="SingleTxtG"/>
        <w:keepNext/>
        <w:keepLines/>
        <w:ind w:left="2268" w:hanging="1134"/>
        <w:rPr>
          <w:lang w:val="fr-FR"/>
        </w:rPr>
      </w:pPr>
      <w:r w:rsidRPr="009D3B56">
        <w:rPr>
          <w:lang w:val="fr-FR"/>
        </w:rPr>
        <w:t>6.</w:t>
      </w:r>
      <w:r w:rsidRPr="009D3B56">
        <w:rPr>
          <w:lang w:val="fr-FR"/>
        </w:rPr>
        <w:tab/>
        <w:t>Documentation concernant le revêtement d’essai et les contrôles effectués sur celui-ci</w:t>
      </w:r>
    </w:p>
    <w:p w:rsidR="009D3B56" w:rsidRPr="009D3B56" w:rsidRDefault="009D3B56" w:rsidP="009E3379">
      <w:pPr>
        <w:pStyle w:val="SingleTxtG"/>
        <w:keepNext/>
        <w:keepLines/>
        <w:ind w:left="2268" w:hanging="1134"/>
        <w:rPr>
          <w:lang w:val="fr-FR"/>
        </w:rPr>
      </w:pPr>
      <w:r w:rsidRPr="009D3B56">
        <w:rPr>
          <w:lang w:val="fr-FR"/>
        </w:rPr>
        <w:t>6.1</w:t>
      </w:r>
      <w:r w:rsidRPr="009D3B56">
        <w:rPr>
          <w:lang w:val="fr-FR"/>
        </w:rPr>
        <w:tab/>
        <w:t>Document concernant le revêtement</w:t>
      </w:r>
    </w:p>
    <w:p w:rsidR="009D3B56" w:rsidRPr="009D3B56" w:rsidRDefault="009D3B56" w:rsidP="009E3379">
      <w:pPr>
        <w:pStyle w:val="SingleTxtG"/>
        <w:ind w:left="2268"/>
        <w:rPr>
          <w:lang w:val="fr-FR"/>
        </w:rPr>
      </w:pPr>
      <w:r w:rsidRPr="009D3B56">
        <w:rPr>
          <w:lang w:val="fr-FR"/>
        </w:rPr>
        <w:t>Les données suivantes décrivant le revêtement doivent être consignées dans un document :</w:t>
      </w:r>
    </w:p>
    <w:p w:rsidR="009D3B56" w:rsidRPr="009D3B56" w:rsidRDefault="009D3B56" w:rsidP="00593749">
      <w:pPr>
        <w:pStyle w:val="SingleTxtG"/>
        <w:ind w:left="2268" w:hanging="1134"/>
        <w:rPr>
          <w:lang w:val="fr-FR"/>
        </w:rPr>
      </w:pPr>
      <w:r w:rsidRPr="009D3B56">
        <w:rPr>
          <w:lang w:val="fr-FR"/>
        </w:rPr>
        <w:t>6.1.1</w:t>
      </w:r>
      <w:r w:rsidRPr="009D3B56">
        <w:rPr>
          <w:lang w:val="fr-FR"/>
        </w:rPr>
        <w:tab/>
        <w:t>Emplacement de la piste d’essai.</w:t>
      </w:r>
    </w:p>
    <w:p w:rsidR="009D3B56" w:rsidRPr="009D3B56" w:rsidRDefault="009D3B56" w:rsidP="00593749">
      <w:pPr>
        <w:pStyle w:val="SingleTxtG"/>
        <w:ind w:left="2268" w:hanging="1134"/>
        <w:rPr>
          <w:lang w:val="fr-FR"/>
        </w:rPr>
      </w:pPr>
      <w:r w:rsidRPr="009D3B56">
        <w:rPr>
          <w:lang w:val="fr-FR"/>
        </w:rPr>
        <w:t>6.1.2</w:t>
      </w:r>
      <w:r w:rsidRPr="009D3B56">
        <w:rPr>
          <w:lang w:val="fr-FR"/>
        </w:rPr>
        <w:tab/>
        <w:t>Type et dureté du liant, type de granulats, densité théorique maximale du béton (D</w:t>
      </w:r>
      <w:r w:rsidRPr="009D3B56">
        <w:rPr>
          <w:vertAlign w:val="subscript"/>
          <w:lang w:val="fr-FR"/>
        </w:rPr>
        <w:t>R</w:t>
      </w:r>
      <w:r w:rsidRPr="009D3B56">
        <w:rPr>
          <w:lang w:val="fr-FR"/>
        </w:rPr>
        <w:t>), épaisseur de la couche de roulement et courbe granulométrique définie à partir des carottes prélevées sur la piste d’essai.</w:t>
      </w:r>
    </w:p>
    <w:p w:rsidR="009D3B56" w:rsidRPr="009D3B56" w:rsidRDefault="009D3B56" w:rsidP="00593749">
      <w:pPr>
        <w:pStyle w:val="SingleTxtG"/>
        <w:ind w:left="2268" w:hanging="1134"/>
        <w:rPr>
          <w:lang w:val="fr-FR"/>
        </w:rPr>
      </w:pPr>
      <w:r w:rsidRPr="009D3B56">
        <w:rPr>
          <w:lang w:val="fr-FR"/>
        </w:rPr>
        <w:t>6.1.3</w:t>
      </w:r>
      <w:r w:rsidRPr="009D3B56">
        <w:rPr>
          <w:lang w:val="fr-FR"/>
        </w:rPr>
        <w:tab/>
        <w:t>Méthode de compactage (par exemple type de rouleau, masse du rouleau, nombre de passes).</w:t>
      </w:r>
    </w:p>
    <w:p w:rsidR="009D3B56" w:rsidRPr="009D3B56" w:rsidRDefault="009D3B56" w:rsidP="00593749">
      <w:pPr>
        <w:pStyle w:val="SingleTxtG"/>
        <w:ind w:left="2268" w:hanging="1134"/>
        <w:rPr>
          <w:lang w:val="fr-FR"/>
        </w:rPr>
      </w:pPr>
      <w:r w:rsidRPr="009D3B56">
        <w:rPr>
          <w:lang w:val="fr-FR"/>
        </w:rPr>
        <w:t>6.1.4</w:t>
      </w:r>
      <w:r w:rsidRPr="009D3B56">
        <w:rPr>
          <w:lang w:val="fr-FR"/>
        </w:rPr>
        <w:tab/>
        <w:t>Température du mélange, température de l’air ambiant et vitesse du vent pendant la pose du revêtement.</w:t>
      </w:r>
    </w:p>
    <w:p w:rsidR="009D3B56" w:rsidRPr="009D3B56" w:rsidRDefault="009D3B56" w:rsidP="00593749">
      <w:pPr>
        <w:pStyle w:val="SingleTxtG"/>
        <w:ind w:left="2268" w:hanging="1134"/>
        <w:rPr>
          <w:lang w:val="fr-FR"/>
        </w:rPr>
      </w:pPr>
      <w:r w:rsidRPr="009D3B56">
        <w:rPr>
          <w:lang w:val="fr-FR"/>
        </w:rPr>
        <w:t>6.1.5</w:t>
      </w:r>
      <w:r w:rsidRPr="009D3B56">
        <w:rPr>
          <w:lang w:val="fr-FR"/>
        </w:rPr>
        <w:tab/>
        <w:t>Date à laquelle le revêtement a été posé et nom de l’entrepreneur.</w:t>
      </w:r>
    </w:p>
    <w:p w:rsidR="009D3B56" w:rsidRPr="009D3B56" w:rsidRDefault="009D3B56" w:rsidP="00593749">
      <w:pPr>
        <w:pStyle w:val="SingleTxtG"/>
        <w:ind w:left="2268" w:hanging="1134"/>
        <w:rPr>
          <w:lang w:val="fr-FR"/>
        </w:rPr>
      </w:pPr>
      <w:r w:rsidRPr="009D3B56">
        <w:rPr>
          <w:lang w:val="fr-FR"/>
        </w:rPr>
        <w:t>6.1.6</w:t>
      </w:r>
      <w:r w:rsidRPr="009D3B56">
        <w:rPr>
          <w:lang w:val="fr-FR"/>
        </w:rPr>
        <w:tab/>
        <w:t>Résultats de tous les contrôles ou, au minimum, du contrôle le plus récent, et notamment :</w:t>
      </w:r>
    </w:p>
    <w:p w:rsidR="009D3B56" w:rsidRPr="009D3B56" w:rsidRDefault="009D3B56" w:rsidP="00593749">
      <w:pPr>
        <w:pStyle w:val="SingleTxtG"/>
        <w:ind w:left="2268" w:hanging="1134"/>
        <w:rPr>
          <w:lang w:val="fr-FR"/>
        </w:rPr>
      </w:pPr>
      <w:r w:rsidRPr="009D3B56">
        <w:rPr>
          <w:lang w:val="fr-FR"/>
        </w:rPr>
        <w:t>6.1.6.1</w:t>
      </w:r>
      <w:r w:rsidRPr="009D3B56">
        <w:rPr>
          <w:lang w:val="fr-FR"/>
        </w:rPr>
        <w:tab/>
        <w:t>Indi</w:t>
      </w:r>
      <w:r w:rsidR="00A4367C">
        <w:rPr>
          <w:lang w:val="fr-FR"/>
        </w:rPr>
        <w:t>ce de vides pour chaque carotte ;</w:t>
      </w:r>
    </w:p>
    <w:p w:rsidR="009D3B56" w:rsidRPr="009D3B56" w:rsidRDefault="009D3B56" w:rsidP="00593749">
      <w:pPr>
        <w:pStyle w:val="SingleTxtG"/>
        <w:ind w:left="2268" w:hanging="1134"/>
        <w:rPr>
          <w:lang w:val="fr-FR"/>
        </w:rPr>
      </w:pPr>
      <w:r w:rsidRPr="009D3B56">
        <w:rPr>
          <w:lang w:val="fr-FR"/>
        </w:rPr>
        <w:t>6.1.6.2</w:t>
      </w:r>
      <w:r w:rsidRPr="009D3B56">
        <w:rPr>
          <w:lang w:val="fr-FR"/>
        </w:rPr>
        <w:tab/>
        <w:t>Points de la piste d’essai où ont été prélevées les carottes pour l</w:t>
      </w:r>
      <w:r w:rsidR="00A4367C">
        <w:rPr>
          <w:lang w:val="fr-FR"/>
        </w:rPr>
        <w:t>e mesurage de l’indice de vides ;</w:t>
      </w:r>
    </w:p>
    <w:p w:rsidR="009D3B56" w:rsidRPr="009D3B56" w:rsidRDefault="009D3B56" w:rsidP="00593749">
      <w:pPr>
        <w:pStyle w:val="SingleTxtG"/>
        <w:ind w:left="2268" w:hanging="1134"/>
        <w:rPr>
          <w:lang w:val="fr-FR"/>
        </w:rPr>
      </w:pPr>
      <w:r w:rsidRPr="009D3B56">
        <w:rPr>
          <w:lang w:val="fr-FR"/>
        </w:rPr>
        <w:t>6.1.6.3</w:t>
      </w:r>
      <w:r w:rsidRPr="009D3B56">
        <w:rPr>
          <w:lang w:val="fr-FR"/>
        </w:rPr>
        <w:tab/>
        <w:t xml:space="preserve">Coefficient d’absorption acoustique pour chaque carotte (s’il est mesuré). Indiquer les résultats pour chaque carotte et chaque plage de fréquences, ainsi </w:t>
      </w:r>
      <w:r w:rsidR="00A4367C">
        <w:rPr>
          <w:lang w:val="fr-FR"/>
        </w:rPr>
        <w:t>que la moyenne générale ;</w:t>
      </w:r>
    </w:p>
    <w:p w:rsidR="009D3B56" w:rsidRPr="009D3B56" w:rsidRDefault="009D3B56" w:rsidP="00593749">
      <w:pPr>
        <w:pStyle w:val="SingleTxtG"/>
        <w:ind w:left="2268" w:hanging="1134"/>
        <w:rPr>
          <w:lang w:val="fr-FR"/>
        </w:rPr>
      </w:pPr>
      <w:r w:rsidRPr="009D3B56">
        <w:rPr>
          <w:lang w:val="fr-FR"/>
        </w:rPr>
        <w:t>6.1.6.4</w:t>
      </w:r>
      <w:r w:rsidRPr="009D3B56">
        <w:rPr>
          <w:lang w:val="fr-FR"/>
        </w:rPr>
        <w:tab/>
        <w:t>Points de la piste d’essai où ont été prélevées les carottes pour le mesu</w:t>
      </w:r>
      <w:r w:rsidR="00A4367C">
        <w:rPr>
          <w:lang w:val="fr-FR"/>
        </w:rPr>
        <w:t>rage de l’absorption acoustique ;</w:t>
      </w:r>
    </w:p>
    <w:p w:rsidR="009D3B56" w:rsidRPr="009D3B56" w:rsidRDefault="009D3B56" w:rsidP="00593749">
      <w:pPr>
        <w:pStyle w:val="SingleTxtG"/>
        <w:ind w:left="2268" w:hanging="1134"/>
        <w:rPr>
          <w:lang w:val="fr-FR"/>
        </w:rPr>
      </w:pPr>
      <w:r w:rsidRPr="009D3B56">
        <w:rPr>
          <w:lang w:val="fr-FR"/>
        </w:rPr>
        <w:t>6.1.6.5</w:t>
      </w:r>
      <w:r w:rsidRPr="009D3B56">
        <w:rPr>
          <w:lang w:val="fr-FR"/>
        </w:rPr>
        <w:tab/>
        <w:t>Profondeur de texture, y compris le nomb</w:t>
      </w:r>
      <w:r w:rsidR="00A4367C">
        <w:rPr>
          <w:lang w:val="fr-FR"/>
        </w:rPr>
        <w:t>re de contrôles et l’écart type ;</w:t>
      </w:r>
    </w:p>
    <w:p w:rsidR="009D3B56" w:rsidRPr="009D3B56" w:rsidRDefault="009D3B56" w:rsidP="00593749">
      <w:pPr>
        <w:pStyle w:val="SingleTxtG"/>
        <w:ind w:left="2268" w:hanging="1134"/>
        <w:rPr>
          <w:lang w:val="fr-FR"/>
        </w:rPr>
      </w:pPr>
      <w:r w:rsidRPr="009D3B56">
        <w:rPr>
          <w:lang w:val="fr-FR"/>
        </w:rPr>
        <w:t>6.1.6.6</w:t>
      </w:r>
      <w:r w:rsidRPr="009D3B56">
        <w:rPr>
          <w:lang w:val="fr-FR"/>
        </w:rPr>
        <w:tab/>
        <w:t>Établissement responsable des contrôles effectués au titre des paragraphes 6.1.6.1 et 6.1.6.2 ci-des</w:t>
      </w:r>
      <w:r w:rsidR="00A4367C">
        <w:rPr>
          <w:lang w:val="fr-FR"/>
        </w:rPr>
        <w:t>sus et type de matériel utilisé ;</w:t>
      </w:r>
    </w:p>
    <w:p w:rsidR="009D3B56" w:rsidRPr="009D3B56" w:rsidRDefault="009D3B56" w:rsidP="00593749">
      <w:pPr>
        <w:pStyle w:val="SingleTxtG"/>
        <w:ind w:left="2268" w:hanging="1134"/>
        <w:rPr>
          <w:lang w:val="fr-FR"/>
        </w:rPr>
      </w:pPr>
      <w:r w:rsidRPr="009D3B56">
        <w:rPr>
          <w:lang w:val="fr-FR"/>
        </w:rPr>
        <w:t>6.1.6.7</w:t>
      </w:r>
      <w:r w:rsidRPr="009D3B56">
        <w:rPr>
          <w:lang w:val="fr-FR"/>
        </w:rPr>
        <w:tab/>
        <w:t>Date du ou des contrôles et date à laquelle les carottes ont été prélevées sur la piste d’essai.</w:t>
      </w:r>
    </w:p>
    <w:p w:rsidR="009D3B56" w:rsidRPr="009D3B56" w:rsidRDefault="009D3B56" w:rsidP="009E3379">
      <w:pPr>
        <w:pStyle w:val="SingleTxtG"/>
        <w:keepNext/>
        <w:keepLines/>
        <w:ind w:left="2268" w:hanging="1134"/>
        <w:rPr>
          <w:lang w:val="fr-FR"/>
        </w:rPr>
      </w:pPr>
      <w:r w:rsidRPr="009D3B56">
        <w:rPr>
          <w:lang w:val="fr-FR"/>
        </w:rPr>
        <w:t>6.2</w:t>
      </w:r>
      <w:r w:rsidRPr="009D3B56">
        <w:rPr>
          <w:lang w:val="fr-FR"/>
        </w:rPr>
        <w:tab/>
        <w:t>Procès-verbal de contrôle</w:t>
      </w:r>
    </w:p>
    <w:p w:rsidR="0059421C" w:rsidRDefault="009D3B56" w:rsidP="009E3379">
      <w:pPr>
        <w:pStyle w:val="SingleTxtG"/>
        <w:ind w:left="2268"/>
        <w:rPr>
          <w:lang w:val="fr-FR"/>
        </w:rPr>
      </w:pPr>
      <w:r w:rsidRPr="009D3B56">
        <w:rPr>
          <w:lang w:val="fr-FR"/>
        </w:rPr>
        <w:t>Le procès-verbal de contrôle doit indiquer si toutes les prescriptions du présent Règlement ont été satisfaites ou non. Il doit renvoyer au document établi conformément aux disposit</w:t>
      </w:r>
      <w:r w:rsidR="00593749">
        <w:rPr>
          <w:lang w:val="fr-FR"/>
        </w:rPr>
        <w:t>ions du paragraphe </w:t>
      </w:r>
      <w:r w:rsidRPr="009D3B56">
        <w:rPr>
          <w:lang w:val="fr-FR"/>
        </w:rPr>
        <w:t>6.1 ci-</w:t>
      </w:r>
      <w:r w:rsidR="009E3379">
        <w:rPr>
          <w:lang w:val="fr-FR"/>
        </w:rPr>
        <w:t>dessus qui en fournit la preuve</w:t>
      </w:r>
      <w:r w:rsidR="00593749">
        <w:rPr>
          <w:lang w:val="fr-FR"/>
        </w:rPr>
        <w:t> </w:t>
      </w:r>
      <w:r w:rsidRPr="009D3B56">
        <w:rPr>
          <w:lang w:val="fr-FR"/>
        </w:rPr>
        <w:t>».</w:t>
      </w:r>
    </w:p>
    <w:p w:rsidR="00593749" w:rsidRPr="00593749" w:rsidRDefault="00593749" w:rsidP="0059374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93749" w:rsidRPr="00593749" w:rsidSect="00E618BE">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89" w:rsidRDefault="00114989" w:rsidP="00F95C08">
      <w:pPr>
        <w:spacing w:line="240" w:lineRule="auto"/>
      </w:pPr>
    </w:p>
  </w:endnote>
  <w:endnote w:type="continuationSeparator" w:id="0">
    <w:p w:rsidR="00114989" w:rsidRPr="00AC3823" w:rsidRDefault="00114989" w:rsidP="00AC3823">
      <w:pPr>
        <w:pStyle w:val="Footer"/>
      </w:pPr>
    </w:p>
  </w:endnote>
  <w:endnote w:type="continuationNotice" w:id="1">
    <w:p w:rsidR="00114989" w:rsidRDefault="001149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89" w:rsidRPr="006C05D2" w:rsidRDefault="00114989" w:rsidP="006C05D2">
    <w:pPr>
      <w:pStyle w:val="Footer"/>
      <w:tabs>
        <w:tab w:val="right" w:pos="9638"/>
      </w:tabs>
    </w:pPr>
    <w:r w:rsidRPr="006C05D2">
      <w:rPr>
        <w:b/>
        <w:sz w:val="18"/>
      </w:rPr>
      <w:fldChar w:fldCharType="begin"/>
    </w:r>
    <w:r w:rsidRPr="006C05D2">
      <w:rPr>
        <w:b/>
        <w:sz w:val="18"/>
      </w:rPr>
      <w:instrText xml:space="preserve"> PAGE  \* MERGEFORMAT </w:instrText>
    </w:r>
    <w:r w:rsidRPr="006C05D2">
      <w:rPr>
        <w:b/>
        <w:sz w:val="18"/>
      </w:rPr>
      <w:fldChar w:fldCharType="separate"/>
    </w:r>
    <w:r w:rsidR="00A24E0D">
      <w:rPr>
        <w:b/>
        <w:noProof/>
        <w:sz w:val="18"/>
      </w:rPr>
      <w:t>2</w:t>
    </w:r>
    <w:r w:rsidRPr="006C05D2">
      <w:rPr>
        <w:b/>
        <w:sz w:val="18"/>
      </w:rPr>
      <w:fldChar w:fldCharType="end"/>
    </w:r>
    <w:r>
      <w:rPr>
        <w:b/>
        <w:sz w:val="18"/>
      </w:rPr>
      <w:tab/>
    </w:r>
    <w:r>
      <w:t>GE.16-22776</w:t>
    </w:r>
  </w:p>
  <w:p w:rsidR="00114989" w:rsidRDefault="00114989"/>
  <w:p w:rsidR="00114989" w:rsidRDefault="001149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89" w:rsidRPr="006C05D2" w:rsidRDefault="00114989" w:rsidP="006C05D2">
    <w:pPr>
      <w:pStyle w:val="Footer"/>
      <w:tabs>
        <w:tab w:val="right" w:pos="9638"/>
      </w:tabs>
      <w:rPr>
        <w:b/>
        <w:sz w:val="18"/>
      </w:rPr>
    </w:pPr>
    <w:r>
      <w:t>GE.16-22776</w:t>
    </w:r>
    <w:r>
      <w:tab/>
    </w:r>
    <w:r w:rsidRPr="006C05D2">
      <w:rPr>
        <w:b/>
        <w:sz w:val="18"/>
      </w:rPr>
      <w:fldChar w:fldCharType="begin"/>
    </w:r>
    <w:r w:rsidRPr="006C05D2">
      <w:rPr>
        <w:b/>
        <w:sz w:val="18"/>
      </w:rPr>
      <w:instrText xml:space="preserve"> PAGE  \* MERGEFORMAT </w:instrText>
    </w:r>
    <w:r w:rsidRPr="006C05D2">
      <w:rPr>
        <w:b/>
        <w:sz w:val="18"/>
      </w:rPr>
      <w:fldChar w:fldCharType="separate"/>
    </w:r>
    <w:r w:rsidR="00A24E0D">
      <w:rPr>
        <w:b/>
        <w:noProof/>
        <w:sz w:val="18"/>
      </w:rPr>
      <w:t>7</w:t>
    </w:r>
    <w:r w:rsidRPr="006C05D2">
      <w:rPr>
        <w:b/>
        <w:sz w:val="18"/>
      </w:rPr>
      <w:fldChar w:fldCharType="end"/>
    </w:r>
  </w:p>
  <w:p w:rsidR="00114989" w:rsidRDefault="00114989"/>
  <w:p w:rsidR="00114989" w:rsidRDefault="0011498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89" w:rsidRPr="006C05D2" w:rsidRDefault="00114989" w:rsidP="006C05D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B352B4A" wp14:editId="31CA870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16-22776 </w:t>
    </w:r>
    <w:r w:rsidR="005E2786">
      <w:rPr>
        <w:sz w:val="20"/>
      </w:rPr>
      <w:t xml:space="preserve"> </w:t>
    </w:r>
    <w:r>
      <w:rPr>
        <w:sz w:val="20"/>
      </w:rPr>
      <w:t>(F)</w:t>
    </w:r>
    <w:r w:rsidR="005E2786">
      <w:rPr>
        <w:sz w:val="20"/>
      </w:rPr>
      <w:t xml:space="preserve">   </w:t>
    </w:r>
    <w:r>
      <w:rPr>
        <w:sz w:val="20"/>
      </w:rPr>
      <w:t xml:space="preserve"> 010317 </w:t>
    </w:r>
    <w:r w:rsidR="005E2786">
      <w:rPr>
        <w:sz w:val="20"/>
      </w:rPr>
      <w:t xml:space="preserve">   </w:t>
    </w:r>
    <w:r>
      <w:rPr>
        <w:sz w:val="20"/>
      </w:rPr>
      <w:t>020317</w:t>
    </w:r>
    <w:r>
      <w:rPr>
        <w:sz w:val="20"/>
      </w:rPr>
      <w:br/>
    </w:r>
    <w:r w:rsidRPr="006C05D2">
      <w:rPr>
        <w:rFonts w:ascii="C39T30Lfz" w:hAnsi="C39T30Lfz"/>
        <w:sz w:val="56"/>
      </w:rPr>
      <w:t></w:t>
    </w:r>
    <w:r w:rsidRPr="006C05D2">
      <w:rPr>
        <w:rFonts w:ascii="C39T30Lfz" w:hAnsi="C39T30Lfz"/>
        <w:sz w:val="56"/>
      </w:rPr>
      <w:t></w:t>
    </w:r>
    <w:r w:rsidRPr="006C05D2">
      <w:rPr>
        <w:rFonts w:ascii="C39T30Lfz" w:hAnsi="C39T30Lfz"/>
        <w:sz w:val="56"/>
      </w:rPr>
      <w:t></w:t>
    </w:r>
    <w:r w:rsidRPr="006C05D2">
      <w:rPr>
        <w:rFonts w:ascii="C39T30Lfz" w:hAnsi="C39T30Lfz"/>
        <w:sz w:val="56"/>
      </w:rPr>
      <w:t></w:t>
    </w:r>
    <w:r w:rsidRPr="006C05D2">
      <w:rPr>
        <w:rFonts w:ascii="C39T30Lfz" w:hAnsi="C39T30Lfz"/>
        <w:sz w:val="56"/>
      </w:rPr>
      <w:t></w:t>
    </w:r>
    <w:r w:rsidRPr="006C05D2">
      <w:rPr>
        <w:rFonts w:ascii="C39T30Lfz" w:hAnsi="C39T30Lfz"/>
        <w:sz w:val="56"/>
      </w:rPr>
      <w:t></w:t>
    </w:r>
    <w:r w:rsidRPr="006C05D2">
      <w:rPr>
        <w:rFonts w:ascii="C39T30Lfz" w:hAnsi="C39T30Lfz"/>
        <w:sz w:val="56"/>
      </w:rPr>
      <w:t></w:t>
    </w:r>
    <w:r w:rsidRPr="006C05D2">
      <w:rPr>
        <w:rFonts w:ascii="C39T30Lfz" w:hAnsi="C39T30Lfz"/>
        <w:sz w:val="56"/>
      </w:rPr>
      <w:t></w:t>
    </w:r>
    <w:r w:rsidRPr="006C05D2">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1AB0CE2" wp14:editId="5A19FECF">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89" w:rsidRPr="00AC3823" w:rsidRDefault="00114989" w:rsidP="00AC3823">
      <w:pPr>
        <w:pStyle w:val="Footer"/>
        <w:tabs>
          <w:tab w:val="right" w:pos="2155"/>
        </w:tabs>
        <w:spacing w:after="80" w:line="240" w:lineRule="atLeast"/>
        <w:ind w:left="680"/>
        <w:rPr>
          <w:u w:val="single"/>
        </w:rPr>
      </w:pPr>
      <w:r>
        <w:rPr>
          <w:u w:val="single"/>
        </w:rPr>
        <w:tab/>
      </w:r>
    </w:p>
  </w:footnote>
  <w:footnote w:type="continuationSeparator" w:id="0">
    <w:p w:rsidR="00114989" w:rsidRPr="00AC3823" w:rsidRDefault="00114989" w:rsidP="00AC3823">
      <w:pPr>
        <w:pStyle w:val="Footer"/>
        <w:tabs>
          <w:tab w:val="right" w:pos="2155"/>
        </w:tabs>
        <w:spacing w:after="80" w:line="240" w:lineRule="atLeast"/>
        <w:ind w:left="680"/>
        <w:rPr>
          <w:u w:val="single"/>
        </w:rPr>
      </w:pPr>
      <w:r>
        <w:rPr>
          <w:u w:val="single"/>
        </w:rPr>
        <w:tab/>
      </w:r>
    </w:p>
  </w:footnote>
  <w:footnote w:type="continuationNotice" w:id="1">
    <w:p w:rsidR="00114989" w:rsidRPr="00AC3823" w:rsidRDefault="00114989">
      <w:pPr>
        <w:spacing w:line="240" w:lineRule="auto"/>
        <w:rPr>
          <w:sz w:val="2"/>
          <w:szCs w:val="2"/>
        </w:rPr>
      </w:pPr>
    </w:p>
  </w:footnote>
  <w:footnote w:id="2">
    <w:p w:rsidR="00114989" w:rsidRPr="005F6415" w:rsidRDefault="00114989" w:rsidP="002D615C">
      <w:pPr>
        <w:pStyle w:val="FootnoteText"/>
        <w:rPr>
          <w:lang w:val="fr-FR"/>
        </w:rPr>
      </w:pPr>
      <w:r w:rsidRPr="002D615C">
        <w:rPr>
          <w:rStyle w:val="FootnoteReference"/>
          <w:vertAlign w:val="baseline"/>
        </w:rPr>
        <w:tab/>
      </w:r>
      <w:r w:rsidRPr="002D615C">
        <w:rPr>
          <w:rStyle w:val="FootnoteReference"/>
          <w:szCs w:val="18"/>
          <w:vertAlign w:val="baseline"/>
        </w:rPr>
        <w:t>*</w:t>
      </w:r>
      <w:r w:rsidRPr="005F6415">
        <w:rPr>
          <w:rStyle w:val="FootnoteReference"/>
          <w:szCs w:val="18"/>
        </w:rPr>
        <w:tab/>
      </w:r>
      <w:r w:rsidRPr="005F6415">
        <w:t>Conformément au programme de travail du Comité des transports intérieurs pour la période</w:t>
      </w:r>
      <w:r>
        <w:t xml:space="preserve"> 2016</w:t>
      </w:r>
      <w:r>
        <w:noBreakHyphen/>
        <w:t>2017 (ECE/TRANS/254, par. </w:t>
      </w:r>
      <w:r w:rsidRPr="005F6415">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114989" w:rsidRPr="00B17C2C" w:rsidRDefault="00114989" w:rsidP="00E402F4">
      <w:pPr>
        <w:pStyle w:val="FootnoteText"/>
        <w:rPr>
          <w:rStyle w:val="FootnoteReference"/>
        </w:rPr>
      </w:pPr>
      <w:r>
        <w:rPr>
          <w:rStyle w:val="FootnoteReference"/>
        </w:rPr>
        <w:tab/>
      </w:r>
      <w:r w:rsidRPr="00BB5EDD">
        <w:rPr>
          <w:rStyle w:val="FootnoteReference"/>
          <w:sz w:val="20"/>
        </w:rPr>
        <w:t>**</w:t>
      </w:r>
      <w:r>
        <w:rPr>
          <w:rStyle w:val="FootnoteReference"/>
          <w:sz w:val="20"/>
        </w:rPr>
        <w:tab/>
      </w:r>
      <w:r w:rsidRPr="00BB5EDD">
        <w:t>Les numéros de page seront ajoutés ultérieurement.</w:t>
      </w:r>
    </w:p>
  </w:footnote>
  <w:footnote w:id="4">
    <w:p w:rsidR="00114989" w:rsidRPr="00473F73" w:rsidRDefault="00114989" w:rsidP="00364B14">
      <w:pPr>
        <w:pStyle w:val="FootnoteText"/>
      </w:pPr>
      <w:r w:rsidRPr="00473F73">
        <w:tab/>
      </w:r>
      <w:r w:rsidRPr="001F2BDA">
        <w:rPr>
          <w:rStyle w:val="FootnoteReference"/>
        </w:rPr>
        <w:footnoteRef/>
      </w:r>
      <w:r w:rsidRPr="00473F73">
        <w:tab/>
        <w:t>Telle que définie au paragraphe 2 de la Résolution d</w:t>
      </w:r>
      <w:r>
        <w:t>’</w:t>
      </w:r>
      <w:r w:rsidRPr="00473F73">
        <w:t xml:space="preserve">ensemble sur la construction des véhicules </w:t>
      </w:r>
      <w:r>
        <w:t xml:space="preserve">(R.E.3), </w:t>
      </w:r>
      <w:r w:rsidRPr="00473F73">
        <w:t>document ECE/TRANS/WP.29/78/Rev.</w:t>
      </w:r>
      <w:r w:rsidRPr="005F6415">
        <w:t>4</w:t>
      </w:r>
      <w:r>
        <w:t xml:space="preserve"> – </w:t>
      </w:r>
      <w:r w:rsidRPr="00955097">
        <w:t>www.unece.org/trans/main/wp29/</w:t>
      </w:r>
      <w:r>
        <w:br/>
      </w:r>
      <w:r w:rsidRPr="00955097">
        <w:t>wp29wgs/wp29gen/wp29resolutions.html</w:t>
      </w:r>
      <w:r w:rsidRPr="00473F73">
        <w:t>.</w:t>
      </w:r>
    </w:p>
  </w:footnote>
  <w:footnote w:id="5">
    <w:p w:rsidR="00114989" w:rsidRPr="00473F73" w:rsidRDefault="00114989" w:rsidP="00364B14">
      <w:pPr>
        <w:pStyle w:val="FootnoteText"/>
      </w:pPr>
      <w:r w:rsidRPr="00473F73">
        <w:tab/>
      </w:r>
      <w:r w:rsidRPr="001F2BDA">
        <w:rPr>
          <w:rStyle w:val="FootnoteReference"/>
        </w:rPr>
        <w:footnoteRef/>
      </w:r>
      <w:r w:rsidRPr="00FE6874">
        <w:rPr>
          <w:b/>
        </w:rPr>
        <w:tab/>
      </w:r>
      <w:r w:rsidRPr="005F6415">
        <w:t>Si la puissance maximale nette nominale est obtenue à plusieurs régimes, le régime nominal correspond, dans le présent Règlement, au régime maximum du moteur auquel la puissance maximale nette nominale peut être développée</w:t>
      </w:r>
      <w:r w:rsidRPr="00BB72E4">
        <w:t>.</w:t>
      </w:r>
    </w:p>
  </w:footnote>
  <w:footnote w:id="6">
    <w:p w:rsidR="00114989" w:rsidRPr="00277BB5" w:rsidRDefault="00114989" w:rsidP="00364B14">
      <w:pPr>
        <w:pStyle w:val="FootnoteText"/>
      </w:pPr>
      <w:r>
        <w:tab/>
      </w:r>
      <w:r w:rsidRPr="001F2BDA">
        <w:rPr>
          <w:rStyle w:val="FootnoteReference"/>
        </w:rPr>
        <w:footnoteRef/>
      </w:r>
      <w:r w:rsidRPr="00277BB5">
        <w:tab/>
        <w:t>La liste des numéros distinctifs des Parties contractantes à l</w:t>
      </w:r>
      <w:r>
        <w:t>’</w:t>
      </w:r>
      <w:r w:rsidRPr="00277BB5">
        <w:t>Accord de 1958 est reproduite à</w:t>
      </w:r>
      <w:r>
        <w:t> </w:t>
      </w:r>
      <w:r w:rsidRPr="00277BB5">
        <w:t>l</w:t>
      </w:r>
      <w:r>
        <w:t>’</w:t>
      </w:r>
      <w:r w:rsidRPr="00277BB5">
        <w:t>annexe</w:t>
      </w:r>
      <w:r>
        <w:t> </w:t>
      </w:r>
      <w:r w:rsidRPr="00277BB5">
        <w:t>3 de la Résolution d</w:t>
      </w:r>
      <w:r>
        <w:t>’</w:t>
      </w:r>
      <w:r w:rsidRPr="00277BB5">
        <w:t>ensemble sur la construction des véhicules (R.E.3)</w:t>
      </w:r>
      <w:r>
        <w:t>,</w:t>
      </w:r>
      <w:r w:rsidRPr="00277BB5">
        <w:t xml:space="preserve"> </w:t>
      </w:r>
      <w:r w:rsidRPr="00E7458B">
        <w:t>document ECE/TRANS/WP.29/78/Rev.</w:t>
      </w:r>
      <w:r w:rsidRPr="008623F0">
        <w:t>4 -</w:t>
      </w:r>
      <w:r>
        <w:t xml:space="preserve"> </w:t>
      </w:r>
      <w:r w:rsidRPr="00704C6E">
        <w:t>www.unece.org/trans/main/wp29/wp29wgs/</w:t>
      </w:r>
      <w:r w:rsidR="008623F0">
        <w:br/>
      </w:r>
      <w:r w:rsidRPr="00704C6E">
        <w:t>wp29gen/wp29resolutions.html</w:t>
      </w:r>
      <w:r w:rsidRPr="00E7458B">
        <w:t>.</w:t>
      </w:r>
    </w:p>
  </w:footnote>
  <w:footnote w:id="7">
    <w:p w:rsidR="00114989" w:rsidRPr="005A48EA" w:rsidRDefault="00114989" w:rsidP="00364B14">
      <w:pPr>
        <w:pStyle w:val="FootnoteText"/>
      </w:pPr>
      <w:r w:rsidRPr="005A48EA">
        <w:tab/>
      </w:r>
      <w:r w:rsidRPr="001F2BDA">
        <w:rPr>
          <w:rStyle w:val="FootnoteReference"/>
        </w:rPr>
        <w:footnoteRef/>
      </w:r>
      <w:r>
        <w:tab/>
        <w:t xml:space="preserve">On exécute un essai sur </w:t>
      </w:r>
      <w:r w:rsidRPr="005F6415">
        <w:t>véhicule</w:t>
      </w:r>
      <w:r>
        <w:t xml:space="preserve"> </w:t>
      </w:r>
      <w:r w:rsidRPr="005A48EA">
        <w:t>à l</w:t>
      </w:r>
      <w:r>
        <w:t>’</w:t>
      </w:r>
      <w:r w:rsidRPr="005A48EA">
        <w:t>arrêt pour déterminer une valeur de référence à l</w:t>
      </w:r>
      <w:r>
        <w:t>’</w:t>
      </w:r>
      <w:r w:rsidRPr="005A48EA">
        <w:t xml:space="preserve">intention des administrations qui utilisent cette méthode pour le contrôle des </w:t>
      </w:r>
      <w:r w:rsidRPr="005F6415">
        <w:t>véhicules</w:t>
      </w:r>
      <w:r>
        <w:t xml:space="preserve"> </w:t>
      </w:r>
      <w:r w:rsidRPr="005A48EA">
        <w:t>en service.</w:t>
      </w:r>
    </w:p>
  </w:footnote>
  <w:footnote w:id="8">
    <w:p w:rsidR="00114989" w:rsidRPr="00AA7D88" w:rsidRDefault="00114989" w:rsidP="00842837">
      <w:pPr>
        <w:pStyle w:val="FootnoteText"/>
      </w:pPr>
      <w:r>
        <w:tab/>
      </w:r>
      <w:r w:rsidRPr="001F2BDA">
        <w:rPr>
          <w:rStyle w:val="FootnoteReference"/>
        </w:rPr>
        <w:footnoteRef/>
      </w:r>
      <w:r>
        <w:tab/>
        <w:t>Numéro distinctif du pays qui a accordé/étendu/refusé/retiré l’homologation (voir les dispositions relatives à l’homologation dans le Règlement).</w:t>
      </w:r>
    </w:p>
  </w:footnote>
  <w:footnote w:id="9">
    <w:p w:rsidR="00114989" w:rsidRPr="00CD65CE" w:rsidRDefault="00114989" w:rsidP="00842837">
      <w:pPr>
        <w:pStyle w:val="FootnoteText"/>
        <w:rPr>
          <w:lang w:val="fr-FR"/>
        </w:rPr>
      </w:pPr>
      <w:r>
        <w:tab/>
      </w:r>
      <w:r w:rsidRPr="001F2BDA">
        <w:rPr>
          <w:rStyle w:val="FootnoteReference"/>
        </w:rPr>
        <w:footnoteRef/>
      </w:r>
      <w:r>
        <w:tab/>
      </w:r>
      <w:r w:rsidRPr="00CD65CE">
        <w:t>Biffer les mentions inutiles.</w:t>
      </w:r>
    </w:p>
  </w:footnote>
  <w:footnote w:id="10">
    <w:p w:rsidR="00114989" w:rsidRPr="00CD65CE" w:rsidRDefault="00114989" w:rsidP="00842837">
      <w:pPr>
        <w:pStyle w:val="FootnoteText"/>
        <w:rPr>
          <w:lang w:val="fr-FR"/>
        </w:rPr>
      </w:pPr>
      <w:r>
        <w:tab/>
      </w:r>
      <w:r w:rsidRPr="001F2BDA">
        <w:rPr>
          <w:rStyle w:val="FootnoteReference"/>
        </w:rPr>
        <w:footnoteRef/>
      </w:r>
      <w:r>
        <w:tab/>
      </w:r>
      <w:r w:rsidRPr="00CD65CE">
        <w:t>S</w:t>
      </w:r>
      <w:r>
        <w:t>’</w:t>
      </w:r>
      <w:r w:rsidRPr="00CD65CE">
        <w:t>il s</w:t>
      </w:r>
      <w:r>
        <w:t>’</w:t>
      </w:r>
      <w:r w:rsidRPr="00CD65CE">
        <w:t>agit d</w:t>
      </w:r>
      <w:r>
        <w:t>’</w:t>
      </w:r>
      <w:r w:rsidRPr="00CD65CE">
        <w:t>un moteur spécial, prière de l</w:t>
      </w:r>
      <w:r>
        <w:t>’</w:t>
      </w:r>
      <w:r w:rsidRPr="00CD65CE">
        <w:t>indiquer.</w:t>
      </w:r>
    </w:p>
  </w:footnote>
  <w:footnote w:id="11">
    <w:p w:rsidR="00114989" w:rsidRDefault="00114989" w:rsidP="00AF62BF">
      <w:pPr>
        <w:pStyle w:val="FootnoteText"/>
      </w:pPr>
      <w:r>
        <w:tab/>
      </w:r>
      <w:r w:rsidRPr="005F6415">
        <w:rPr>
          <w:rStyle w:val="FootnoteReference"/>
        </w:rPr>
        <w:footnoteRef/>
      </w:r>
      <w:r>
        <w:tab/>
      </w:r>
      <w:r w:rsidRPr="005A48EA">
        <w:t>Ce dernier numéro n</w:t>
      </w:r>
      <w:r>
        <w:t>’</w:t>
      </w:r>
      <w:r w:rsidRPr="005A48EA">
        <w:t>est donné qu</w:t>
      </w:r>
      <w:r>
        <w:t>’</w:t>
      </w:r>
      <w:r w:rsidRPr="005A48EA">
        <w:t>à titre d</w:t>
      </w:r>
      <w:r>
        <w:t>’</w:t>
      </w:r>
      <w:r w:rsidRPr="005A48EA">
        <w:t>exemple.</w:t>
      </w:r>
    </w:p>
  </w:footnote>
  <w:footnote w:id="12">
    <w:p w:rsidR="00114989" w:rsidRDefault="00114989" w:rsidP="00AF62BF">
      <w:pPr>
        <w:pStyle w:val="FootnoteText"/>
      </w:pPr>
      <w:r>
        <w:tab/>
      </w:r>
      <w:r w:rsidRPr="005F6415">
        <w:rPr>
          <w:rStyle w:val="FootnoteReference"/>
        </w:rPr>
        <w:footnoteRef/>
      </w:r>
      <w:r>
        <w:tab/>
      </w:r>
      <w:r w:rsidRPr="00241C7F">
        <w:rPr>
          <w:bCs/>
        </w:rPr>
        <w:t>On entend par mesure distincte de la vitesse l</w:t>
      </w:r>
      <w:r>
        <w:rPr>
          <w:bCs/>
        </w:rPr>
        <w:t>’</w:t>
      </w:r>
      <w:r w:rsidRPr="00241C7F">
        <w:rPr>
          <w:bCs/>
        </w:rPr>
        <w:t>utilisation de deux appareils ou davantage pour mesurer les valeurs de vAA</w:t>
      </w:r>
      <w:r>
        <w:rPr>
          <w:bCs/>
        </w:rPr>
        <w:t>’</w:t>
      </w:r>
      <w:r w:rsidRPr="00241C7F">
        <w:rPr>
          <w:bCs/>
        </w:rPr>
        <w:t xml:space="preserve"> et vBB</w:t>
      </w:r>
      <w:r>
        <w:rPr>
          <w:bCs/>
        </w:rPr>
        <w:t>’</w:t>
      </w:r>
      <w:r w:rsidRPr="00241C7F">
        <w:rPr>
          <w:bCs/>
        </w:rPr>
        <w:t>. À l</w:t>
      </w:r>
      <w:r>
        <w:rPr>
          <w:bCs/>
        </w:rPr>
        <w:t>’</w:t>
      </w:r>
      <w:r w:rsidRPr="00241C7F">
        <w:rPr>
          <w:bCs/>
        </w:rPr>
        <w:t>inverse, un radar permet d</w:t>
      </w:r>
      <w:r>
        <w:rPr>
          <w:bCs/>
        </w:rPr>
        <w:t>’</w:t>
      </w:r>
      <w:r w:rsidRPr="00241C7F">
        <w:rPr>
          <w:bCs/>
        </w:rPr>
        <w:t>obtenir tous les renseignements requis concernant la vitesse</w:t>
      </w:r>
      <w:r>
        <w:rPr>
          <w:bCs/>
        </w:rPr>
        <w:t xml:space="preserve"> </w:t>
      </w:r>
      <w:r w:rsidRPr="00241C7F">
        <w:rPr>
          <w:bCs/>
        </w:rPr>
        <w:t>avec le même appareil.</w:t>
      </w:r>
    </w:p>
  </w:footnote>
  <w:footnote w:id="13">
    <w:p w:rsidR="00114989" w:rsidRPr="005F6415" w:rsidRDefault="00114989" w:rsidP="0059421C">
      <w:pPr>
        <w:pStyle w:val="FootnoteText"/>
      </w:pPr>
      <w:r>
        <w:tab/>
      </w:r>
      <w:r w:rsidRPr="005F6415">
        <w:rPr>
          <w:rStyle w:val="FootnoteReference"/>
        </w:rPr>
        <w:footnoteRef/>
      </w:r>
      <w:r w:rsidRPr="005F6415">
        <w:tab/>
        <w:t>Les caractéristiques du terrain d’essai reprises dans la présente annexe sont valables jusqu’au terme de la</w:t>
      </w:r>
      <w:r>
        <w:t xml:space="preserve"> période indiquée au paragraphe </w:t>
      </w:r>
      <w:r w:rsidRPr="005F6415">
        <w:t>10.8 du présent Règlement.</w:t>
      </w:r>
    </w:p>
  </w:footnote>
  <w:footnote w:id="14">
    <w:p w:rsidR="00114989" w:rsidRPr="00483307" w:rsidRDefault="00114989" w:rsidP="0059421C">
      <w:pPr>
        <w:pStyle w:val="FootnoteText"/>
      </w:pPr>
      <w:r>
        <w:tab/>
      </w:r>
      <w:r w:rsidRPr="005F6415">
        <w:rPr>
          <w:rStyle w:val="FootnoteReference"/>
        </w:rPr>
        <w:footnoteRef/>
      </w:r>
      <w:r>
        <w:tab/>
      </w:r>
      <w:r w:rsidRPr="003101AB">
        <w:t>ISO</w:t>
      </w:r>
      <w:r>
        <w:t> </w:t>
      </w:r>
      <w:r w:rsidRPr="003101AB">
        <w:t>10844:1994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89" w:rsidRPr="006C05D2" w:rsidRDefault="00C37D9E">
    <w:pPr>
      <w:pStyle w:val="Header"/>
    </w:pPr>
    <w:fldSimple w:instr=" TITLE  \* MERGEFORMAT ">
      <w:r>
        <w:t>ECE/TRANS/WP.29/2017/4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89" w:rsidRPr="006C05D2" w:rsidRDefault="00C37D9E" w:rsidP="006C05D2">
    <w:pPr>
      <w:pStyle w:val="Header"/>
      <w:jc w:val="right"/>
    </w:pPr>
    <w:fldSimple w:instr=" TITLE  \* MERGEFORMAT ">
      <w:r>
        <w:t>ECE/TRANS/WP.29/2017/4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15"/>
    <w:rsid w:val="00017F94"/>
    <w:rsid w:val="00023515"/>
    <w:rsid w:val="00023842"/>
    <w:rsid w:val="00024217"/>
    <w:rsid w:val="000334F9"/>
    <w:rsid w:val="00045FEB"/>
    <w:rsid w:val="000604F6"/>
    <w:rsid w:val="0007796D"/>
    <w:rsid w:val="00081AA8"/>
    <w:rsid w:val="000B7790"/>
    <w:rsid w:val="000E1E5B"/>
    <w:rsid w:val="00111F2F"/>
    <w:rsid w:val="00114989"/>
    <w:rsid w:val="0012315E"/>
    <w:rsid w:val="0014365E"/>
    <w:rsid w:val="00143C66"/>
    <w:rsid w:val="00155D93"/>
    <w:rsid w:val="00176178"/>
    <w:rsid w:val="001C1E1B"/>
    <w:rsid w:val="001D37F3"/>
    <w:rsid w:val="001F2BDA"/>
    <w:rsid w:val="001F525A"/>
    <w:rsid w:val="00223272"/>
    <w:rsid w:val="0024779E"/>
    <w:rsid w:val="00257168"/>
    <w:rsid w:val="002744B8"/>
    <w:rsid w:val="002832AC"/>
    <w:rsid w:val="002D615C"/>
    <w:rsid w:val="002D7C93"/>
    <w:rsid w:val="00300B9D"/>
    <w:rsid w:val="00305801"/>
    <w:rsid w:val="00347903"/>
    <w:rsid w:val="00364B14"/>
    <w:rsid w:val="003916DE"/>
    <w:rsid w:val="003F4FDC"/>
    <w:rsid w:val="004253FE"/>
    <w:rsid w:val="00441C3B"/>
    <w:rsid w:val="00446FE5"/>
    <w:rsid w:val="00452396"/>
    <w:rsid w:val="004837D8"/>
    <w:rsid w:val="004C2207"/>
    <w:rsid w:val="004E468C"/>
    <w:rsid w:val="005134D2"/>
    <w:rsid w:val="005505B7"/>
    <w:rsid w:val="00573BE5"/>
    <w:rsid w:val="00586ED3"/>
    <w:rsid w:val="00593749"/>
    <w:rsid w:val="0059421C"/>
    <w:rsid w:val="00596AA9"/>
    <w:rsid w:val="005B3E09"/>
    <w:rsid w:val="005D6C34"/>
    <w:rsid w:val="005D74E7"/>
    <w:rsid w:val="005E2786"/>
    <w:rsid w:val="006039F2"/>
    <w:rsid w:val="00635D86"/>
    <w:rsid w:val="006A1950"/>
    <w:rsid w:val="006B61DF"/>
    <w:rsid w:val="006B7381"/>
    <w:rsid w:val="006C05D2"/>
    <w:rsid w:val="0071601D"/>
    <w:rsid w:val="007A62E6"/>
    <w:rsid w:val="007F20FA"/>
    <w:rsid w:val="007F2DE1"/>
    <w:rsid w:val="00804266"/>
    <w:rsid w:val="0080684C"/>
    <w:rsid w:val="00816D45"/>
    <w:rsid w:val="008330FB"/>
    <w:rsid w:val="00840F44"/>
    <w:rsid w:val="00842837"/>
    <w:rsid w:val="008623F0"/>
    <w:rsid w:val="00871C75"/>
    <w:rsid w:val="008776DC"/>
    <w:rsid w:val="00916F2A"/>
    <w:rsid w:val="009446C0"/>
    <w:rsid w:val="009705C8"/>
    <w:rsid w:val="009C1CF4"/>
    <w:rsid w:val="009D3B56"/>
    <w:rsid w:val="009E1B61"/>
    <w:rsid w:val="009E3379"/>
    <w:rsid w:val="009F6B74"/>
    <w:rsid w:val="00A24E0D"/>
    <w:rsid w:val="00A30353"/>
    <w:rsid w:val="00A4367C"/>
    <w:rsid w:val="00AC3823"/>
    <w:rsid w:val="00AE323C"/>
    <w:rsid w:val="00AF0CB5"/>
    <w:rsid w:val="00AF62BF"/>
    <w:rsid w:val="00B00181"/>
    <w:rsid w:val="00B00B0D"/>
    <w:rsid w:val="00B17C2C"/>
    <w:rsid w:val="00B704B2"/>
    <w:rsid w:val="00B765F7"/>
    <w:rsid w:val="00B92F00"/>
    <w:rsid w:val="00BA0CA9"/>
    <w:rsid w:val="00BD14D6"/>
    <w:rsid w:val="00C02897"/>
    <w:rsid w:val="00C03857"/>
    <w:rsid w:val="00C37D9E"/>
    <w:rsid w:val="00C528E2"/>
    <w:rsid w:val="00C9121B"/>
    <w:rsid w:val="00CF1278"/>
    <w:rsid w:val="00CF7C63"/>
    <w:rsid w:val="00D278B9"/>
    <w:rsid w:val="00D3439C"/>
    <w:rsid w:val="00DB1831"/>
    <w:rsid w:val="00DD3BFD"/>
    <w:rsid w:val="00DE354F"/>
    <w:rsid w:val="00DF6678"/>
    <w:rsid w:val="00E402F4"/>
    <w:rsid w:val="00E618BE"/>
    <w:rsid w:val="00E831CA"/>
    <w:rsid w:val="00E85C74"/>
    <w:rsid w:val="00EA43BC"/>
    <w:rsid w:val="00EA6547"/>
    <w:rsid w:val="00EB4D6B"/>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DCB2CF-6AEF-49EE-99F3-079A3A88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402F4"/>
    <w:rPr>
      <w:rFonts w:ascii="Times New Roman" w:hAnsi="Times New Roman" w:cs="Times New Roman"/>
      <w:sz w:val="20"/>
      <w:szCs w:val="20"/>
      <w:lang w:eastAsia="en-US"/>
    </w:rPr>
  </w:style>
  <w:style w:type="character" w:customStyle="1" w:styleId="HChGChar">
    <w:name w:val="_ H _Ch_G Char"/>
    <w:link w:val="HChG"/>
    <w:rsid w:val="00842837"/>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EBA3-4662-458D-9BDD-58BB1630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9934</Words>
  <Characters>56626</Characters>
  <Application>Microsoft Office Word</Application>
  <DocSecurity>0</DocSecurity>
  <Lines>471</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ECE/TRANS/WP.29/2017/4</vt:lpstr>
      <vt:lpstr>ECE/TRANS/WP.29/2017/4</vt:lpstr>
    </vt:vector>
  </TitlesOfParts>
  <Company>DCM</Company>
  <LinksUpToDate>false</LinksUpToDate>
  <CharactersWithSpaces>66428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ECE/TRANS/WP.29/2017/4</dc:title>
  <dc:subject/>
  <dc:creator>Bourion</dc:creator>
  <cp:keywords/>
  <cp:lastModifiedBy>Caillot</cp:lastModifiedBy>
  <cp:revision>2</cp:revision>
  <cp:lastPrinted>2017-03-02T15:10:00Z</cp:lastPrinted>
  <dcterms:created xsi:type="dcterms:W3CDTF">2017-03-02T17:46:00Z</dcterms:created>
  <dcterms:modified xsi:type="dcterms:W3CDTF">2017-03-02T17:46:00Z</dcterms:modified>
</cp:coreProperties>
</file>