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73B3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73B30" w:rsidP="00D73B30">
            <w:pPr>
              <w:jc w:val="right"/>
            </w:pPr>
            <w:r w:rsidRPr="00D73B30">
              <w:rPr>
                <w:sz w:val="40"/>
              </w:rPr>
              <w:t>ECE</w:t>
            </w:r>
            <w:r>
              <w:t>/TRANS/WP.11/2017/6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73B30" w:rsidP="00C97039">
            <w:pPr>
              <w:spacing w:before="240"/>
            </w:pPr>
            <w:proofErr w:type="spellStart"/>
            <w:r>
              <w:t>Distr</w:t>
            </w:r>
            <w:proofErr w:type="spellEnd"/>
            <w:r>
              <w:t xml:space="preserve">. </w:t>
            </w:r>
            <w:proofErr w:type="gramStart"/>
            <w:r>
              <w:t>générale</w:t>
            </w:r>
            <w:proofErr w:type="gramEnd"/>
          </w:p>
          <w:p w:rsidR="00D73B30" w:rsidRDefault="00D73B30" w:rsidP="00D73B30">
            <w:pPr>
              <w:spacing w:line="240" w:lineRule="exact"/>
            </w:pPr>
            <w:r>
              <w:t>24 juillet 2017</w:t>
            </w:r>
          </w:p>
          <w:p w:rsidR="00D73B30" w:rsidRDefault="00D73B30" w:rsidP="00D73B30">
            <w:pPr>
              <w:spacing w:line="240" w:lineRule="exact"/>
            </w:pPr>
            <w:r>
              <w:t>Français</w:t>
            </w:r>
          </w:p>
          <w:p w:rsidR="00D73B30" w:rsidRPr="00DB58B5" w:rsidRDefault="00D73B30" w:rsidP="00D73B30">
            <w:pPr>
              <w:spacing w:line="240" w:lineRule="exact"/>
            </w:pPr>
            <w:r>
              <w:t>Original : anglais</w:t>
            </w:r>
          </w:p>
        </w:tc>
      </w:tr>
    </w:tbl>
    <w:p w:rsidR="00EC0E8B" w:rsidRPr="000312C0" w:rsidRDefault="007F20FA" w:rsidP="007F20FA">
      <w:pPr>
        <w:spacing w:before="120"/>
        <w:rPr>
          <w:b/>
          <w:sz w:val="28"/>
          <w:szCs w:val="28"/>
        </w:rPr>
      </w:pPr>
      <w:r w:rsidRPr="000312C0">
        <w:rPr>
          <w:b/>
          <w:sz w:val="28"/>
          <w:szCs w:val="28"/>
        </w:rPr>
        <w:t>Commission économique pour l</w:t>
      </w:r>
      <w:r w:rsidR="00517B2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C0E8B" w:rsidRPr="00685843" w:rsidRDefault="00EC0E8B" w:rsidP="00EC0E8B">
      <w:pPr>
        <w:spacing w:before="120" w:after="120"/>
        <w:rPr>
          <w:b/>
          <w:sz w:val="24"/>
          <w:szCs w:val="24"/>
        </w:rPr>
      </w:pPr>
      <w:r>
        <w:rPr>
          <w:b/>
          <w:sz w:val="24"/>
          <w:szCs w:val="24"/>
        </w:rPr>
        <w:t>Groupe de travail du transport des denrées périssables</w:t>
      </w:r>
    </w:p>
    <w:p w:rsidR="00D73B30" w:rsidRPr="004A6E44" w:rsidRDefault="00D73B30" w:rsidP="00D73B30">
      <w:pPr>
        <w:rPr>
          <w:b/>
        </w:rPr>
      </w:pPr>
      <w:r w:rsidRPr="004A6E44">
        <w:rPr>
          <w:b/>
        </w:rPr>
        <w:t>Soixante-treizième session</w:t>
      </w:r>
    </w:p>
    <w:p w:rsidR="00D73B30" w:rsidRPr="004A6E44" w:rsidRDefault="00906809" w:rsidP="00D73B30">
      <w:r>
        <w:t>Genève, 10-13 o</w:t>
      </w:r>
      <w:r w:rsidR="00D73B30" w:rsidRPr="004A6E44">
        <w:t>ctobre 2017</w:t>
      </w:r>
    </w:p>
    <w:p w:rsidR="00D73B30" w:rsidRPr="004A6E44" w:rsidRDefault="00D73B30" w:rsidP="00D73B30">
      <w:r w:rsidRPr="004A6E44">
        <w:t>Point 5 a) de l</w:t>
      </w:r>
      <w:r w:rsidR="00517B2D">
        <w:t>’</w:t>
      </w:r>
      <w:r w:rsidRPr="004A6E44">
        <w:t>ordre du jour provisoire</w:t>
      </w:r>
    </w:p>
    <w:p w:rsidR="00D73B30" w:rsidRDefault="00D73B30" w:rsidP="00D73B30">
      <w:pPr>
        <w:rPr>
          <w:b/>
        </w:rPr>
      </w:pPr>
      <w:r w:rsidRPr="004A6E44">
        <w:rPr>
          <w:b/>
        </w:rPr>
        <w:t>Propositions d</w:t>
      </w:r>
      <w:r w:rsidR="00517B2D">
        <w:rPr>
          <w:b/>
        </w:rPr>
        <w:t>’</w:t>
      </w:r>
      <w:r w:rsidRPr="004A6E44">
        <w:rPr>
          <w:b/>
        </w:rPr>
        <w:t>amendements à l</w:t>
      </w:r>
      <w:r w:rsidR="00517B2D">
        <w:rPr>
          <w:b/>
        </w:rPr>
        <w:t>’</w:t>
      </w:r>
      <w:r w:rsidRPr="004A6E44">
        <w:rPr>
          <w:b/>
        </w:rPr>
        <w:t>ATP</w:t>
      </w:r>
      <w:r w:rsidR="00EC0E8B">
        <w:rPr>
          <w:b/>
        </w:rPr>
        <w:t> :</w:t>
      </w:r>
      <w:r w:rsidRPr="004A6E44">
        <w:rPr>
          <w:b/>
        </w:rPr>
        <w:t xml:space="preserve"> </w:t>
      </w:r>
      <w:r w:rsidRPr="004A6E44">
        <w:rPr>
          <w:b/>
        </w:rPr>
        <w:br/>
        <w:t>propositions en suspens</w:t>
      </w:r>
    </w:p>
    <w:p w:rsidR="00D73B30" w:rsidRPr="004A6E44" w:rsidRDefault="00D73B30" w:rsidP="00EC0E8B">
      <w:pPr>
        <w:pStyle w:val="HChG"/>
      </w:pPr>
      <w:r w:rsidRPr="004A6E44">
        <w:rPr>
          <w:lang w:eastAsia="ar-SA"/>
        </w:rPr>
        <w:tab/>
      </w:r>
      <w:r w:rsidR="00EC0E8B">
        <w:rPr>
          <w:lang w:eastAsia="ar-SA"/>
        </w:rPr>
        <w:tab/>
      </w:r>
      <w:r w:rsidRPr="004A6E44">
        <w:t>Proposition de modification de</w:t>
      </w:r>
      <w:r w:rsidR="00EC0E8B">
        <w:t>s appendices 2 et 4</w:t>
      </w:r>
      <w:r w:rsidR="00D51A40">
        <w:br/>
      </w:r>
      <w:r w:rsidR="00EC0E8B">
        <w:t>de l</w:t>
      </w:r>
      <w:r w:rsidR="00517B2D">
        <w:t>’</w:t>
      </w:r>
      <w:r w:rsidR="00EC0E8B">
        <w:t>annexe </w:t>
      </w:r>
      <w:r w:rsidRPr="004A6E44">
        <w:t>1</w:t>
      </w:r>
      <w:r w:rsidR="00517B2D">
        <w:t xml:space="preserve"> :</w:t>
      </w:r>
      <w:r w:rsidR="00EC0E8B">
        <w:t xml:space="preserve"> </w:t>
      </w:r>
      <w:r w:rsidRPr="004A6E44">
        <w:t xml:space="preserve">Engins à </w:t>
      </w:r>
      <w:r>
        <w:t>températures multiples</w:t>
      </w:r>
      <w:r w:rsidR="00EC0E8B">
        <w:t xml:space="preserve"> −</w:t>
      </w:r>
      <w:r w:rsidR="00EC0E8B">
        <w:br/>
        <w:t xml:space="preserve">certification </w:t>
      </w:r>
      <w:r w:rsidRPr="004A6E44">
        <w:t>et marque d</w:t>
      </w:r>
      <w:r w:rsidR="00517B2D">
        <w:t>’</w:t>
      </w:r>
      <w:r w:rsidRPr="004A6E44">
        <w:t>identification</w:t>
      </w:r>
    </w:p>
    <w:p w:rsidR="00D73B30" w:rsidRDefault="00D73B30" w:rsidP="00EC0E8B">
      <w:pPr>
        <w:pStyle w:val="H1G"/>
      </w:pPr>
      <w:r w:rsidRPr="004A6E44">
        <w:tab/>
      </w:r>
      <w:r w:rsidR="00EC0E8B">
        <w:tab/>
      </w:r>
      <w:r w:rsidRPr="004A6E44">
        <w:t>Communications des Gouvernements français et allemand</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B07AF" w:rsidTr="00216E0F">
        <w:trPr>
          <w:jc w:val="center"/>
        </w:trPr>
        <w:tc>
          <w:tcPr>
            <w:tcW w:w="9637" w:type="dxa"/>
            <w:shd w:val="clear" w:color="auto" w:fill="auto"/>
          </w:tcPr>
          <w:p w:rsidR="00DB07AF" w:rsidRPr="000001E7" w:rsidRDefault="00DB07AF" w:rsidP="00216E0F">
            <w:pPr>
              <w:spacing w:before="240" w:after="120"/>
              <w:ind w:left="255"/>
              <w:rPr>
                <w:i/>
                <w:sz w:val="24"/>
              </w:rPr>
            </w:pPr>
            <w:r w:rsidRPr="000001E7">
              <w:rPr>
                <w:i/>
                <w:sz w:val="24"/>
              </w:rPr>
              <w:t>Résumé</w:t>
            </w:r>
          </w:p>
        </w:tc>
      </w:tr>
      <w:tr w:rsidR="00DB07AF" w:rsidTr="00216E0F">
        <w:trPr>
          <w:jc w:val="center"/>
        </w:trPr>
        <w:tc>
          <w:tcPr>
            <w:tcW w:w="9637" w:type="dxa"/>
            <w:shd w:val="clear" w:color="auto" w:fill="auto"/>
          </w:tcPr>
          <w:p w:rsidR="00DB07AF" w:rsidRDefault="00DB07AF" w:rsidP="00DB07AF">
            <w:pPr>
              <w:pStyle w:val="SingleTxtG"/>
              <w:ind w:left="2552" w:hanging="2268"/>
            </w:pPr>
            <w:r>
              <w:rPr>
                <w:b/>
              </w:rPr>
              <w:t>Résumé analytique :</w:t>
            </w:r>
            <w:r>
              <w:rPr>
                <w:b/>
              </w:rPr>
              <w:tab/>
            </w:r>
            <w:r w:rsidRPr="004A6E44">
              <w:t>La version actuelle de l</w:t>
            </w:r>
            <w:r>
              <w:t>’</w:t>
            </w:r>
            <w:r w:rsidRPr="004A6E44">
              <w:t>ATP ne comporte pas de prescriptions réglementaires relatives au marquage des engins à températures</w:t>
            </w:r>
            <w:r>
              <w:t xml:space="preserve"> multiples</w:t>
            </w:r>
            <w:r w:rsidRPr="004A6E44">
              <w:t xml:space="preserve"> et les marques apposées à l</w:t>
            </w:r>
            <w:r>
              <w:t>’</w:t>
            </w:r>
            <w:r w:rsidRPr="004A6E44">
              <w:t>extérieur ne permettent pas de faire la différence entre engins à températures</w:t>
            </w:r>
            <w:r>
              <w:t xml:space="preserve"> multiples</w:t>
            </w:r>
            <w:r w:rsidRPr="004A6E44">
              <w:t xml:space="preserve"> et</w:t>
            </w:r>
            <w:r>
              <w:t xml:space="preserve"> engins</w:t>
            </w:r>
            <w:r w:rsidRPr="004A6E44">
              <w:t xml:space="preserve"> à température unique. Il est proposé que les engins à températures</w:t>
            </w:r>
            <w:r>
              <w:t xml:space="preserve"> multiples</w:t>
            </w:r>
            <w:r w:rsidRPr="004A6E44">
              <w:t xml:space="preserve"> portent, dans le cas </w:t>
            </w:r>
            <w:r>
              <w:t>où ils sont</w:t>
            </w:r>
            <w:r w:rsidRPr="004A6E44">
              <w:t xml:space="preserve"> divisés en deux compartiments, la marque d</w:t>
            </w:r>
            <w:r>
              <w:t>’</w:t>
            </w:r>
            <w:r w:rsidRPr="004A6E44">
              <w:t xml:space="preserve">identification de la classe ATP des deux compartiments (par exemple, FRC-FRA) ou, dans le cas </w:t>
            </w:r>
            <w:r>
              <w:t>où ils sont</w:t>
            </w:r>
            <w:r w:rsidRPr="004A6E44">
              <w:t xml:space="preserve"> divisés en trois compartiments ou plus, la marque d</w:t>
            </w:r>
            <w:r>
              <w:t>’</w:t>
            </w:r>
            <w:r w:rsidRPr="004A6E44">
              <w:t>identification de la classe ATP la plus élevée complétée de la lettre M (par exemple FRC-M). Des informations additionnelles ou plus détaillées seraient fournies dans un document annexé à l</w:t>
            </w:r>
            <w:r>
              <w:t>’</w:t>
            </w:r>
            <w:r w:rsidRPr="004A6E44">
              <w:t>attestation de conformité délivrée par l</w:t>
            </w:r>
            <w:r>
              <w:t>’</w:t>
            </w:r>
            <w:r w:rsidRPr="004A6E44">
              <w:t xml:space="preserve">autorité compétente du pays de fabrication sur la base des informations communiquées par le </w:t>
            </w:r>
            <w:r>
              <w:t>fabricant.</w:t>
            </w:r>
          </w:p>
        </w:tc>
      </w:tr>
      <w:tr w:rsidR="00DB07AF" w:rsidTr="00216E0F">
        <w:trPr>
          <w:jc w:val="center"/>
        </w:trPr>
        <w:tc>
          <w:tcPr>
            <w:tcW w:w="9637" w:type="dxa"/>
            <w:shd w:val="clear" w:color="auto" w:fill="auto"/>
          </w:tcPr>
          <w:p w:rsidR="00DB07AF" w:rsidRDefault="00DB07AF" w:rsidP="00DB07AF">
            <w:pPr>
              <w:pStyle w:val="SingleTxtG"/>
              <w:ind w:left="2552" w:hanging="2268"/>
            </w:pPr>
            <w:r>
              <w:rPr>
                <w:b/>
              </w:rPr>
              <w:t>Mesure à prendre :</w:t>
            </w:r>
            <w:r>
              <w:rPr>
                <w:b/>
              </w:rPr>
              <w:tab/>
            </w:r>
            <w:r w:rsidRPr="004A6E44">
              <w:t>Modifier les appendices 2 et 4 de l</w:t>
            </w:r>
            <w:r>
              <w:t>’</w:t>
            </w:r>
            <w:r w:rsidRPr="004A6E44">
              <w:t>annexe 1.</w:t>
            </w:r>
          </w:p>
        </w:tc>
      </w:tr>
      <w:tr w:rsidR="00DB07AF" w:rsidTr="00216E0F">
        <w:trPr>
          <w:jc w:val="center"/>
        </w:trPr>
        <w:tc>
          <w:tcPr>
            <w:tcW w:w="9637" w:type="dxa"/>
            <w:shd w:val="clear" w:color="auto" w:fill="auto"/>
          </w:tcPr>
          <w:p w:rsidR="00DB07AF" w:rsidRDefault="00DB07AF" w:rsidP="00DB07AF">
            <w:pPr>
              <w:pStyle w:val="SingleTxtG"/>
              <w:ind w:left="2552" w:hanging="2268"/>
              <w:jc w:val="left"/>
              <w:rPr>
                <w:b/>
              </w:rPr>
            </w:pPr>
            <w:r w:rsidRPr="002A566C">
              <w:rPr>
                <w:b/>
              </w:rPr>
              <w:t>Documents de référence</w:t>
            </w:r>
            <w:r>
              <w:rPr>
                <w:b/>
              </w:rPr>
              <w:t> :</w:t>
            </w:r>
            <w:r>
              <w:rPr>
                <w:b/>
              </w:rPr>
              <w:tab/>
            </w:r>
            <w:r w:rsidRPr="004A6E44">
              <w:t xml:space="preserve">ECE/TRANS/WP.11/2013/4, ECE/TRANS/WP.11/2013/11 </w:t>
            </w:r>
            <w:r>
              <w:t>(</w:t>
            </w:r>
            <w:r w:rsidRPr="004A6E44">
              <w:t>partie II</w:t>
            </w:r>
            <w:r>
              <w:t>)</w:t>
            </w:r>
            <w:r w:rsidRPr="004A6E44">
              <w:t>, document informel INF</w:t>
            </w:r>
            <w:r>
              <w:t>.</w:t>
            </w:r>
            <w:r w:rsidRPr="004A6E44">
              <w:t xml:space="preserve"> 7 (2013), ECE/TRANS/WP.11/2014/8, ECE/TRANS/WP.11/2014/10, ECE/TRANS/WP.11/2014/22, ECE/TRANS/WP.11/2015/15, ECE/TRANS/WP.11/2016/16, ECE/TRANS/WP.11/2016/21.</w:t>
            </w:r>
          </w:p>
        </w:tc>
      </w:tr>
      <w:tr w:rsidR="00DB07AF" w:rsidTr="00216E0F">
        <w:trPr>
          <w:jc w:val="center"/>
        </w:trPr>
        <w:tc>
          <w:tcPr>
            <w:tcW w:w="9637" w:type="dxa"/>
            <w:shd w:val="clear" w:color="auto" w:fill="auto"/>
          </w:tcPr>
          <w:p w:rsidR="00DB07AF" w:rsidRDefault="00DB07AF" w:rsidP="00DB07AF"/>
        </w:tc>
      </w:tr>
    </w:tbl>
    <w:p w:rsidR="00DB07AF" w:rsidRPr="00DB07AF" w:rsidRDefault="00DB07AF" w:rsidP="00DB07AF">
      <w:pPr>
        <w:pStyle w:val="SingleTxtG"/>
      </w:pPr>
    </w:p>
    <w:p w:rsidR="00D73B30" w:rsidRPr="00D35A53" w:rsidRDefault="00B7624D" w:rsidP="00B7624D">
      <w:pPr>
        <w:pStyle w:val="HChG"/>
      </w:pPr>
      <w:r>
        <w:lastRenderedPageBreak/>
        <w:tab/>
      </w:r>
      <w:r w:rsidR="00D73B30" w:rsidRPr="004A6E44">
        <w:tab/>
      </w:r>
      <w:r w:rsidR="00D73B30" w:rsidRPr="00D35A53">
        <w:t>Introduction</w:t>
      </w:r>
    </w:p>
    <w:p w:rsidR="00D73B30" w:rsidRPr="004A6E44" w:rsidRDefault="00D73B30" w:rsidP="00AD3033">
      <w:pPr>
        <w:pStyle w:val="SingleTxtG"/>
      </w:pPr>
      <w:r w:rsidRPr="004A6E44">
        <w:t>1.</w:t>
      </w:r>
      <w:r w:rsidRPr="004A6E44">
        <w:tab/>
        <w:t>La version actuelle de l</w:t>
      </w:r>
      <w:r w:rsidR="00517B2D">
        <w:t>’</w:t>
      </w:r>
      <w:r w:rsidRPr="004A6E44">
        <w:t>appendice 4 de l</w:t>
      </w:r>
      <w:r w:rsidR="00517B2D">
        <w:t>’</w:t>
      </w:r>
      <w:r w:rsidRPr="004A6E44">
        <w:t>annexe 1 porte sur les marques d</w:t>
      </w:r>
      <w:r w:rsidR="00517B2D">
        <w:t>’</w:t>
      </w:r>
      <w:r w:rsidRPr="004A6E44">
        <w:t>identification à apposer extérieurement sur des engins isothermes pouvant être réfrigérants, frigorifiques ou calorifiques. La même marque d</w:t>
      </w:r>
      <w:r w:rsidR="00517B2D">
        <w:t>’</w:t>
      </w:r>
      <w:r w:rsidRPr="004A6E44">
        <w:t>identification figure sur la plaque d</w:t>
      </w:r>
      <w:r w:rsidR="00517B2D">
        <w:t>’</w:t>
      </w:r>
      <w:r w:rsidRPr="004A6E44">
        <w:t>attestation prescrite au paragraphe 3 de l</w:t>
      </w:r>
      <w:r w:rsidR="00517B2D">
        <w:t>’</w:t>
      </w:r>
      <w:r w:rsidRPr="004A6E44">
        <w:t>appendice 1 de l</w:t>
      </w:r>
      <w:r w:rsidR="00517B2D">
        <w:t>’</w:t>
      </w:r>
      <w:r w:rsidRPr="004A6E44">
        <w:t>annexe 1</w:t>
      </w:r>
      <w:r w:rsidR="00682C1A">
        <w:t>.</w:t>
      </w:r>
    </w:p>
    <w:p w:rsidR="00D73B30" w:rsidRPr="004A6E44" w:rsidRDefault="00D73B30" w:rsidP="00AD3033">
      <w:pPr>
        <w:pStyle w:val="SingleTxtG"/>
      </w:pPr>
      <w:r w:rsidRPr="004A6E44">
        <w:t>2.</w:t>
      </w:r>
      <w:r w:rsidRPr="004A6E44">
        <w:tab/>
        <w:t xml:space="preserve">La version actuelle de </w:t>
      </w:r>
      <w:r>
        <w:t>l</w:t>
      </w:r>
      <w:r w:rsidR="00517B2D">
        <w:t>’</w:t>
      </w:r>
      <w:r w:rsidRPr="00EF13E0">
        <w:t>Accord relatif aux transports internationaux de denrées périssables et aux engins</w:t>
      </w:r>
      <w:r w:rsidR="00517B2D">
        <w:t xml:space="preserve"> </w:t>
      </w:r>
      <w:r w:rsidRPr="00EF13E0">
        <w:t>spéciaux à utiliser pour ces transports (ATP)</w:t>
      </w:r>
      <w:r w:rsidRPr="004A6E44">
        <w:t xml:space="preserve"> ne comporte pas de prescriptions réglementaires relatives au marquage des engins à températures</w:t>
      </w:r>
      <w:r>
        <w:t xml:space="preserve"> multiples</w:t>
      </w:r>
      <w:r w:rsidRPr="004A6E44">
        <w:t xml:space="preserve"> et les marques apposées à l</w:t>
      </w:r>
      <w:r w:rsidR="00517B2D">
        <w:t>’</w:t>
      </w:r>
      <w:r w:rsidRPr="004A6E44">
        <w:t>extérieur ne permettent pas de faire la différence entre engins à températures</w:t>
      </w:r>
      <w:r>
        <w:t xml:space="preserve"> multiples</w:t>
      </w:r>
      <w:r w:rsidRPr="004A6E44">
        <w:t xml:space="preserve"> et</w:t>
      </w:r>
      <w:r>
        <w:t xml:space="preserve"> engins</w:t>
      </w:r>
      <w:r w:rsidRPr="004A6E44">
        <w:t xml:space="preserve"> à température unique. Le marquage des engins doit répondre aux besoins des autorités de contrôle et des utilisateurs et il doit pouvoir être compris sans ambiguïté par tous, que les cloisons internes soient fixes, mobiles ou amovibles. Des véhicules à températures</w:t>
      </w:r>
      <w:r>
        <w:t xml:space="preserve"> multiples</w:t>
      </w:r>
      <w:r w:rsidRPr="004A6E44">
        <w:t xml:space="preserve"> peuvent être conçus pour comporter jusqu</w:t>
      </w:r>
      <w:r w:rsidR="00517B2D">
        <w:t>’</w:t>
      </w:r>
      <w:r w:rsidRPr="004A6E44">
        <w:t>à six zones de température indépendantes à l</w:t>
      </w:r>
      <w:r w:rsidR="00517B2D">
        <w:t>’</w:t>
      </w:r>
      <w:r w:rsidRPr="004A6E44">
        <w:t>intérieur desquelles la température peut être fixe ou variable.</w:t>
      </w:r>
    </w:p>
    <w:p w:rsidR="00D73B30" w:rsidRPr="004A6E44" w:rsidRDefault="00D73B30" w:rsidP="00AD3033">
      <w:pPr>
        <w:pStyle w:val="SingleTxtG"/>
      </w:pPr>
      <w:r w:rsidRPr="004A6E44">
        <w:t>3.</w:t>
      </w:r>
      <w:r w:rsidRPr="004A6E44">
        <w:tab/>
        <w:t>Lors de la soixante-neuvième session du WP.11</w:t>
      </w:r>
      <w:r>
        <w:t>,</w:t>
      </w:r>
      <w:r w:rsidRPr="004A6E44">
        <w:t xml:space="preserve"> </w:t>
      </w:r>
      <w:r>
        <w:t>les</w:t>
      </w:r>
      <w:r w:rsidRPr="004A6E44">
        <w:t xml:space="preserve"> documents </w:t>
      </w:r>
      <w:r>
        <w:t xml:space="preserve">suivants, </w:t>
      </w:r>
      <w:r w:rsidRPr="004A6E44">
        <w:t>consacrés au marquage des engins à températures multiples</w:t>
      </w:r>
      <w:r>
        <w:t>,</w:t>
      </w:r>
      <w:r w:rsidRPr="004A6E44">
        <w:t xml:space="preserve"> ont été présentés</w:t>
      </w:r>
      <w:r w:rsidR="007725E0">
        <w:t xml:space="preserve"> : </w:t>
      </w:r>
      <w:r w:rsidRPr="004A6E44">
        <w:t>ECE/TRANS/WP.11/2013/4 (Portugal), ECE/TRANS/WP.11/2013/11, partie II (France) et document informel INF. 7 (Pays-Bas). Les discussions se sont poursuivies lors des soixante-dixième, soixante et onzième et soixante-douzième sessions, lors desquelles les documents suivants ont été présentés :</w:t>
      </w:r>
      <w:r w:rsidR="00CF294E">
        <w:t xml:space="preserve"> </w:t>
      </w:r>
      <w:r w:rsidRPr="006808EC">
        <w:t>ECE/TRANS/WP.11/2014/8</w:t>
      </w:r>
      <w:r w:rsidRPr="004A6E44">
        <w:rPr>
          <w:spacing w:val="-10"/>
        </w:rPr>
        <w:t xml:space="preserve"> (Portugal)</w:t>
      </w:r>
      <w:r w:rsidRPr="004A6E44">
        <w:t>, ECE/TRANS/WP.11/2014/10 (Allemagne), ECE/TRANS/WP.11/2014/22 (France), ECE/TRANS/WP.11/2015/15 (France), ECE/TRANS/WP.11/2016/16 (France)</w:t>
      </w:r>
      <w:r>
        <w:t xml:space="preserve"> et</w:t>
      </w:r>
      <w:r w:rsidRPr="004A6E44">
        <w:t xml:space="preserve"> ECE/TRANS/WP.11/2016/21 (Pays-Bas).</w:t>
      </w:r>
    </w:p>
    <w:p w:rsidR="00D73B30" w:rsidRPr="004A6E44" w:rsidRDefault="00D73B30" w:rsidP="00AD3033">
      <w:pPr>
        <w:pStyle w:val="SingleTxtG"/>
      </w:pPr>
      <w:r w:rsidRPr="004A6E44">
        <w:t>4.</w:t>
      </w:r>
      <w:r w:rsidRPr="004A6E44">
        <w:tab/>
        <w:t>Les discussions ont permis de conclure qu</w:t>
      </w:r>
      <w:r w:rsidR="00517B2D">
        <w:t>’</w:t>
      </w:r>
      <w:r w:rsidRPr="004A6E44">
        <w:t>un marquage extérieur minimal des engins à températures</w:t>
      </w:r>
      <w:r>
        <w:t xml:space="preserve"> multiples</w:t>
      </w:r>
      <w:r w:rsidRPr="004A6E44">
        <w:t xml:space="preserve"> était nécessaire. Des marques détaillées ne sauraient représenter la diversité des configurations d</w:t>
      </w:r>
      <w:r w:rsidR="00517B2D">
        <w:t>’</w:t>
      </w:r>
      <w:r w:rsidRPr="004A6E44">
        <w:t xml:space="preserve">engins disponibles. Il vaut mieux recourir à une solution simple et pragmatique pour combler </w:t>
      </w:r>
      <w:r>
        <w:t>l</w:t>
      </w:r>
      <w:r w:rsidR="00517B2D">
        <w:t>’</w:t>
      </w:r>
      <w:r w:rsidRPr="004A6E44">
        <w:t>écart entre le marquage extérieur et la description détaillée des engins à températures multiples.</w:t>
      </w:r>
    </w:p>
    <w:p w:rsidR="00D73B30" w:rsidRPr="004A6E44" w:rsidRDefault="00AD3033" w:rsidP="00AD3033">
      <w:pPr>
        <w:pStyle w:val="HChG"/>
      </w:pPr>
      <w:r>
        <w:tab/>
      </w:r>
      <w:r w:rsidR="00D73B30" w:rsidRPr="004A6E44">
        <w:t>I.</w:t>
      </w:r>
      <w:r w:rsidR="00D73B30" w:rsidRPr="004A6E44">
        <w:tab/>
        <w:t>Proposition</w:t>
      </w:r>
    </w:p>
    <w:p w:rsidR="00D73B30" w:rsidRPr="004A6E44" w:rsidRDefault="00D73B30" w:rsidP="00AD3033">
      <w:pPr>
        <w:pStyle w:val="SingleTxtG"/>
      </w:pPr>
      <w:r w:rsidRPr="004A6E44">
        <w:t>5.</w:t>
      </w:r>
      <w:r w:rsidRPr="004A6E44">
        <w:tab/>
        <w:t xml:space="preserve">Il est proposé </w:t>
      </w:r>
      <w:r>
        <w:t>d</w:t>
      </w:r>
      <w:r w:rsidR="00517B2D">
        <w:t>’</w:t>
      </w:r>
      <w:r>
        <w:t>effectuer un</w:t>
      </w:r>
      <w:r w:rsidRPr="004A6E44">
        <w:t xml:space="preserve"> marquage </w:t>
      </w:r>
      <w:r>
        <w:t xml:space="preserve">distinct </w:t>
      </w:r>
      <w:r w:rsidRPr="004A6E44">
        <w:t>des engins à températures</w:t>
      </w:r>
      <w:r>
        <w:t xml:space="preserve"> multiples</w:t>
      </w:r>
      <w:r w:rsidRPr="004A6E44">
        <w:t xml:space="preserve"> selon le nombre de compartiments</w:t>
      </w:r>
      <w:r w:rsidR="00517B2D">
        <w:t xml:space="preserve"> :</w:t>
      </w:r>
    </w:p>
    <w:p w:rsidR="00D73B30" w:rsidRPr="004A6E44" w:rsidRDefault="00D73B30" w:rsidP="0081772E">
      <w:pPr>
        <w:pStyle w:val="Bullet1G"/>
      </w:pPr>
      <w:r w:rsidRPr="004A6E44">
        <w:t>Si l</w:t>
      </w:r>
      <w:r w:rsidR="00517B2D">
        <w:t>’</w:t>
      </w:r>
      <w:r w:rsidRPr="004A6E44">
        <w:t>engin est divisé en deux compartiments, le marquage indique la classe ATP de chaque compartiment (par exemple FRC-FRA) en commençant par le compartiment situé sur la partie avant ou à gauche de l</w:t>
      </w:r>
      <w:r w:rsidR="00517B2D">
        <w:t>’</w:t>
      </w:r>
      <w:r w:rsidRPr="004A6E44">
        <w:t>engin</w:t>
      </w:r>
      <w:r w:rsidR="00517B2D">
        <w:t xml:space="preserve"> ;</w:t>
      </w:r>
    </w:p>
    <w:p w:rsidR="00D73B30" w:rsidRPr="004A6E44" w:rsidRDefault="00D73B30" w:rsidP="0081772E">
      <w:pPr>
        <w:pStyle w:val="Bullet1G"/>
      </w:pPr>
      <w:r w:rsidRPr="004A6E44">
        <w:t>Si l</w:t>
      </w:r>
      <w:r w:rsidR="00517B2D">
        <w:t>’</w:t>
      </w:r>
      <w:r w:rsidRPr="004A6E44">
        <w:t>engin est divisé en trois compartiments ou plus, il porte la marque d</w:t>
      </w:r>
      <w:r w:rsidR="00517B2D">
        <w:t>’</w:t>
      </w:r>
      <w:r w:rsidRPr="004A6E44">
        <w:t>identification de la classe ATP la plus élevée complétée de la lett</w:t>
      </w:r>
      <w:r>
        <w:t>re</w:t>
      </w:r>
      <w:r w:rsidRPr="004A6E44">
        <w:t xml:space="preserve"> M (par exemple FRC-M) quel que soit le nombre total de compartiments réfrigérés de manière indépendante.</w:t>
      </w:r>
    </w:p>
    <w:p w:rsidR="00D73B30" w:rsidRPr="004A6E44" w:rsidRDefault="00D73B30" w:rsidP="00AD3033">
      <w:pPr>
        <w:pStyle w:val="SingleTxtG"/>
      </w:pPr>
      <w:r w:rsidRPr="004A6E44">
        <w:t>6.</w:t>
      </w:r>
      <w:r w:rsidRPr="004A6E44">
        <w:tab/>
        <w:t>Des informations additionnelles ou plus détaillées devraient être fournies par le fabricant dans un document</w:t>
      </w:r>
      <w:r>
        <w:t xml:space="preserve"> supplémentaire</w:t>
      </w:r>
      <w:r w:rsidRPr="004A6E44">
        <w:t xml:space="preserve"> annexé à l</w:t>
      </w:r>
      <w:r w:rsidR="00517B2D">
        <w:t>’</w:t>
      </w:r>
      <w:r w:rsidRPr="004A6E44">
        <w:t>attestation de conformité délivrée par l</w:t>
      </w:r>
      <w:r w:rsidR="00517B2D">
        <w:t>’</w:t>
      </w:r>
      <w:r w:rsidRPr="004A6E44">
        <w:t>autorité compétente du pays de fabrication.</w:t>
      </w:r>
    </w:p>
    <w:p w:rsidR="00D73B30" w:rsidRPr="004A6E44" w:rsidRDefault="00D73B30" w:rsidP="00AD3033">
      <w:pPr>
        <w:pStyle w:val="SingleTxtG"/>
      </w:pPr>
      <w:r w:rsidRPr="004A6E44">
        <w:t>7.</w:t>
      </w:r>
      <w:r w:rsidRPr="004A6E44">
        <w:tab/>
        <w:t>Ce document supplémentaire devrait inclure</w:t>
      </w:r>
      <w:r w:rsidR="00682C1A">
        <w:t> :</w:t>
      </w:r>
    </w:p>
    <w:p w:rsidR="00D73B30" w:rsidRPr="004A6E44" w:rsidRDefault="00D73B30" w:rsidP="00AD3033">
      <w:pPr>
        <w:pStyle w:val="Bullet1G"/>
      </w:pPr>
      <w:r w:rsidRPr="004A6E44">
        <w:t xml:space="preserve">Un croquis </w:t>
      </w:r>
      <w:r>
        <w:t>montrant</w:t>
      </w:r>
      <w:r w:rsidRPr="004A6E44">
        <w:t xml:space="preserve"> la configuration exacte</w:t>
      </w:r>
      <w:r>
        <w:t xml:space="preserve"> des compartiments</w:t>
      </w:r>
      <w:r w:rsidRPr="004A6E44">
        <w:t xml:space="preserve"> et du système d</w:t>
      </w:r>
      <w:r w:rsidR="00517B2D">
        <w:t>’</w:t>
      </w:r>
      <w:r w:rsidRPr="004A6E44">
        <w:t>évaporation</w:t>
      </w:r>
      <w:r w:rsidR="00682C1A">
        <w:t> ;</w:t>
      </w:r>
    </w:p>
    <w:p w:rsidR="00D73B30" w:rsidRPr="004A6E44" w:rsidRDefault="00D73B30" w:rsidP="00AD3033">
      <w:pPr>
        <w:pStyle w:val="Bullet1G"/>
      </w:pPr>
      <w:r w:rsidRPr="004A6E44">
        <w:t>La preuve par le calcul que l</w:t>
      </w:r>
      <w:r w:rsidR="00517B2D">
        <w:t>’</w:t>
      </w:r>
      <w:r w:rsidRPr="004A6E44">
        <w:t>engin réfrigérant à températures</w:t>
      </w:r>
      <w:r>
        <w:t xml:space="preserve"> multiples</w:t>
      </w:r>
      <w:r w:rsidRPr="004A6E44">
        <w:t xml:space="preserve"> satisfait aux prescriptions de l</w:t>
      </w:r>
      <w:r w:rsidR="00517B2D">
        <w:t>’</w:t>
      </w:r>
      <w:r w:rsidRPr="004A6E44">
        <w:t xml:space="preserve">ATP pour le degré de liberté </w:t>
      </w:r>
      <w:r>
        <w:t>voulu</w:t>
      </w:r>
      <w:r w:rsidRPr="004A6E44">
        <w:t xml:space="preserve"> par l</w:t>
      </w:r>
      <w:r w:rsidR="00517B2D">
        <w:t>’</w:t>
      </w:r>
      <w:r w:rsidRPr="004A6E44">
        <w:t>utilisateur en ce qui concerne les températures et les dimensions des compartiments.</w:t>
      </w:r>
    </w:p>
    <w:p w:rsidR="00D73B30" w:rsidRPr="004A6E44" w:rsidRDefault="00D73B30" w:rsidP="00431023">
      <w:pPr>
        <w:pStyle w:val="SingleTxtG"/>
        <w:keepNext/>
        <w:keepLines/>
      </w:pPr>
      <w:r w:rsidRPr="004A6E44">
        <w:lastRenderedPageBreak/>
        <w:t>8.</w:t>
      </w:r>
      <w:r w:rsidRPr="004A6E44">
        <w:tab/>
        <w:t>Le document supplémentaire pourrait par exemple être produit par l</w:t>
      </w:r>
      <w:r w:rsidR="00517B2D">
        <w:t>’</w:t>
      </w:r>
      <w:r w:rsidRPr="004A6E44">
        <w:t>outil de calcul</w:t>
      </w:r>
      <w:r>
        <w:t xml:space="preserve"> pour engins</w:t>
      </w:r>
      <w:r w:rsidRPr="004A6E44">
        <w:t xml:space="preserve"> à températures</w:t>
      </w:r>
      <w:r>
        <w:t xml:space="preserve"> multiples</w:t>
      </w:r>
      <w:r w:rsidRPr="004A6E44">
        <w:t xml:space="preserve"> </w:t>
      </w:r>
      <w:r>
        <w:t>mis au point par</w:t>
      </w:r>
      <w:r w:rsidRPr="004A6E44">
        <w:t xml:space="preserve"> </w:t>
      </w:r>
      <w:proofErr w:type="spellStart"/>
      <w:r w:rsidRPr="004A6E44">
        <w:t>Transfrigoroute</w:t>
      </w:r>
      <w:proofErr w:type="spellEnd"/>
      <w:r w:rsidRPr="004A6E44">
        <w:t xml:space="preserve"> International. </w:t>
      </w:r>
      <w:r w:rsidR="007725E0">
        <w:t>Dans </w:t>
      </w:r>
      <w:r w:rsidRPr="004A6E44">
        <w:t>ce cas, il convient de modifier le Manuel ATP en y introduisant une référence à l</w:t>
      </w:r>
      <w:r w:rsidR="00517B2D">
        <w:t>’</w:t>
      </w:r>
      <w:r>
        <w:t>outil</w:t>
      </w:r>
      <w:r w:rsidRPr="004A6E44">
        <w:t xml:space="preserve"> de calcul à utiliser </w:t>
      </w:r>
      <w:r>
        <w:t>à cette fin</w:t>
      </w:r>
      <w:r w:rsidRPr="004A6E44">
        <w:t>.</w:t>
      </w:r>
    </w:p>
    <w:p w:rsidR="00D73B30" w:rsidRPr="004A6E44" w:rsidRDefault="00D73B30" w:rsidP="00AD3033">
      <w:pPr>
        <w:pStyle w:val="SingleTxtG"/>
      </w:pPr>
      <w:r w:rsidRPr="004A6E44">
        <w:t>9.</w:t>
      </w:r>
      <w:r w:rsidRPr="004A6E44">
        <w:tab/>
        <w:t>Une fois ces prescriptions mises en œuvre, et sur la base des informations additionnelles contenues dans le document supplémentaire, les engins à températures</w:t>
      </w:r>
      <w:r>
        <w:t xml:space="preserve"> multiples</w:t>
      </w:r>
      <w:r w:rsidRPr="004A6E44">
        <w:t xml:space="preserve"> seront plus transparents en ce qui concerne leur capacité opérationnelle et </w:t>
      </w:r>
      <w:r>
        <w:t>les</w:t>
      </w:r>
      <w:r w:rsidRPr="004A6E44">
        <w:t xml:space="preserve"> restrictions</w:t>
      </w:r>
      <w:r>
        <w:t xml:space="preserve"> applicables</w:t>
      </w:r>
      <w:r w:rsidRPr="004A6E44">
        <w:t xml:space="preserve">, ce qui bénéficiera à toutes les parties intéressées </w:t>
      </w:r>
      <w:r w:rsidR="00431023">
        <w:t>− </w:t>
      </w:r>
      <w:r w:rsidRPr="004A6E44">
        <w:t>exploitants des engins, expéditeurs de denrées périssables, fabricants et autorités compétentes.</w:t>
      </w:r>
    </w:p>
    <w:p w:rsidR="00D73B30" w:rsidRPr="004A6E44" w:rsidRDefault="00D73B30" w:rsidP="00AD3033">
      <w:pPr>
        <w:pStyle w:val="SingleTxtG"/>
      </w:pPr>
      <w:r w:rsidRPr="004A6E44">
        <w:t>10.</w:t>
      </w:r>
      <w:r w:rsidRPr="004A6E44">
        <w:tab/>
        <w:t>Cette prescription ne s</w:t>
      </w:r>
      <w:r w:rsidR="00517B2D">
        <w:t>’</w:t>
      </w:r>
      <w:r w:rsidRPr="004A6E44">
        <w:t>applique qu</w:t>
      </w:r>
      <w:r w:rsidR="00517B2D">
        <w:t>’</w:t>
      </w:r>
      <w:r w:rsidRPr="004A6E44">
        <w:t xml:space="preserve">aux engins </w:t>
      </w:r>
      <w:r>
        <w:t xml:space="preserve">qui seront </w:t>
      </w:r>
      <w:r w:rsidRPr="004A6E44">
        <w:t>fabriqués à partir du 1</w:t>
      </w:r>
      <w:r w:rsidRPr="00D35A53">
        <w:rPr>
          <w:vertAlign w:val="superscript"/>
        </w:rPr>
        <w:t>er</w:t>
      </w:r>
      <w:r w:rsidR="00431023">
        <w:t> </w:t>
      </w:r>
      <w:r w:rsidRPr="004A6E44">
        <w:t>octobre 2020. Cette date devrait correspondre au premier anniversaire de l</w:t>
      </w:r>
      <w:r w:rsidR="00517B2D">
        <w:t>’</w:t>
      </w:r>
      <w:r w:rsidRPr="004A6E44">
        <w:t>entrée en vigueur des amendements proposés</w:t>
      </w:r>
      <w:r>
        <w:t xml:space="preserve">, ce qui </w:t>
      </w:r>
      <w:r w:rsidRPr="004A6E44">
        <w:t xml:space="preserve">devrait donner à toutes les parties </w:t>
      </w:r>
      <w:r>
        <w:t>suffisamment de</w:t>
      </w:r>
      <w:r w:rsidRPr="004A6E44">
        <w:t xml:space="preserve"> temps pour se préparer. Il n</w:t>
      </w:r>
      <w:r w:rsidR="00517B2D">
        <w:t>’</w:t>
      </w:r>
      <w:r w:rsidRPr="004A6E44">
        <w:t>est pas nécessaire de modifier les marques apposées à l</w:t>
      </w:r>
      <w:r w:rsidR="00517B2D">
        <w:t>’</w:t>
      </w:r>
      <w:r w:rsidRPr="004A6E44">
        <w:t>extérieur de</w:t>
      </w:r>
      <w:r>
        <w:t>s</w:t>
      </w:r>
      <w:r w:rsidRPr="004A6E44">
        <w:t xml:space="preserve"> engin</w:t>
      </w:r>
      <w:r>
        <w:t>s</w:t>
      </w:r>
      <w:r w:rsidRPr="004A6E44">
        <w:t xml:space="preserve"> à température</w:t>
      </w:r>
      <w:r>
        <w:t>s multiples</w:t>
      </w:r>
      <w:r w:rsidRPr="004A6E44">
        <w:t>. Les systèmes de marquage des engins à température</w:t>
      </w:r>
      <w:r>
        <w:t xml:space="preserve">s multiples </w:t>
      </w:r>
      <w:r w:rsidRPr="004A6E44">
        <w:t xml:space="preserve">déjà en place </w:t>
      </w:r>
      <w:r>
        <w:t xml:space="preserve">sur des engins existants </w:t>
      </w:r>
      <w:r w:rsidRPr="004A6E44">
        <w:t>peuvent être conservés.</w:t>
      </w:r>
    </w:p>
    <w:p w:rsidR="00D73B30" w:rsidRPr="004A6E44" w:rsidRDefault="00AD3033" w:rsidP="00AD3033">
      <w:pPr>
        <w:pStyle w:val="HChG"/>
      </w:pPr>
      <w:r>
        <w:tab/>
      </w:r>
      <w:r w:rsidR="00D73B30" w:rsidRPr="004A6E44">
        <w:t>II.</w:t>
      </w:r>
      <w:r w:rsidR="00D73B30" w:rsidRPr="004A6E44">
        <w:tab/>
        <w:t>Modifications requises</w:t>
      </w:r>
    </w:p>
    <w:p w:rsidR="00D73B30" w:rsidRPr="004A6E44" w:rsidRDefault="00D73B30" w:rsidP="00AD3033">
      <w:pPr>
        <w:pStyle w:val="SingleTxtG"/>
      </w:pPr>
      <w:r w:rsidRPr="004A6E44">
        <w:t>11.</w:t>
      </w:r>
      <w:r w:rsidRPr="004A6E44">
        <w:tab/>
        <w:t>À l</w:t>
      </w:r>
      <w:r w:rsidR="00517B2D">
        <w:t>’</w:t>
      </w:r>
      <w:r w:rsidRPr="004A6E44">
        <w:t>appendice 4 de l</w:t>
      </w:r>
      <w:r w:rsidR="00517B2D">
        <w:t>’</w:t>
      </w:r>
      <w:r w:rsidRPr="004A6E44">
        <w:t>annexe 1, ajouter le texte suivant après le tableau</w:t>
      </w:r>
      <w:r w:rsidR="00431023">
        <w:t> :</w:t>
      </w:r>
    </w:p>
    <w:p w:rsidR="00D73B30" w:rsidRPr="004A6E44" w:rsidRDefault="00AD3033" w:rsidP="00AD3033">
      <w:pPr>
        <w:pStyle w:val="SingleTxtG"/>
        <w:ind w:left="1701" w:firstLine="567"/>
      </w:pPr>
      <w:r>
        <w:t>« </w:t>
      </w:r>
      <w:r w:rsidR="00D73B30" w:rsidRPr="004A6E44">
        <w:t>Dans le cas d</w:t>
      </w:r>
      <w:r w:rsidR="00517B2D">
        <w:t>’</w:t>
      </w:r>
      <w:r w:rsidR="00D73B30">
        <w:t>un</w:t>
      </w:r>
      <w:r w:rsidR="00D73B30" w:rsidRPr="004A6E44">
        <w:t xml:space="preserve"> engin à températures</w:t>
      </w:r>
      <w:r w:rsidR="00D73B30">
        <w:t xml:space="preserve"> multiples</w:t>
      </w:r>
      <w:r w:rsidR="00D73B30" w:rsidRPr="004A6E44">
        <w:t xml:space="preserve"> divisé en deux compartiments, le marquage apposé sur l</w:t>
      </w:r>
      <w:r w:rsidR="00517B2D">
        <w:t>’</w:t>
      </w:r>
      <w:r w:rsidR="00D73B30" w:rsidRPr="004A6E44">
        <w:t>engin est compos</w:t>
      </w:r>
      <w:r w:rsidR="00D73B30">
        <w:t>é</w:t>
      </w:r>
      <w:r w:rsidR="00D73B30" w:rsidRPr="004A6E44">
        <w:t xml:space="preserve"> des marques d</w:t>
      </w:r>
      <w:r w:rsidR="00517B2D">
        <w:t>’</w:t>
      </w:r>
      <w:r w:rsidR="00D73B30" w:rsidRPr="004A6E44">
        <w:t>identification de chaque compartiment (par exemple</w:t>
      </w:r>
      <w:r>
        <w:t> :</w:t>
      </w:r>
      <w:r w:rsidR="00D73B30" w:rsidRPr="004A6E44">
        <w:t xml:space="preserve"> FRC-FRA) en commençant par le compartiment situé sur la partie avant ou sur la gauche de l</w:t>
      </w:r>
      <w:r w:rsidR="00517B2D">
        <w:t>’</w:t>
      </w:r>
      <w:r w:rsidR="00D73B30" w:rsidRPr="004A6E44">
        <w:t>engin</w:t>
      </w:r>
      <w:r w:rsidR="00517B2D">
        <w:t xml:space="preserve"> ;</w:t>
      </w:r>
    </w:p>
    <w:p w:rsidR="00D73B30" w:rsidRPr="004A6E44" w:rsidRDefault="00D73B30" w:rsidP="00AD3033">
      <w:pPr>
        <w:pStyle w:val="SingleTxtG"/>
        <w:ind w:left="1701" w:firstLine="567"/>
      </w:pPr>
      <w:r w:rsidRPr="004A6E44">
        <w:t>Dans le cas d</w:t>
      </w:r>
      <w:r w:rsidR="00517B2D">
        <w:t>’</w:t>
      </w:r>
      <w:r>
        <w:t>un</w:t>
      </w:r>
      <w:r w:rsidRPr="004A6E44">
        <w:t xml:space="preserve"> engin à températures</w:t>
      </w:r>
      <w:r>
        <w:t xml:space="preserve"> multiples</w:t>
      </w:r>
      <w:r w:rsidRPr="004A6E44">
        <w:t xml:space="preserve"> divisé en trois compartiments ou plus, la marque d</w:t>
      </w:r>
      <w:r w:rsidR="00517B2D">
        <w:t>’</w:t>
      </w:r>
      <w:r w:rsidRPr="004A6E44">
        <w:t>identification ne doit être choisie que pour la classe ATP la plus élevée et complé</w:t>
      </w:r>
      <w:r w:rsidR="00431023">
        <w:t>tée de la lettre M (par exemple :</w:t>
      </w:r>
      <w:r w:rsidRPr="004A6E44">
        <w:t xml:space="preserve"> FRC-M).</w:t>
      </w:r>
    </w:p>
    <w:p w:rsidR="00D73B30" w:rsidRPr="004A6E44" w:rsidRDefault="00D73B30" w:rsidP="00AD3033">
      <w:pPr>
        <w:pStyle w:val="SingleTxtG"/>
        <w:ind w:left="1701" w:firstLine="567"/>
      </w:pPr>
      <w:r w:rsidRPr="004A6E44">
        <w:t xml:space="preserve">Ce marquage est obligatoire pour tous les engins </w:t>
      </w:r>
      <w:r>
        <w:t>fabriqués</w:t>
      </w:r>
      <w:r w:rsidRPr="004A6E44">
        <w:t xml:space="preserve"> après le 1</w:t>
      </w:r>
      <w:r w:rsidRPr="00D35A53">
        <w:rPr>
          <w:vertAlign w:val="superscript"/>
        </w:rPr>
        <w:t>er</w:t>
      </w:r>
      <w:r w:rsidR="00682C1A">
        <w:t> </w:t>
      </w:r>
      <w:r w:rsidRPr="004A6E44">
        <w:t xml:space="preserve">octobre 2020. Les systèmes de marquage des engins à températures </w:t>
      </w:r>
      <w:r>
        <w:t xml:space="preserve">multiples </w:t>
      </w:r>
      <w:r w:rsidRPr="004A6E44">
        <w:t>déjà mis en place sur des engins e</w:t>
      </w:r>
      <w:r w:rsidR="00AD3033">
        <w:t>xistants peuvent être conservés. »</w:t>
      </w:r>
      <w:r w:rsidRPr="004A6E44">
        <w:t>.</w:t>
      </w:r>
    </w:p>
    <w:p w:rsidR="00D73B30" w:rsidRPr="004A6E44" w:rsidRDefault="00D73B30" w:rsidP="00AD3033">
      <w:pPr>
        <w:pStyle w:val="SingleTxtG"/>
      </w:pPr>
      <w:r w:rsidRPr="004A6E44">
        <w:t>12.</w:t>
      </w:r>
      <w:r w:rsidRPr="004A6E44">
        <w:tab/>
        <w:t>Dans l</w:t>
      </w:r>
      <w:r w:rsidR="00517B2D">
        <w:t>’</w:t>
      </w:r>
      <w:r w:rsidRPr="004A6E44">
        <w:t>appendice 2 de l</w:t>
      </w:r>
      <w:r w:rsidR="00517B2D">
        <w:t>’</w:t>
      </w:r>
      <w:r w:rsidRPr="004A6E44">
        <w:t xml:space="preserve">annexe 1, ajouter le texte suivant après le texte actuel du paragraphe </w:t>
      </w:r>
      <w:r w:rsidR="00431023">
        <w:t>7.3.6 :</w:t>
      </w:r>
    </w:p>
    <w:p w:rsidR="00D73B30" w:rsidRPr="004A6E44" w:rsidRDefault="00AD3033" w:rsidP="00AD3033">
      <w:pPr>
        <w:pStyle w:val="SingleTxtG"/>
        <w:ind w:left="1701" w:firstLine="567"/>
      </w:pPr>
      <w:r>
        <w:t>« </w:t>
      </w:r>
      <w:r w:rsidR="00D73B30" w:rsidRPr="004A6E44">
        <w:t>Une déclaration de conformité doit être fournie dans un document supplémentaire annexé à l</w:t>
      </w:r>
      <w:r w:rsidR="00517B2D">
        <w:t>’</w:t>
      </w:r>
      <w:r w:rsidR="00D73B30" w:rsidRPr="004A6E44">
        <w:t>attestation de conformité délivrée par l</w:t>
      </w:r>
      <w:r w:rsidR="00517B2D">
        <w:t>’</w:t>
      </w:r>
      <w:r w:rsidR="00D73B30" w:rsidRPr="004A6E44">
        <w:t xml:space="preserve">autorité compétente du pays de fabrication. Le document </w:t>
      </w:r>
      <w:r w:rsidR="00D73B30">
        <w:t>est</w:t>
      </w:r>
      <w:r w:rsidR="00D73B30" w:rsidRPr="004A6E44">
        <w:t xml:space="preserve"> fond</w:t>
      </w:r>
      <w:r w:rsidR="00D73B30">
        <w:t>é</w:t>
      </w:r>
      <w:r w:rsidR="00D73B30" w:rsidRPr="004A6E44">
        <w:t xml:space="preserve"> sur les informations communiquées par le </w:t>
      </w:r>
      <w:r w:rsidR="00D73B30">
        <w:t>fabricant</w:t>
      </w:r>
      <w:r w:rsidR="00D73B30" w:rsidRPr="004A6E44">
        <w:t xml:space="preserve">. </w:t>
      </w:r>
    </w:p>
    <w:p w:rsidR="00D73B30" w:rsidRPr="004A6E44" w:rsidRDefault="00D73B30" w:rsidP="00AD3033">
      <w:pPr>
        <w:pStyle w:val="SingleTxtG"/>
        <w:ind w:left="1701" w:firstLine="567"/>
      </w:pPr>
      <w:r w:rsidRPr="004A6E44">
        <w:t>Ce document doit comporter au moins</w:t>
      </w:r>
      <w:r w:rsidR="00517B2D">
        <w:t xml:space="preserve"> :</w:t>
      </w:r>
    </w:p>
    <w:p w:rsidR="00D73B30" w:rsidRPr="004A6E44" w:rsidRDefault="00D73B30" w:rsidP="00202D6E">
      <w:pPr>
        <w:pStyle w:val="Bullet2G"/>
      </w:pPr>
      <w:r w:rsidRPr="004A6E44">
        <w:t xml:space="preserve">Un croquis </w:t>
      </w:r>
      <w:r>
        <w:t>montrant</w:t>
      </w:r>
      <w:r w:rsidRPr="004A6E44">
        <w:t xml:space="preserve"> la configuration exacte des compartiments et du système d</w:t>
      </w:r>
      <w:r w:rsidR="00517B2D">
        <w:t>’</w:t>
      </w:r>
      <w:r w:rsidRPr="004A6E44">
        <w:t>évaporation</w:t>
      </w:r>
      <w:r w:rsidR="00517B2D">
        <w:t xml:space="preserve"> ;</w:t>
      </w:r>
    </w:p>
    <w:p w:rsidR="00D73B30" w:rsidRPr="004A6E44" w:rsidRDefault="00D73B30" w:rsidP="00202D6E">
      <w:pPr>
        <w:pStyle w:val="Bullet2G"/>
      </w:pPr>
      <w:r>
        <w:t>L</w:t>
      </w:r>
      <w:r w:rsidRPr="004A6E44">
        <w:t>a preuve par le calcul que l</w:t>
      </w:r>
      <w:r w:rsidR="00517B2D">
        <w:t>’</w:t>
      </w:r>
      <w:r w:rsidRPr="004A6E44">
        <w:t>engin réfrigérant à températures multiples satisfait aux prescriptions de l</w:t>
      </w:r>
      <w:r w:rsidR="00517B2D">
        <w:t>’</w:t>
      </w:r>
      <w:r w:rsidRPr="004A6E44">
        <w:t xml:space="preserve">ATP pour le degré de liberté </w:t>
      </w:r>
      <w:r>
        <w:t>voulu</w:t>
      </w:r>
      <w:r w:rsidRPr="004A6E44">
        <w:t xml:space="preserve"> par l</w:t>
      </w:r>
      <w:r w:rsidR="00517B2D">
        <w:t>’</w:t>
      </w:r>
      <w:r w:rsidRPr="004A6E44">
        <w:t>utilisateur en ce qui concerne les températures et les dimensions des compartiments.</w:t>
      </w:r>
      <w:r w:rsidR="00AD3033">
        <w:t> ».</w:t>
      </w:r>
    </w:p>
    <w:p w:rsidR="00D73B30" w:rsidRPr="004A6E44" w:rsidRDefault="00D73B30" w:rsidP="00AD3033">
      <w:pPr>
        <w:pStyle w:val="SingleTxtG"/>
      </w:pPr>
      <w:r w:rsidRPr="004A6E44">
        <w:t>13.</w:t>
      </w:r>
      <w:r w:rsidRPr="004A6E44">
        <w:tab/>
        <w:t>Ajouter le commentaire suivant à l</w:t>
      </w:r>
      <w:r w:rsidR="00517B2D">
        <w:t>’</w:t>
      </w:r>
      <w:r w:rsidRPr="004A6E44">
        <w:t>appendice 2 de l</w:t>
      </w:r>
      <w:r w:rsidR="00517B2D">
        <w:t>’</w:t>
      </w:r>
      <w:r w:rsidRPr="004A6E44">
        <w:t>annexe 1 du Manuel ATP</w:t>
      </w:r>
      <w:r w:rsidR="00517B2D">
        <w:t xml:space="preserve"> :</w:t>
      </w:r>
    </w:p>
    <w:p w:rsidR="00D73B30" w:rsidRPr="00AB4B2C" w:rsidRDefault="00AB4B2C" w:rsidP="000248B0">
      <w:pPr>
        <w:pStyle w:val="SingleTxtG"/>
        <w:ind w:left="1701" w:firstLine="567"/>
        <w:rPr>
          <w:i/>
        </w:rPr>
      </w:pPr>
      <w:r w:rsidRPr="00AB4B2C">
        <w:t>«</w:t>
      </w:r>
      <w:r w:rsidRPr="00AB4B2C">
        <w:rPr>
          <w:i/>
        </w:rPr>
        <w:t> </w:t>
      </w:r>
      <w:r w:rsidR="00D73B30" w:rsidRPr="00AB4B2C">
        <w:rPr>
          <w:i/>
        </w:rPr>
        <w:t>Commentaire relatif au paragraphe 7.3.6</w:t>
      </w:r>
    </w:p>
    <w:p w:rsidR="00D73B30" w:rsidRPr="00AB4B2C" w:rsidRDefault="00D73B30" w:rsidP="000248B0">
      <w:pPr>
        <w:pStyle w:val="SingleTxtG"/>
        <w:ind w:left="1701" w:firstLine="567"/>
        <w:rPr>
          <w:i/>
        </w:rPr>
      </w:pPr>
      <w:r w:rsidRPr="00AB4B2C">
        <w:rPr>
          <w:i/>
        </w:rPr>
        <w:t>Les calculs prescrits au paragraphe 7.3.6 peuvent être effectués à l</w:t>
      </w:r>
      <w:r w:rsidR="00517B2D">
        <w:rPr>
          <w:i/>
        </w:rPr>
        <w:t>’</w:t>
      </w:r>
      <w:r w:rsidRPr="00AB4B2C">
        <w:rPr>
          <w:i/>
        </w:rPr>
        <w:t>aide d</w:t>
      </w:r>
      <w:r w:rsidR="00517B2D">
        <w:rPr>
          <w:i/>
        </w:rPr>
        <w:t>’</w:t>
      </w:r>
      <w:r w:rsidRPr="00AB4B2C">
        <w:rPr>
          <w:i/>
        </w:rPr>
        <w:t>un outil de calcul validé et agréé par l</w:t>
      </w:r>
      <w:r w:rsidR="00517B2D">
        <w:rPr>
          <w:i/>
        </w:rPr>
        <w:t>’</w:t>
      </w:r>
      <w:r w:rsidRPr="00AB4B2C">
        <w:rPr>
          <w:i/>
        </w:rPr>
        <w:t>autorité compétente.</w:t>
      </w:r>
    </w:p>
    <w:p w:rsidR="00FA5EFC" w:rsidRDefault="00D73B30" w:rsidP="000248B0">
      <w:pPr>
        <w:pStyle w:val="SingleTxtG"/>
        <w:ind w:left="1701" w:firstLine="567"/>
      </w:pPr>
      <w:r w:rsidRPr="00AB4B2C">
        <w:rPr>
          <w:i/>
        </w:rPr>
        <w:t xml:space="preserve">On peut se procurer un tel outil de calcul pour engins à températures multiples auprès de </w:t>
      </w:r>
      <w:proofErr w:type="spellStart"/>
      <w:r w:rsidRPr="00AB4B2C">
        <w:rPr>
          <w:i/>
        </w:rPr>
        <w:t>Transfrigoroute</w:t>
      </w:r>
      <w:proofErr w:type="spellEnd"/>
      <w:r w:rsidRPr="00AB4B2C">
        <w:rPr>
          <w:i/>
        </w:rPr>
        <w:t xml:space="preserve"> International.</w:t>
      </w:r>
      <w:r w:rsidR="00AB4B2C">
        <w:rPr>
          <w:i/>
        </w:rPr>
        <w:t> </w:t>
      </w:r>
      <w:r w:rsidR="00AB4B2C" w:rsidRPr="00AB4B2C">
        <w:t>»</w:t>
      </w:r>
      <w:r w:rsidR="00AB4B2C">
        <w:t>.</w:t>
      </w:r>
    </w:p>
    <w:p w:rsidR="00FA5EFC" w:rsidRPr="00FA5EFC" w:rsidRDefault="00FA5EFC" w:rsidP="00FA5EFC">
      <w:pPr>
        <w:pStyle w:val="SingleTxtG"/>
        <w:spacing w:after="0" w:line="240" w:lineRule="auto"/>
        <w:ind w:left="1701" w:firstLine="567"/>
        <w:rPr>
          <w:sz w:val="8"/>
          <w:szCs w:val="8"/>
        </w:rPr>
      </w:pPr>
      <w:r>
        <w:br w:type="page"/>
      </w:r>
    </w:p>
    <w:tbl>
      <w:tblPr>
        <w:tblW w:w="7513" w:type="dxa"/>
        <w:tblInd w:w="1134" w:type="dxa"/>
        <w:tblLayout w:type="fixed"/>
        <w:tblCellMar>
          <w:left w:w="10" w:type="dxa"/>
          <w:right w:w="10" w:type="dxa"/>
        </w:tblCellMar>
        <w:tblLook w:val="0000" w:firstRow="0" w:lastRow="0" w:firstColumn="0" w:lastColumn="0" w:noHBand="0" w:noVBand="0"/>
      </w:tblPr>
      <w:tblGrid>
        <w:gridCol w:w="1421"/>
        <w:gridCol w:w="6092"/>
      </w:tblGrid>
      <w:tr w:rsidR="00A04CE7" w:rsidRPr="00202D6E" w:rsidTr="00D35A53">
        <w:tc>
          <w:tcPr>
            <w:tcW w:w="1421" w:type="dxa"/>
            <w:tcMar>
              <w:top w:w="0" w:type="dxa"/>
              <w:left w:w="0" w:type="dxa"/>
              <w:bottom w:w="0" w:type="dxa"/>
              <w:right w:w="0" w:type="dxa"/>
            </w:tcMar>
          </w:tcPr>
          <w:p w:rsidR="00A04CE7" w:rsidRPr="00202D6E" w:rsidRDefault="00FA5EFC" w:rsidP="00202D6E">
            <w:pPr>
              <w:spacing w:before="40" w:after="120"/>
              <w:ind w:right="113"/>
            </w:pPr>
            <w:r>
              <w:br w:type="page"/>
            </w:r>
            <w:r w:rsidR="00892262">
              <w:br w:type="page"/>
            </w:r>
            <w:r w:rsidR="00892262" w:rsidRPr="00202D6E">
              <w:br w:type="page"/>
            </w:r>
            <w:r w:rsidR="00A04CE7" w:rsidRPr="00202D6E">
              <w:t>Coût</w:t>
            </w:r>
            <w:r w:rsidR="00431023" w:rsidRPr="00202D6E">
              <w:t> :</w:t>
            </w:r>
          </w:p>
        </w:tc>
        <w:tc>
          <w:tcPr>
            <w:tcW w:w="6092" w:type="dxa"/>
            <w:tcMar>
              <w:top w:w="0" w:type="dxa"/>
              <w:left w:w="10" w:type="dxa"/>
              <w:bottom w:w="0" w:type="dxa"/>
              <w:right w:w="10" w:type="dxa"/>
            </w:tcMar>
          </w:tcPr>
          <w:p w:rsidR="00A04CE7" w:rsidRPr="00202D6E" w:rsidRDefault="00A04CE7" w:rsidP="00FA5EFC">
            <w:pPr>
              <w:pStyle w:val="SingleTxtG"/>
              <w:spacing w:before="40"/>
              <w:ind w:left="-17" w:right="113"/>
              <w:jc w:val="left"/>
            </w:pPr>
            <w:r w:rsidRPr="00202D6E">
              <w:t>Le document supplémentaire annexé à l</w:t>
            </w:r>
            <w:r w:rsidR="00517B2D" w:rsidRPr="00202D6E">
              <w:t>’</w:t>
            </w:r>
            <w:r w:rsidRPr="00202D6E">
              <w:t>attestation de conformité qui doit être délivrée par les autorités compétentes pourrait avoir des répercussions mineures en termes de coût pour les fabricants d</w:t>
            </w:r>
            <w:r w:rsidR="00517B2D" w:rsidRPr="00202D6E">
              <w:t>’</w:t>
            </w:r>
            <w:r w:rsidRPr="00202D6E">
              <w:t>engins. Les autorités compétentes devront peut-être acquérir de nouvelles compétences techniques pour pouvoir délivrer de tels documents supplémentaires.</w:t>
            </w:r>
          </w:p>
        </w:tc>
      </w:tr>
      <w:tr w:rsidR="00A04CE7" w:rsidRPr="00035A66" w:rsidTr="00D35A53">
        <w:tc>
          <w:tcPr>
            <w:tcW w:w="1421" w:type="dxa"/>
            <w:tcMar>
              <w:top w:w="0" w:type="dxa"/>
              <w:left w:w="0" w:type="dxa"/>
              <w:bottom w:w="0" w:type="dxa"/>
              <w:right w:w="0" w:type="dxa"/>
            </w:tcMar>
          </w:tcPr>
          <w:p w:rsidR="00A04CE7" w:rsidRPr="00035A66" w:rsidRDefault="00A04CE7" w:rsidP="00202D6E">
            <w:pPr>
              <w:spacing w:after="120"/>
              <w:ind w:left="-11"/>
            </w:pPr>
            <w:r w:rsidRPr="004A6E44">
              <w:t>Faisabilité</w:t>
            </w:r>
            <w:r w:rsidR="00431023">
              <w:t> :</w:t>
            </w:r>
          </w:p>
        </w:tc>
        <w:tc>
          <w:tcPr>
            <w:tcW w:w="6092" w:type="dxa"/>
            <w:tcMar>
              <w:top w:w="0" w:type="dxa"/>
              <w:left w:w="10" w:type="dxa"/>
              <w:bottom w:w="0" w:type="dxa"/>
              <w:right w:w="10" w:type="dxa"/>
            </w:tcMar>
          </w:tcPr>
          <w:p w:rsidR="00A04CE7" w:rsidRPr="00035A66" w:rsidRDefault="00A04CE7" w:rsidP="00FA5EFC">
            <w:pPr>
              <w:pStyle w:val="SingleTxtG"/>
              <w:ind w:left="-17" w:right="0"/>
            </w:pPr>
            <w:r w:rsidRPr="004A6E44">
              <w:t>Le marquage de</w:t>
            </w:r>
            <w:r>
              <w:t xml:space="preserve">s </w:t>
            </w:r>
            <w:r w:rsidRPr="004A6E44">
              <w:t>engin</w:t>
            </w:r>
            <w:r>
              <w:t>s</w:t>
            </w:r>
            <w:r w:rsidRPr="004A6E44">
              <w:t xml:space="preserve"> à températures</w:t>
            </w:r>
            <w:r>
              <w:t xml:space="preserve"> multiples</w:t>
            </w:r>
            <w:r w:rsidRPr="004A6E44">
              <w:t xml:space="preserve"> </w:t>
            </w:r>
            <w:r>
              <w:t>nouvellement</w:t>
            </w:r>
            <w:r w:rsidRPr="004A6E44">
              <w:t xml:space="preserve"> </w:t>
            </w:r>
            <w:r>
              <w:t>fabriqués</w:t>
            </w:r>
            <w:r w:rsidRPr="004A6E44">
              <w:t xml:space="preserve"> sera facile</w:t>
            </w:r>
            <w:r>
              <w:t>ment réalisé</w:t>
            </w:r>
            <w:r w:rsidRPr="004A6E44">
              <w:t xml:space="preserve"> par les fabricants. Aucune période transitoire n</w:t>
            </w:r>
            <w:r w:rsidR="00517B2D">
              <w:t>’</w:t>
            </w:r>
            <w:r w:rsidRPr="004A6E44">
              <w:t>est nécessaire.</w:t>
            </w:r>
          </w:p>
        </w:tc>
      </w:tr>
      <w:tr w:rsidR="00A04CE7" w:rsidRPr="00035A66" w:rsidTr="00D35A53">
        <w:tc>
          <w:tcPr>
            <w:tcW w:w="1421" w:type="dxa"/>
            <w:tcMar>
              <w:top w:w="0" w:type="dxa"/>
              <w:left w:w="0" w:type="dxa"/>
              <w:bottom w:w="0" w:type="dxa"/>
              <w:right w:w="0" w:type="dxa"/>
            </w:tcMar>
          </w:tcPr>
          <w:p w:rsidR="00A04CE7" w:rsidRPr="00035A66" w:rsidRDefault="00A04CE7" w:rsidP="00202D6E">
            <w:pPr>
              <w:spacing w:after="120"/>
              <w:ind w:left="-11"/>
            </w:pPr>
          </w:p>
        </w:tc>
        <w:tc>
          <w:tcPr>
            <w:tcW w:w="6092" w:type="dxa"/>
            <w:tcMar>
              <w:top w:w="0" w:type="dxa"/>
              <w:left w:w="10" w:type="dxa"/>
              <w:bottom w:w="0" w:type="dxa"/>
              <w:right w:w="10" w:type="dxa"/>
            </w:tcMar>
          </w:tcPr>
          <w:p w:rsidR="00A04CE7" w:rsidRPr="00035A66" w:rsidRDefault="00A04CE7" w:rsidP="00FA5EFC">
            <w:pPr>
              <w:pStyle w:val="SingleTxtG"/>
              <w:ind w:left="-18" w:right="0"/>
            </w:pPr>
            <w:r w:rsidRPr="004A6E44">
              <w:t>La délivrance de documents complémentaires par l</w:t>
            </w:r>
            <w:r w:rsidR="00517B2D">
              <w:t>’</w:t>
            </w:r>
            <w:r w:rsidRPr="004A6E44">
              <w:t xml:space="preserve">autorité compétente nécessitera </w:t>
            </w:r>
            <w:r>
              <w:t>la mise à disposition et l</w:t>
            </w:r>
            <w:r w:rsidR="00517B2D">
              <w:t>’</w:t>
            </w:r>
            <w:r>
              <w:t>utilisation d</w:t>
            </w:r>
            <w:r w:rsidR="00517B2D">
              <w:t>’</w:t>
            </w:r>
            <w:r w:rsidRPr="004A6E44">
              <w:t xml:space="preserve">un </w:t>
            </w:r>
            <w:r>
              <w:t>outil</w:t>
            </w:r>
            <w:r w:rsidRPr="004A6E44">
              <w:t xml:space="preserve"> de calcul</w:t>
            </w:r>
            <w:r>
              <w:t>.</w:t>
            </w:r>
            <w:r w:rsidRPr="004A6E44">
              <w:t xml:space="preserve"> U</w:t>
            </w:r>
            <w:r w:rsidR="00E64CD8">
              <w:t>ne </w:t>
            </w:r>
            <w:r w:rsidRPr="004A6E44">
              <w:t xml:space="preserve">période transitoire maximale de deux ans pourra être prévue </w:t>
            </w:r>
            <w:r>
              <w:t>si cela est jugé nécessaire</w:t>
            </w:r>
            <w:r w:rsidRPr="004A6E44">
              <w:t xml:space="preserve">, ce qui laissera à toutes les parties </w:t>
            </w:r>
            <w:r>
              <w:t>concernées</w:t>
            </w:r>
            <w:r w:rsidRPr="004A6E44">
              <w:t>, aux autorités compétentes et aux fabricants d</w:t>
            </w:r>
            <w:r w:rsidR="00517B2D">
              <w:t>’</w:t>
            </w:r>
            <w:r w:rsidRPr="004A6E44">
              <w:t>engins</w:t>
            </w:r>
            <w:r>
              <w:t xml:space="preserve"> le temps</w:t>
            </w:r>
            <w:r w:rsidRPr="004A6E44">
              <w:t xml:space="preserve"> de se familiariser avec cet </w:t>
            </w:r>
            <w:r>
              <w:t>outil</w:t>
            </w:r>
            <w:r w:rsidRPr="004A6E44">
              <w:t xml:space="preserve"> de calcul.</w:t>
            </w:r>
            <w:r w:rsidR="00517B2D">
              <w:t xml:space="preserve"> </w:t>
            </w:r>
          </w:p>
        </w:tc>
      </w:tr>
      <w:tr w:rsidR="00A04CE7" w:rsidRPr="00035A66" w:rsidTr="00D35A53">
        <w:tc>
          <w:tcPr>
            <w:tcW w:w="1421" w:type="dxa"/>
            <w:tcMar>
              <w:top w:w="0" w:type="dxa"/>
              <w:left w:w="0" w:type="dxa"/>
              <w:bottom w:w="0" w:type="dxa"/>
              <w:right w:w="0" w:type="dxa"/>
            </w:tcMar>
          </w:tcPr>
          <w:p w:rsidR="00A04CE7" w:rsidRPr="00035A66" w:rsidRDefault="00A04CE7" w:rsidP="00202D6E">
            <w:pPr>
              <w:spacing w:after="120"/>
              <w:ind w:left="-11"/>
            </w:pPr>
            <w:r w:rsidRPr="004A6E44">
              <w:t>Applicabilité</w:t>
            </w:r>
            <w:r w:rsidR="00431023">
              <w:t> :</w:t>
            </w:r>
          </w:p>
        </w:tc>
        <w:tc>
          <w:tcPr>
            <w:tcW w:w="6092" w:type="dxa"/>
            <w:tcMar>
              <w:top w:w="0" w:type="dxa"/>
              <w:left w:w="10" w:type="dxa"/>
              <w:bottom w:w="0" w:type="dxa"/>
              <w:right w:w="10" w:type="dxa"/>
            </w:tcMar>
          </w:tcPr>
          <w:p w:rsidR="00A04CE7" w:rsidRPr="004A6E44" w:rsidRDefault="00A04CE7" w:rsidP="00FA5EFC">
            <w:pPr>
              <w:pStyle w:val="SingleTxtG"/>
              <w:ind w:left="-18" w:right="0"/>
            </w:pPr>
            <w:r w:rsidRPr="004A6E44">
              <w:t>Aucune difficulté n</w:t>
            </w:r>
            <w:r w:rsidR="00517B2D">
              <w:t>’</w:t>
            </w:r>
            <w:r w:rsidRPr="004A6E44">
              <w:t>est à prévoir.</w:t>
            </w:r>
          </w:p>
        </w:tc>
      </w:tr>
    </w:tbl>
    <w:p w:rsidR="00F9573C" w:rsidRPr="00A04CE7" w:rsidRDefault="00A04CE7" w:rsidP="00A04CE7">
      <w:pPr>
        <w:pStyle w:val="SingleTxtG"/>
        <w:spacing w:before="240" w:after="0"/>
        <w:jc w:val="center"/>
        <w:rPr>
          <w:u w:val="single"/>
        </w:rPr>
      </w:pPr>
      <w:r>
        <w:rPr>
          <w:u w:val="single"/>
        </w:rPr>
        <w:tab/>
      </w:r>
      <w:r>
        <w:rPr>
          <w:u w:val="single"/>
        </w:rPr>
        <w:tab/>
      </w:r>
      <w:r>
        <w:rPr>
          <w:u w:val="single"/>
        </w:rPr>
        <w:tab/>
      </w:r>
    </w:p>
    <w:sectPr w:rsidR="00F9573C" w:rsidRPr="00A04CE7" w:rsidSect="00D73B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B7" w:rsidRDefault="00516DB7" w:rsidP="00F95C08">
      <w:pPr>
        <w:spacing w:line="240" w:lineRule="auto"/>
      </w:pPr>
    </w:p>
  </w:endnote>
  <w:endnote w:type="continuationSeparator" w:id="0">
    <w:p w:rsidR="00516DB7" w:rsidRPr="00AC3823" w:rsidRDefault="00516DB7" w:rsidP="00AC3823">
      <w:pPr>
        <w:pStyle w:val="Footer"/>
      </w:pPr>
    </w:p>
  </w:endnote>
  <w:endnote w:type="continuationNotice" w:id="1">
    <w:p w:rsidR="00516DB7" w:rsidRDefault="00516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D73B30" w:rsidP="00D73B30">
    <w:pPr>
      <w:pStyle w:val="Footer"/>
      <w:tabs>
        <w:tab w:val="right" w:pos="9638"/>
      </w:tabs>
    </w:pPr>
    <w:r w:rsidRPr="00D73B30">
      <w:rPr>
        <w:b/>
        <w:sz w:val="18"/>
      </w:rPr>
      <w:fldChar w:fldCharType="begin"/>
    </w:r>
    <w:r w:rsidRPr="00D73B30">
      <w:rPr>
        <w:b/>
        <w:sz w:val="18"/>
      </w:rPr>
      <w:instrText xml:space="preserve"> PAGE  \* MERGEFORMAT </w:instrText>
    </w:r>
    <w:r w:rsidRPr="00D73B30">
      <w:rPr>
        <w:b/>
        <w:sz w:val="18"/>
      </w:rPr>
      <w:fldChar w:fldCharType="separate"/>
    </w:r>
    <w:r w:rsidR="001A1F9B">
      <w:rPr>
        <w:b/>
        <w:noProof/>
        <w:sz w:val="18"/>
      </w:rPr>
      <w:t>4</w:t>
    </w:r>
    <w:r w:rsidRPr="00D73B30">
      <w:rPr>
        <w:b/>
        <w:sz w:val="18"/>
      </w:rPr>
      <w:fldChar w:fldCharType="end"/>
    </w:r>
    <w:r>
      <w:rPr>
        <w:b/>
        <w:sz w:val="18"/>
      </w:rPr>
      <w:tab/>
    </w:r>
    <w:r>
      <w:t>GE.17-12385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D73B30" w:rsidP="00D73B30">
    <w:pPr>
      <w:pStyle w:val="Footer"/>
      <w:tabs>
        <w:tab w:val="right" w:pos="9638"/>
      </w:tabs>
      <w:rPr>
        <w:b/>
        <w:sz w:val="18"/>
      </w:rPr>
    </w:pPr>
    <w:r>
      <w:t>GE.17-12385</w:t>
    </w:r>
    <w:r>
      <w:tab/>
    </w:r>
    <w:r w:rsidRPr="00D73B30">
      <w:rPr>
        <w:b/>
        <w:sz w:val="18"/>
      </w:rPr>
      <w:fldChar w:fldCharType="begin"/>
    </w:r>
    <w:r w:rsidRPr="00D73B30">
      <w:rPr>
        <w:b/>
        <w:sz w:val="18"/>
      </w:rPr>
      <w:instrText xml:space="preserve"> PAGE  \* MERGEFORMAT </w:instrText>
    </w:r>
    <w:r w:rsidRPr="00D73B30">
      <w:rPr>
        <w:b/>
        <w:sz w:val="18"/>
      </w:rPr>
      <w:fldChar w:fldCharType="separate"/>
    </w:r>
    <w:r w:rsidR="001A1F9B">
      <w:rPr>
        <w:b/>
        <w:noProof/>
        <w:sz w:val="18"/>
      </w:rPr>
      <w:t>3</w:t>
    </w:r>
    <w:r w:rsidRPr="00D73B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73B30" w:rsidRDefault="00D73B30" w:rsidP="00D73B3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17-12385  (F)    230817    </w:t>
    </w:r>
    <w:r w:rsidR="00202D6E">
      <w:rPr>
        <w:sz w:val="20"/>
      </w:rPr>
      <w:t>25</w:t>
    </w:r>
    <w:r>
      <w:rPr>
        <w:sz w:val="20"/>
      </w:rPr>
      <w:t>0817</w:t>
    </w:r>
    <w:r>
      <w:rPr>
        <w:sz w:val="20"/>
      </w:rPr>
      <w:br/>
    </w:r>
    <w:r w:rsidRPr="00D73B30">
      <w:rPr>
        <w:rFonts w:ascii="C39T30Lfz" w:hAnsi="C39T30Lfz"/>
        <w:sz w:val="56"/>
      </w:rPr>
      <w:t></w:t>
    </w:r>
    <w:r w:rsidRPr="00D73B30">
      <w:rPr>
        <w:rFonts w:ascii="C39T30Lfz" w:hAnsi="C39T30Lfz"/>
        <w:sz w:val="56"/>
      </w:rPr>
      <w:t></w:t>
    </w:r>
    <w:r w:rsidRPr="00D73B30">
      <w:rPr>
        <w:rFonts w:ascii="C39T30Lfz" w:hAnsi="C39T30Lfz"/>
        <w:sz w:val="56"/>
      </w:rPr>
      <w:t></w:t>
    </w:r>
    <w:r w:rsidRPr="00D73B30">
      <w:rPr>
        <w:rFonts w:ascii="C39T30Lfz" w:hAnsi="C39T30Lfz"/>
        <w:sz w:val="56"/>
      </w:rPr>
      <w:t></w:t>
    </w:r>
    <w:r w:rsidRPr="00D73B30">
      <w:rPr>
        <w:rFonts w:ascii="C39T30Lfz" w:hAnsi="C39T30Lfz"/>
        <w:sz w:val="56"/>
      </w:rPr>
      <w:t></w:t>
    </w:r>
    <w:r w:rsidRPr="00D73B30">
      <w:rPr>
        <w:rFonts w:ascii="C39T30Lfz" w:hAnsi="C39T30Lfz"/>
        <w:sz w:val="56"/>
      </w:rPr>
      <w:t></w:t>
    </w:r>
    <w:r w:rsidRPr="00D73B30">
      <w:rPr>
        <w:rFonts w:ascii="C39T30Lfz" w:hAnsi="C39T30Lfz"/>
        <w:sz w:val="56"/>
      </w:rPr>
      <w:t></w:t>
    </w:r>
    <w:r w:rsidRPr="00D73B30">
      <w:rPr>
        <w:rFonts w:ascii="C39T30Lfz" w:hAnsi="C39T30Lfz"/>
        <w:sz w:val="56"/>
      </w:rPr>
      <w:t></w:t>
    </w:r>
    <w:r w:rsidRPr="00D73B3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B7" w:rsidRPr="00AC3823" w:rsidRDefault="00516DB7" w:rsidP="00AC3823">
      <w:pPr>
        <w:pStyle w:val="Footer"/>
        <w:tabs>
          <w:tab w:val="right" w:pos="2155"/>
        </w:tabs>
        <w:spacing w:after="80" w:line="240" w:lineRule="atLeast"/>
        <w:ind w:left="680"/>
        <w:rPr>
          <w:u w:val="single"/>
        </w:rPr>
      </w:pPr>
      <w:r>
        <w:rPr>
          <w:u w:val="single"/>
        </w:rPr>
        <w:tab/>
      </w:r>
    </w:p>
  </w:footnote>
  <w:footnote w:type="continuationSeparator" w:id="0">
    <w:p w:rsidR="00516DB7" w:rsidRPr="00AC3823" w:rsidRDefault="00516DB7" w:rsidP="00AC3823">
      <w:pPr>
        <w:pStyle w:val="Footer"/>
        <w:tabs>
          <w:tab w:val="right" w:pos="2155"/>
        </w:tabs>
        <w:spacing w:after="80" w:line="240" w:lineRule="atLeast"/>
        <w:ind w:left="680"/>
        <w:rPr>
          <w:u w:val="single"/>
        </w:rPr>
      </w:pPr>
      <w:r>
        <w:rPr>
          <w:u w:val="single"/>
        </w:rPr>
        <w:tab/>
      </w:r>
    </w:p>
  </w:footnote>
  <w:footnote w:type="continuationNotice" w:id="1">
    <w:p w:rsidR="00516DB7" w:rsidRPr="00AC3823" w:rsidRDefault="00516DB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1A1F9B">
    <w:pPr>
      <w:pStyle w:val="Header"/>
    </w:pPr>
    <w:r>
      <w:fldChar w:fldCharType="begin"/>
    </w:r>
    <w:r>
      <w:instrText xml:space="preserve"> TITLE  \* MERGEFORMAT </w:instrText>
    </w:r>
    <w:r>
      <w:fldChar w:fldCharType="separate"/>
    </w:r>
    <w:r>
      <w:t>ECE/TRANS/WP.11/2017/6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30" w:rsidRPr="00D73B30" w:rsidRDefault="001A1F9B" w:rsidP="00D73B30">
    <w:pPr>
      <w:pStyle w:val="Header"/>
      <w:jc w:val="right"/>
    </w:pPr>
    <w:r>
      <w:fldChar w:fldCharType="begin"/>
    </w:r>
    <w:r>
      <w:instrText xml:space="preserve"> TITLE  \* MERGEFORMAT </w:instrText>
    </w:r>
    <w:r>
      <w:fldChar w:fldCharType="separate"/>
    </w:r>
    <w:r>
      <w:t>ECE/TRANS/WP.11/2017/6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B7"/>
    <w:rsid w:val="00017F94"/>
    <w:rsid w:val="00023842"/>
    <w:rsid w:val="000248B0"/>
    <w:rsid w:val="000334F9"/>
    <w:rsid w:val="00045FEB"/>
    <w:rsid w:val="0007796D"/>
    <w:rsid w:val="000B7790"/>
    <w:rsid w:val="00111F2F"/>
    <w:rsid w:val="0014365E"/>
    <w:rsid w:val="00143C66"/>
    <w:rsid w:val="00176178"/>
    <w:rsid w:val="001A1F9B"/>
    <w:rsid w:val="001F525A"/>
    <w:rsid w:val="00202D6E"/>
    <w:rsid w:val="00223272"/>
    <w:rsid w:val="00225192"/>
    <w:rsid w:val="0024779E"/>
    <w:rsid w:val="00257168"/>
    <w:rsid w:val="002744B8"/>
    <w:rsid w:val="002832AC"/>
    <w:rsid w:val="002C1CE4"/>
    <w:rsid w:val="002D7C93"/>
    <w:rsid w:val="00305801"/>
    <w:rsid w:val="00386004"/>
    <w:rsid w:val="003916DE"/>
    <w:rsid w:val="00431023"/>
    <w:rsid w:val="00441C3B"/>
    <w:rsid w:val="00446FE5"/>
    <w:rsid w:val="00452396"/>
    <w:rsid w:val="004837D8"/>
    <w:rsid w:val="004E468C"/>
    <w:rsid w:val="004F49B1"/>
    <w:rsid w:val="00516DB7"/>
    <w:rsid w:val="00517B2D"/>
    <w:rsid w:val="005505B7"/>
    <w:rsid w:val="00573BE5"/>
    <w:rsid w:val="00586ED3"/>
    <w:rsid w:val="00596AA9"/>
    <w:rsid w:val="00616888"/>
    <w:rsid w:val="006808EC"/>
    <w:rsid w:val="00682C1A"/>
    <w:rsid w:val="006F0BD5"/>
    <w:rsid w:val="0071601D"/>
    <w:rsid w:val="007725E0"/>
    <w:rsid w:val="007A62E6"/>
    <w:rsid w:val="007D2DA5"/>
    <w:rsid w:val="007F20FA"/>
    <w:rsid w:val="0080684C"/>
    <w:rsid w:val="0081772E"/>
    <w:rsid w:val="00871C75"/>
    <w:rsid w:val="008776DC"/>
    <w:rsid w:val="00892262"/>
    <w:rsid w:val="00906809"/>
    <w:rsid w:val="009446C0"/>
    <w:rsid w:val="009705C8"/>
    <w:rsid w:val="009C1CF4"/>
    <w:rsid w:val="009F6B74"/>
    <w:rsid w:val="00A04CE7"/>
    <w:rsid w:val="00A30353"/>
    <w:rsid w:val="00AB4B2C"/>
    <w:rsid w:val="00AC3823"/>
    <w:rsid w:val="00AD3033"/>
    <w:rsid w:val="00AE323C"/>
    <w:rsid w:val="00AF0CB5"/>
    <w:rsid w:val="00B00181"/>
    <w:rsid w:val="00B00B0D"/>
    <w:rsid w:val="00B7624D"/>
    <w:rsid w:val="00B765F7"/>
    <w:rsid w:val="00BA0CA9"/>
    <w:rsid w:val="00C02897"/>
    <w:rsid w:val="00C736C2"/>
    <w:rsid w:val="00C9559E"/>
    <w:rsid w:val="00C97039"/>
    <w:rsid w:val="00CF294E"/>
    <w:rsid w:val="00D3439C"/>
    <w:rsid w:val="00D51A40"/>
    <w:rsid w:val="00D73B30"/>
    <w:rsid w:val="00DB07AF"/>
    <w:rsid w:val="00DB1831"/>
    <w:rsid w:val="00DD3BFD"/>
    <w:rsid w:val="00DF6678"/>
    <w:rsid w:val="00E0299A"/>
    <w:rsid w:val="00E64CD8"/>
    <w:rsid w:val="00E85C74"/>
    <w:rsid w:val="00EA6547"/>
    <w:rsid w:val="00EC0E8B"/>
    <w:rsid w:val="00EF2E22"/>
    <w:rsid w:val="00F35BAF"/>
    <w:rsid w:val="00F660DF"/>
    <w:rsid w:val="00F94664"/>
    <w:rsid w:val="00F9573C"/>
    <w:rsid w:val="00F95C08"/>
    <w:rsid w:val="00FA5E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8B8081-BE51-408D-B956-31D960C3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customStyle="1" w:styleId="SingleTxtGChar">
    <w:name w:val="_ Single Txt_G Char"/>
    <w:link w:val="SingleTxtG"/>
    <w:rsid w:val="00DB07AF"/>
    <w:rPr>
      <w:rFonts w:ascii="Times New Roman" w:eastAsiaTheme="minorHAnsi" w:hAnsi="Times New Roman" w:cs="Times New Roman"/>
      <w:sz w:val="20"/>
      <w:szCs w:val="20"/>
      <w:lang w:eastAsia="en-US"/>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999F-6664-46E2-A671-E3EE2439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8067</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ECE/TRANS/WP.11/2017/6</vt:lpstr>
      <vt:lpstr>ECE/TRANS/WP.11/2017/6</vt:lpstr>
    </vt:vector>
  </TitlesOfParts>
  <Company>DCM</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ECE/TRANS/WP.11/2017/6</dc:title>
  <dc:subject/>
  <dc:creator>Sylvie LAMY</dc:creator>
  <cp:keywords/>
  <cp:lastModifiedBy>Marie-Claude Collet</cp:lastModifiedBy>
  <cp:revision>3</cp:revision>
  <cp:lastPrinted>2017-08-28T08:57:00Z</cp:lastPrinted>
  <dcterms:created xsi:type="dcterms:W3CDTF">2017-08-28T08:57:00Z</dcterms:created>
  <dcterms:modified xsi:type="dcterms:W3CDTF">2017-08-28T08:58:00Z</dcterms:modified>
</cp:coreProperties>
</file>