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421BE1" w:rsidTr="009E6CB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Pr="00421BE1" w:rsidRDefault="009E6CB7" w:rsidP="009E6CB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421BE1" w:rsidRDefault="009E6CB7" w:rsidP="009E6CB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21BE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421BE1" w:rsidRDefault="00743D06" w:rsidP="00743D06">
            <w:pPr>
              <w:jc w:val="right"/>
            </w:pPr>
            <w:r w:rsidRPr="00421BE1">
              <w:rPr>
                <w:sz w:val="40"/>
              </w:rPr>
              <w:t>ECE</w:t>
            </w:r>
            <w:r w:rsidRPr="00421BE1">
              <w:t>/TRANS/SC.3/WP.3/2017/</w:t>
            </w:r>
            <w:r w:rsidR="0006484A" w:rsidRPr="00421BE1">
              <w:t>7</w:t>
            </w:r>
          </w:p>
        </w:tc>
      </w:tr>
      <w:tr w:rsidR="009E6CB7" w:rsidRPr="00421BE1" w:rsidTr="009E6CB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421BE1" w:rsidRDefault="00BC7F91" w:rsidP="009E6CB7">
            <w:pPr>
              <w:spacing w:before="120"/>
            </w:pPr>
            <w:r w:rsidRPr="00421BE1"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421BE1" w:rsidRDefault="009E6CB7" w:rsidP="009E6CB7">
            <w:pPr>
              <w:spacing w:before="120" w:line="420" w:lineRule="exact"/>
              <w:rPr>
                <w:sz w:val="40"/>
                <w:szCs w:val="40"/>
              </w:rPr>
            </w:pPr>
            <w:r w:rsidRPr="00421BE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Pr="00421BE1" w:rsidRDefault="00743D06" w:rsidP="00743D06">
            <w:pPr>
              <w:spacing w:before="240" w:line="240" w:lineRule="exact"/>
            </w:pPr>
            <w:r w:rsidRPr="00421BE1">
              <w:t>Distr.: General</w:t>
            </w:r>
          </w:p>
          <w:p w:rsidR="00743D06" w:rsidRPr="00421BE1" w:rsidRDefault="00421BE1" w:rsidP="00743D06">
            <w:pPr>
              <w:spacing w:line="240" w:lineRule="exact"/>
            </w:pPr>
            <w:r w:rsidRPr="00421BE1">
              <w:t>6</w:t>
            </w:r>
            <w:r w:rsidR="00743D06" w:rsidRPr="00421BE1">
              <w:t xml:space="preserve"> </w:t>
            </w:r>
            <w:r w:rsidR="0036113D" w:rsidRPr="00421BE1">
              <w:t xml:space="preserve">February </w:t>
            </w:r>
            <w:r w:rsidR="00743D06" w:rsidRPr="00421BE1">
              <w:t>201</w:t>
            </w:r>
            <w:r w:rsidR="0036113D" w:rsidRPr="00421BE1">
              <w:t>7</w:t>
            </w:r>
          </w:p>
          <w:p w:rsidR="00743D06" w:rsidRPr="00421BE1" w:rsidRDefault="00D9178F" w:rsidP="00743D06">
            <w:pPr>
              <w:spacing w:line="240" w:lineRule="exact"/>
            </w:pPr>
            <w:r w:rsidRPr="00421BE1">
              <w:t>English</w:t>
            </w:r>
          </w:p>
          <w:p w:rsidR="00743D06" w:rsidRPr="00421BE1" w:rsidRDefault="00743D06" w:rsidP="00743D06">
            <w:pPr>
              <w:spacing w:line="240" w:lineRule="exact"/>
            </w:pPr>
            <w:r w:rsidRPr="00421BE1">
              <w:t>Original: English</w:t>
            </w:r>
            <w:r w:rsidR="0006484A" w:rsidRPr="00421BE1">
              <w:t>, French and Russian</w:t>
            </w:r>
          </w:p>
        </w:tc>
      </w:tr>
    </w:tbl>
    <w:p w:rsidR="008C66C6" w:rsidRPr="00421BE1" w:rsidRDefault="008C66C6" w:rsidP="008C66C6">
      <w:pPr>
        <w:spacing w:before="120"/>
        <w:rPr>
          <w:b/>
          <w:sz w:val="28"/>
          <w:szCs w:val="28"/>
        </w:rPr>
      </w:pPr>
      <w:r w:rsidRPr="00421BE1">
        <w:rPr>
          <w:b/>
          <w:sz w:val="28"/>
          <w:szCs w:val="28"/>
        </w:rPr>
        <w:t>Economic Commission for Europe</w:t>
      </w:r>
    </w:p>
    <w:p w:rsidR="008C66C6" w:rsidRPr="00421BE1" w:rsidRDefault="008C66C6" w:rsidP="008C66C6">
      <w:pPr>
        <w:spacing w:before="120"/>
        <w:rPr>
          <w:sz w:val="28"/>
          <w:szCs w:val="28"/>
        </w:rPr>
      </w:pPr>
      <w:r w:rsidRPr="00421BE1">
        <w:rPr>
          <w:sz w:val="28"/>
          <w:szCs w:val="28"/>
        </w:rPr>
        <w:t>Inland Transport Committee</w:t>
      </w:r>
    </w:p>
    <w:p w:rsidR="008C66C6" w:rsidRPr="00421BE1" w:rsidRDefault="008C66C6" w:rsidP="008C66C6">
      <w:pPr>
        <w:spacing w:before="120"/>
        <w:rPr>
          <w:b/>
          <w:sz w:val="24"/>
          <w:szCs w:val="24"/>
        </w:rPr>
      </w:pPr>
      <w:r w:rsidRPr="00421BE1">
        <w:rPr>
          <w:b/>
          <w:sz w:val="24"/>
          <w:szCs w:val="24"/>
        </w:rPr>
        <w:t>Working Party on Inland Water Transport</w:t>
      </w:r>
    </w:p>
    <w:p w:rsidR="008C66C6" w:rsidRPr="00421BE1" w:rsidRDefault="008C66C6" w:rsidP="008C66C6">
      <w:pPr>
        <w:spacing w:before="120"/>
        <w:rPr>
          <w:b/>
        </w:rPr>
      </w:pPr>
      <w:r w:rsidRPr="00421BE1">
        <w:rPr>
          <w:b/>
        </w:rPr>
        <w:t xml:space="preserve">Working Party on the Standardization of Technical </w:t>
      </w:r>
      <w:r w:rsidRPr="00421BE1">
        <w:rPr>
          <w:b/>
        </w:rPr>
        <w:br/>
        <w:t>and Safety Requirements in Inland Navigation</w:t>
      </w:r>
    </w:p>
    <w:p w:rsidR="008C66C6" w:rsidRPr="00421BE1" w:rsidRDefault="008C66C6" w:rsidP="008C66C6">
      <w:pPr>
        <w:spacing w:before="120"/>
        <w:rPr>
          <w:b/>
        </w:rPr>
      </w:pPr>
      <w:r w:rsidRPr="00421BE1">
        <w:rPr>
          <w:b/>
        </w:rPr>
        <w:t>Fiftieth session</w:t>
      </w:r>
    </w:p>
    <w:p w:rsidR="008C66C6" w:rsidRPr="00421BE1" w:rsidRDefault="0090722D" w:rsidP="008C66C6">
      <w:r>
        <w:t>Geneva, 15-</w:t>
      </w:r>
      <w:bookmarkStart w:id="0" w:name="_GoBack"/>
      <w:bookmarkEnd w:id="0"/>
      <w:r w:rsidR="008C66C6" w:rsidRPr="00421BE1">
        <w:t>17 February 2017</w:t>
      </w:r>
    </w:p>
    <w:p w:rsidR="0006484A" w:rsidRPr="00421BE1" w:rsidRDefault="0006484A" w:rsidP="0006484A">
      <w:r w:rsidRPr="00421BE1">
        <w:t>Item 5 (e) of the provisional agenda</w:t>
      </w:r>
    </w:p>
    <w:p w:rsidR="0006484A" w:rsidRPr="00421BE1" w:rsidRDefault="0006484A" w:rsidP="0006484A">
      <w:pPr>
        <w:rPr>
          <w:b/>
        </w:rPr>
      </w:pPr>
      <w:r w:rsidRPr="00421BE1">
        <w:rPr>
          <w:b/>
        </w:rPr>
        <w:t>Standardization of technical and safety requirements in inland navigation</w:t>
      </w:r>
      <w:proofErr w:type="gramStart"/>
      <w:r w:rsidRPr="00421BE1">
        <w:rPr>
          <w:b/>
        </w:rPr>
        <w:t>:</w:t>
      </w:r>
      <w:proofErr w:type="gramEnd"/>
      <w:r w:rsidRPr="00421BE1">
        <w:rPr>
          <w:b/>
        </w:rPr>
        <w:br/>
        <w:t>Recommendations on Harmonized Europe-Wide Technical Requirements</w:t>
      </w:r>
      <w:r w:rsidRPr="00421BE1">
        <w:rPr>
          <w:b/>
        </w:rPr>
        <w:br/>
        <w:t>for Inland Navigation Vessels (Resolution No. 61, revised)</w:t>
      </w:r>
    </w:p>
    <w:p w:rsidR="00F507EC" w:rsidRPr="00421BE1" w:rsidRDefault="008C66C6" w:rsidP="008C66C6">
      <w:pPr>
        <w:pStyle w:val="HChG"/>
      </w:pPr>
      <w:r w:rsidRPr="00421BE1">
        <w:tab/>
      </w:r>
      <w:r w:rsidRPr="00421BE1">
        <w:tab/>
      </w:r>
      <w:r w:rsidR="0006484A" w:rsidRPr="00421BE1">
        <w:t>Comparison of the Recommendations on Harmonized Europe-Wide Technical Requirements for Inland Navigation Vessels (Resolution No. 61, revised) and the European Standard laying down Technical Requirements for Inland Navigation vessels</w:t>
      </w:r>
    </w:p>
    <w:p w:rsidR="0006484A" w:rsidRPr="00421BE1" w:rsidRDefault="008C66C6" w:rsidP="0006484A">
      <w:pPr>
        <w:pStyle w:val="H1G"/>
      </w:pPr>
      <w:r w:rsidRPr="00421BE1">
        <w:tab/>
      </w:r>
      <w:r w:rsidRPr="00421BE1">
        <w:tab/>
      </w:r>
      <w:r w:rsidR="0006484A" w:rsidRPr="00421BE1">
        <w:t>Note by the secretariat</w:t>
      </w:r>
    </w:p>
    <w:p w:rsidR="0006484A" w:rsidRPr="00421BE1" w:rsidRDefault="0006484A" w:rsidP="0006484A">
      <w:pPr>
        <w:pStyle w:val="HChG"/>
      </w:pPr>
      <w:r w:rsidRPr="00421BE1">
        <w:tab/>
        <w:t>I.</w:t>
      </w:r>
      <w:r w:rsidRPr="00421BE1">
        <w:tab/>
        <w:t>Mandate</w:t>
      </w:r>
    </w:p>
    <w:p w:rsidR="0006484A" w:rsidRPr="00421BE1" w:rsidRDefault="0006484A" w:rsidP="0006484A">
      <w:pPr>
        <w:pStyle w:val="SingleTxtG"/>
        <w:keepNext/>
        <w:keepLines/>
      </w:pPr>
      <w:r w:rsidRPr="00421BE1">
        <w:t>1.</w:t>
      </w:r>
      <w:r w:rsidRPr="00421BE1">
        <w:tab/>
        <w:t xml:space="preserve">This document </w:t>
      </w:r>
      <w:proofErr w:type="gramStart"/>
      <w:r w:rsidRPr="00421BE1">
        <w:t>is submitted</w:t>
      </w:r>
      <w:proofErr w:type="gramEnd"/>
      <w:r w:rsidRPr="00421BE1">
        <w:t xml:space="preserve"> in line with Cluster 5: Inland Waterway Transport, para. </w:t>
      </w:r>
      <w:proofErr w:type="gramStart"/>
      <w:r w:rsidRPr="00421BE1">
        <w:t>5.1</w:t>
      </w:r>
      <w:proofErr w:type="gramEnd"/>
      <w:r w:rsidRPr="00421BE1">
        <w:t xml:space="preserve"> of the programme of work 2016-2017 (ECE/TRANS/2016/28/Add.1) adopted by the Inland Transport Committee at its </w:t>
      </w:r>
      <w:r w:rsidRPr="00421BE1">
        <w:rPr>
          <w:bCs/>
        </w:rPr>
        <w:t xml:space="preserve">seventy-eighth session on </w:t>
      </w:r>
      <w:r w:rsidRPr="00421BE1">
        <w:t>26 February 2016.</w:t>
      </w:r>
    </w:p>
    <w:p w:rsidR="00E47CBA" w:rsidRPr="00421BE1" w:rsidRDefault="0006484A" w:rsidP="0006484A">
      <w:pPr>
        <w:pStyle w:val="SingleTxtG"/>
      </w:pPr>
      <w:proofErr w:type="gramStart"/>
      <w:r w:rsidRPr="00421BE1">
        <w:t>2.</w:t>
      </w:r>
      <w:r w:rsidRPr="00421BE1">
        <w:tab/>
      </w:r>
      <w:r w:rsidR="00E47CBA" w:rsidRPr="00421BE1">
        <w:t xml:space="preserve">At its sixtieth session, the Working Party on Inland Water Transport </w:t>
      </w:r>
      <w:r w:rsidR="00FE78B6" w:rsidRPr="00421BE1">
        <w:t xml:space="preserve">(SC.3) </w:t>
      </w:r>
      <w:r w:rsidR="00E47CBA" w:rsidRPr="00421BE1">
        <w:t xml:space="preserve">decided to continue work on the harmonization of technical prescriptions for inland </w:t>
      </w:r>
      <w:r w:rsidR="00B00CBC" w:rsidRPr="00421BE1">
        <w:t xml:space="preserve">navigation </w:t>
      </w:r>
      <w:r w:rsidR="00E47CBA" w:rsidRPr="00421BE1">
        <w:t xml:space="preserve">vessels in Resolution No. 61 to align it with the new Directive </w:t>
      </w:r>
      <w:r w:rsidR="0025791A" w:rsidRPr="00421BE1">
        <w:t xml:space="preserve">(EU) </w:t>
      </w:r>
      <w:r w:rsidR="00E47CBA" w:rsidRPr="00421BE1">
        <w:t>2016/1629 of the European Parliament and of the Council of 14 September 2016</w:t>
      </w:r>
      <w:r w:rsidR="00602433" w:rsidRPr="00421BE1">
        <w:rPr>
          <w:rStyle w:val="FootnoteReference"/>
        </w:rPr>
        <w:footnoteReference w:id="2"/>
      </w:r>
      <w:r w:rsidR="00E47CBA" w:rsidRPr="00421BE1">
        <w:t xml:space="preserve"> and the European Standard laying down Technical Requirements for Inland Navigation vessels (ES-TRIN)</w:t>
      </w:r>
      <w:r w:rsidR="00602433" w:rsidRPr="00421BE1">
        <w:rPr>
          <w:vertAlign w:val="superscript"/>
        </w:rPr>
        <w:footnoteReference w:id="3"/>
      </w:r>
      <w:r w:rsidR="00E47CBA" w:rsidRPr="00421BE1">
        <w:t xml:space="preserve"> (ECE/TRANS/SC.3/203, para. 67)</w:t>
      </w:r>
      <w:r w:rsidR="00636D43" w:rsidRPr="00421BE1">
        <w:t xml:space="preserve"> adopted by </w:t>
      </w:r>
      <w:r w:rsidR="00EA0AA7" w:rsidRPr="00421BE1">
        <w:t xml:space="preserve">the </w:t>
      </w:r>
      <w:r w:rsidR="00636D43" w:rsidRPr="00421BE1">
        <w:t xml:space="preserve">European committee for drawing up </w:t>
      </w:r>
      <w:r w:rsidR="00636D43" w:rsidRPr="00421BE1">
        <w:lastRenderedPageBreak/>
        <w:t>common standards in the field of inland navigation (CESNI)</w:t>
      </w:r>
      <w:r w:rsidR="00E47CBA" w:rsidRPr="00421BE1">
        <w:t>.</w:t>
      </w:r>
      <w:proofErr w:type="gramEnd"/>
      <w:r w:rsidR="00E47CBA" w:rsidRPr="00421BE1">
        <w:t xml:space="preserve"> The secretariat </w:t>
      </w:r>
      <w:proofErr w:type="gramStart"/>
      <w:r w:rsidR="00E47CBA" w:rsidRPr="00421BE1">
        <w:t>was asked</w:t>
      </w:r>
      <w:proofErr w:type="gramEnd"/>
      <w:r w:rsidR="00E47CBA" w:rsidRPr="00421BE1">
        <w:t xml:space="preserve"> to analyse the differences between the Annex to Resolution No. 61 and the provisions of </w:t>
      </w:r>
      <w:r w:rsidR="00DC7193" w:rsidRPr="00421BE1">
        <w:t>ES-TRIN</w:t>
      </w:r>
      <w:r w:rsidR="00E47CBA" w:rsidRPr="00421BE1">
        <w:t xml:space="preserve"> in order to facilitate this work.</w:t>
      </w:r>
    </w:p>
    <w:p w:rsidR="00943AB4" w:rsidRPr="00421BE1" w:rsidRDefault="00E47CBA" w:rsidP="00943AB4">
      <w:pPr>
        <w:pStyle w:val="SingleTxtG"/>
        <w:rPr>
          <w:szCs w:val="24"/>
        </w:rPr>
      </w:pPr>
      <w:r w:rsidRPr="00421BE1">
        <w:rPr>
          <w:szCs w:val="24"/>
        </w:rPr>
        <w:t>3.</w:t>
      </w:r>
      <w:r w:rsidRPr="00421BE1">
        <w:rPr>
          <w:szCs w:val="24"/>
        </w:rPr>
        <w:tab/>
        <w:t xml:space="preserve">Results of the comparison of the two documents </w:t>
      </w:r>
      <w:r w:rsidR="00C006FC" w:rsidRPr="00421BE1">
        <w:rPr>
          <w:szCs w:val="24"/>
        </w:rPr>
        <w:t xml:space="preserve">prepared by the secretariat </w:t>
      </w:r>
      <w:proofErr w:type="gramStart"/>
      <w:r w:rsidR="00C006FC" w:rsidRPr="00421BE1">
        <w:rPr>
          <w:szCs w:val="24"/>
        </w:rPr>
        <w:t>are set out</w:t>
      </w:r>
      <w:proofErr w:type="gramEnd"/>
      <w:r w:rsidR="00C006FC" w:rsidRPr="00421BE1">
        <w:rPr>
          <w:szCs w:val="24"/>
        </w:rPr>
        <w:t xml:space="preserve"> in Table 1</w:t>
      </w:r>
      <w:r w:rsidR="00E75833" w:rsidRPr="00421BE1">
        <w:rPr>
          <w:szCs w:val="24"/>
        </w:rPr>
        <w:t>.</w:t>
      </w:r>
      <w:r w:rsidR="00943AB4" w:rsidRPr="00421BE1">
        <w:rPr>
          <w:szCs w:val="24"/>
        </w:rPr>
        <w:t xml:space="preserve"> The Working Party on the Standardization of Technical and Safety Requirements in Inland Navigation (SC.3/WP.3) may wish to decide on the future work and the preparation of the Russian text of </w:t>
      </w:r>
      <w:r w:rsidR="00DC7193" w:rsidRPr="00421BE1">
        <w:rPr>
          <w:szCs w:val="24"/>
        </w:rPr>
        <w:t>ES-TRIN</w:t>
      </w:r>
      <w:r w:rsidR="00943AB4" w:rsidRPr="00421BE1">
        <w:rPr>
          <w:szCs w:val="24"/>
        </w:rPr>
        <w:t>.</w:t>
      </w:r>
    </w:p>
    <w:p w:rsidR="00E47CBA" w:rsidRPr="00421BE1" w:rsidRDefault="00E47CBA" w:rsidP="00E47CBA">
      <w:pPr>
        <w:pStyle w:val="HChG"/>
      </w:pPr>
      <w:r w:rsidRPr="00421BE1">
        <w:tab/>
        <w:t>II.</w:t>
      </w:r>
      <w:r w:rsidRPr="00421BE1">
        <w:tab/>
        <w:t>Results of the comparison</w:t>
      </w:r>
    </w:p>
    <w:p w:rsidR="00A96237" w:rsidRPr="00421BE1" w:rsidRDefault="0025791A" w:rsidP="00A96237">
      <w:pPr>
        <w:pStyle w:val="SingleTxtG"/>
      </w:pPr>
      <w:r w:rsidRPr="00421BE1">
        <w:rPr>
          <w:szCs w:val="24"/>
        </w:rPr>
        <w:t>4</w:t>
      </w:r>
      <w:r w:rsidR="00A96237" w:rsidRPr="00421BE1">
        <w:rPr>
          <w:szCs w:val="24"/>
        </w:rPr>
        <w:t>.</w:t>
      </w:r>
      <w:r w:rsidR="00A96237" w:rsidRPr="00421BE1">
        <w:rPr>
          <w:szCs w:val="24"/>
        </w:rPr>
        <w:tab/>
      </w:r>
      <w:r w:rsidR="00A96237" w:rsidRPr="00421BE1">
        <w:t xml:space="preserve">The purpose of </w:t>
      </w:r>
      <w:r w:rsidR="008B43F2" w:rsidRPr="00421BE1">
        <w:t>T</w:t>
      </w:r>
      <w:r w:rsidR="00A96237" w:rsidRPr="00421BE1">
        <w:t>able</w:t>
      </w:r>
      <w:r w:rsidR="008B43F2" w:rsidRPr="00421BE1">
        <w:t>s</w:t>
      </w:r>
      <w:r w:rsidR="00A96237" w:rsidRPr="00421BE1">
        <w:t xml:space="preserve"> </w:t>
      </w:r>
      <w:r w:rsidR="008B43F2" w:rsidRPr="00421BE1">
        <w:t xml:space="preserve">1 and 2 </w:t>
      </w:r>
      <w:r w:rsidR="00A96237" w:rsidRPr="00421BE1">
        <w:t xml:space="preserve">below is to compare the structure of </w:t>
      </w:r>
      <w:r w:rsidR="00B628A7" w:rsidRPr="00421BE1">
        <w:rPr>
          <w:szCs w:val="24"/>
        </w:rPr>
        <w:t xml:space="preserve">the Annex to Resolution No. 61, revised, </w:t>
      </w:r>
      <w:r w:rsidR="00834375" w:rsidRPr="00421BE1">
        <w:rPr>
          <w:szCs w:val="24"/>
        </w:rPr>
        <w:t>and</w:t>
      </w:r>
      <w:r w:rsidR="00B628A7" w:rsidRPr="00421BE1">
        <w:rPr>
          <w:szCs w:val="24"/>
        </w:rPr>
        <w:t xml:space="preserve"> </w:t>
      </w:r>
      <w:r w:rsidR="00DC7193" w:rsidRPr="00421BE1">
        <w:t>ES-TRIN</w:t>
      </w:r>
      <w:r w:rsidR="00834375" w:rsidRPr="00421BE1">
        <w:t>,</w:t>
      </w:r>
      <w:r w:rsidR="00A96237" w:rsidRPr="00421BE1">
        <w:t xml:space="preserve"> indicate where similar or additional provisions can be found in both documents</w:t>
      </w:r>
      <w:r w:rsidR="00834375" w:rsidRPr="00421BE1">
        <w:rPr>
          <w:szCs w:val="24"/>
        </w:rPr>
        <w:t xml:space="preserve"> and</w:t>
      </w:r>
      <w:r w:rsidR="00A96237" w:rsidRPr="00421BE1">
        <w:rPr>
          <w:szCs w:val="24"/>
        </w:rPr>
        <w:t xml:space="preserve"> propose possible areas of further work</w:t>
      </w:r>
      <w:r w:rsidR="00834375" w:rsidRPr="00421BE1">
        <w:rPr>
          <w:szCs w:val="24"/>
        </w:rPr>
        <w:t xml:space="preserve"> for SC.3/WP.3</w:t>
      </w:r>
      <w:r w:rsidR="00A96237" w:rsidRPr="00421BE1">
        <w:rPr>
          <w:szCs w:val="24"/>
        </w:rPr>
        <w:t xml:space="preserve">. Detailed analysis of provisions in particular chapters </w:t>
      </w:r>
      <w:proofErr w:type="gramStart"/>
      <w:r w:rsidR="00A96237" w:rsidRPr="00421BE1">
        <w:rPr>
          <w:szCs w:val="24"/>
        </w:rPr>
        <w:t>could be made</w:t>
      </w:r>
      <w:proofErr w:type="gramEnd"/>
      <w:r w:rsidR="00A96237" w:rsidRPr="00421BE1">
        <w:rPr>
          <w:szCs w:val="24"/>
        </w:rPr>
        <w:t xml:space="preserve"> as the next step of this work, if SC.3/WP.3 deems it necessary.</w:t>
      </w:r>
    </w:p>
    <w:p w:rsidR="00CF372B" w:rsidRPr="00421BE1" w:rsidRDefault="0025791A" w:rsidP="00C16924">
      <w:pPr>
        <w:pStyle w:val="SingleTxtG"/>
      </w:pPr>
      <w:r w:rsidRPr="00421BE1">
        <w:t>5</w:t>
      </w:r>
      <w:r w:rsidR="006F6616" w:rsidRPr="00421BE1">
        <w:t>.</w:t>
      </w:r>
      <w:r w:rsidR="006F6616" w:rsidRPr="00421BE1">
        <w:tab/>
      </w:r>
      <w:r w:rsidR="00DC7193" w:rsidRPr="00421BE1">
        <w:t>ES-TRIN</w:t>
      </w:r>
      <w:r w:rsidR="009B4366" w:rsidRPr="00421BE1">
        <w:t xml:space="preserve"> became a legal requirement for member States of the European Union (EU) </w:t>
      </w:r>
      <w:r w:rsidR="00A96237" w:rsidRPr="00421BE1">
        <w:t xml:space="preserve">through </w:t>
      </w:r>
      <w:r w:rsidR="00C0186B" w:rsidRPr="00421BE1">
        <w:t xml:space="preserve">Directive (EU) 2016/1629. </w:t>
      </w:r>
      <w:r w:rsidR="00597206" w:rsidRPr="00421BE1">
        <w:t xml:space="preserve">According to </w:t>
      </w:r>
      <w:r w:rsidR="00A96237" w:rsidRPr="00421BE1">
        <w:t xml:space="preserve">its </w:t>
      </w:r>
      <w:r w:rsidR="00597206" w:rsidRPr="00421BE1">
        <w:t xml:space="preserve">Article 2, Directive (EU) 2016/1629 applies </w:t>
      </w:r>
      <w:proofErr w:type="gramStart"/>
      <w:r w:rsidR="00597206" w:rsidRPr="00421BE1">
        <w:t>to</w:t>
      </w:r>
      <w:proofErr w:type="gramEnd"/>
      <w:r w:rsidR="00597206" w:rsidRPr="00421BE1">
        <w:t>:</w:t>
      </w:r>
    </w:p>
    <w:p w:rsidR="00597206" w:rsidRPr="00421BE1" w:rsidRDefault="00597206" w:rsidP="00597206">
      <w:pPr>
        <w:pStyle w:val="SingleTxtG"/>
      </w:pPr>
      <w:r w:rsidRPr="00421BE1">
        <w:tab/>
        <w:t>(a)</w:t>
      </w:r>
      <w:r w:rsidRPr="00421BE1">
        <w:tab/>
      </w:r>
      <w:r w:rsidR="00421BE1" w:rsidRPr="00421BE1">
        <w:t xml:space="preserve">Vessels </w:t>
      </w:r>
      <w:r w:rsidRPr="00421BE1">
        <w:t>having a length of 20 metres or more;</w:t>
      </w:r>
    </w:p>
    <w:p w:rsidR="00597206" w:rsidRPr="00421BE1" w:rsidRDefault="00597206" w:rsidP="00597206">
      <w:pPr>
        <w:pStyle w:val="SingleTxtG"/>
      </w:pPr>
      <w:r w:rsidRPr="00421BE1">
        <w:tab/>
        <w:t>(b)</w:t>
      </w:r>
      <w:r w:rsidRPr="00421BE1">
        <w:tab/>
      </w:r>
      <w:r w:rsidR="00421BE1" w:rsidRPr="00421BE1">
        <w:t xml:space="preserve">Vessels </w:t>
      </w:r>
      <w:r w:rsidR="00602433" w:rsidRPr="00421BE1">
        <w:t>for which the product of length</w:t>
      </w:r>
      <w:r w:rsidRPr="00421BE1">
        <w:t>, breadth and draught is a volume of 100 cubic metres or more;</w:t>
      </w:r>
    </w:p>
    <w:p w:rsidR="00597206" w:rsidRPr="00421BE1" w:rsidRDefault="00597206" w:rsidP="00597206">
      <w:pPr>
        <w:pStyle w:val="SingleTxtG"/>
      </w:pPr>
      <w:r w:rsidRPr="00421BE1">
        <w:tab/>
        <w:t>(c)</w:t>
      </w:r>
      <w:r w:rsidRPr="00421BE1">
        <w:tab/>
      </w:r>
      <w:r w:rsidR="00421BE1" w:rsidRPr="00421BE1">
        <w:t xml:space="preserve">Tugs </w:t>
      </w:r>
      <w:r w:rsidRPr="00421BE1">
        <w:t>and pushers intended for towing or push</w:t>
      </w:r>
      <w:r w:rsidR="00602433" w:rsidRPr="00421BE1">
        <w:t>ing either craft referred to in</w:t>
      </w:r>
      <w:r w:rsidRPr="00421BE1">
        <w:t xml:space="preserve"> (a) and (b) or floating equipment, or intended for moving such craft or floating equipment alongside;</w:t>
      </w:r>
    </w:p>
    <w:p w:rsidR="00597206" w:rsidRPr="00421BE1" w:rsidRDefault="00597206" w:rsidP="00597206">
      <w:pPr>
        <w:pStyle w:val="SingleTxtG"/>
      </w:pPr>
      <w:r w:rsidRPr="00421BE1">
        <w:tab/>
        <w:t>(d)</w:t>
      </w:r>
      <w:r w:rsidRPr="00421BE1">
        <w:tab/>
      </w:r>
      <w:r w:rsidR="00421BE1" w:rsidRPr="00421BE1">
        <w:t xml:space="preserve">Passenger </w:t>
      </w:r>
      <w:r w:rsidRPr="00421BE1">
        <w:t>vessels;</w:t>
      </w:r>
    </w:p>
    <w:p w:rsidR="00C0186B" w:rsidRPr="00421BE1" w:rsidRDefault="00597206" w:rsidP="00597206">
      <w:pPr>
        <w:pStyle w:val="SingleTxtG"/>
      </w:pPr>
      <w:r w:rsidRPr="00421BE1">
        <w:tab/>
      </w:r>
      <w:proofErr w:type="gramStart"/>
      <w:r w:rsidRPr="00421BE1">
        <w:t>(e)</w:t>
      </w:r>
      <w:r w:rsidRPr="00421BE1">
        <w:tab/>
      </w:r>
      <w:r w:rsidR="00421BE1" w:rsidRPr="00421BE1">
        <w:t xml:space="preserve">Floating </w:t>
      </w:r>
      <w:r w:rsidRPr="00421BE1">
        <w:t>equipment.</w:t>
      </w:r>
      <w:proofErr w:type="gramEnd"/>
    </w:p>
    <w:p w:rsidR="00C0186B" w:rsidRPr="00421BE1" w:rsidRDefault="00A96237" w:rsidP="006F6616">
      <w:pPr>
        <w:pStyle w:val="SingleTxtG"/>
        <w:rPr>
          <w:szCs w:val="24"/>
        </w:rPr>
      </w:pPr>
      <w:r w:rsidRPr="00421BE1">
        <w:rPr>
          <w:szCs w:val="24"/>
        </w:rPr>
        <w:tab/>
      </w:r>
      <w:r w:rsidR="00597206" w:rsidRPr="00421BE1">
        <w:rPr>
          <w:szCs w:val="24"/>
        </w:rPr>
        <w:t>The application scope of the Recommendations</w:t>
      </w:r>
      <w:r w:rsidR="007F1A2A" w:rsidRPr="00421BE1">
        <w:rPr>
          <w:szCs w:val="24"/>
        </w:rPr>
        <w:t xml:space="preserve"> annexed to Resolution No. 61</w:t>
      </w:r>
      <w:r w:rsidR="00597206" w:rsidRPr="00421BE1">
        <w:rPr>
          <w:szCs w:val="24"/>
        </w:rPr>
        <w:t xml:space="preserve"> </w:t>
      </w:r>
      <w:proofErr w:type="gramStart"/>
      <w:r w:rsidR="00597206" w:rsidRPr="00421BE1">
        <w:rPr>
          <w:szCs w:val="24"/>
        </w:rPr>
        <w:t>is given in</w:t>
      </w:r>
      <w:proofErr w:type="gramEnd"/>
      <w:r w:rsidR="00597206" w:rsidRPr="00421BE1">
        <w:rPr>
          <w:szCs w:val="24"/>
        </w:rPr>
        <w:t xml:space="preserve"> </w:t>
      </w:r>
      <w:r w:rsidR="00943AB4" w:rsidRPr="00421BE1">
        <w:rPr>
          <w:szCs w:val="24"/>
        </w:rPr>
        <w:t xml:space="preserve">in paragraphs </w:t>
      </w:r>
      <w:r w:rsidR="00597206" w:rsidRPr="00421BE1">
        <w:rPr>
          <w:szCs w:val="24"/>
        </w:rPr>
        <w:t>1-1.2 and 1-1.3</w:t>
      </w:r>
      <w:r w:rsidR="00602433" w:rsidRPr="00421BE1">
        <w:rPr>
          <w:szCs w:val="24"/>
        </w:rPr>
        <w:t>.</w:t>
      </w:r>
    </w:p>
    <w:p w:rsidR="00597206" w:rsidRPr="00421BE1" w:rsidRDefault="0025791A" w:rsidP="00597206">
      <w:pPr>
        <w:pStyle w:val="SingleTxtG"/>
      </w:pPr>
      <w:r w:rsidRPr="00421BE1">
        <w:rPr>
          <w:szCs w:val="24"/>
        </w:rPr>
        <w:t>6</w:t>
      </w:r>
      <w:r w:rsidR="00597206" w:rsidRPr="00421BE1">
        <w:rPr>
          <w:szCs w:val="24"/>
        </w:rPr>
        <w:t>.</w:t>
      </w:r>
      <w:r w:rsidR="00597206" w:rsidRPr="00421BE1">
        <w:rPr>
          <w:szCs w:val="24"/>
        </w:rPr>
        <w:tab/>
      </w:r>
      <w:r w:rsidR="00DC7193" w:rsidRPr="00421BE1">
        <w:rPr>
          <w:szCs w:val="24"/>
        </w:rPr>
        <w:t>ES-TRIN</w:t>
      </w:r>
      <w:r w:rsidR="00597206" w:rsidRPr="00421BE1">
        <w:rPr>
          <w:szCs w:val="24"/>
        </w:rPr>
        <w:t xml:space="preserve"> (Edition 2015/1) consists of four parts, annexes </w:t>
      </w:r>
      <w:r w:rsidR="00597206" w:rsidRPr="00421BE1">
        <w:t>and the Instructions for the application of the technical standard (</w:t>
      </w:r>
      <w:r w:rsidR="00602433" w:rsidRPr="00421BE1">
        <w:t>the titl</w:t>
      </w:r>
      <w:r w:rsidR="00597206" w:rsidRPr="00421BE1">
        <w:t xml:space="preserve">es of Chapters and Annexes </w:t>
      </w:r>
      <w:proofErr w:type="gramStart"/>
      <w:r w:rsidR="00597206" w:rsidRPr="00421BE1">
        <w:t>are given</w:t>
      </w:r>
      <w:proofErr w:type="gramEnd"/>
      <w:r w:rsidR="00597206" w:rsidRPr="00421BE1">
        <w:t xml:space="preserve"> in table</w:t>
      </w:r>
      <w:r w:rsidR="004818CF" w:rsidRPr="00421BE1">
        <w:t xml:space="preserve"> 1</w:t>
      </w:r>
      <w:r w:rsidR="00597206" w:rsidRPr="00421BE1">
        <w:t>):</w:t>
      </w:r>
    </w:p>
    <w:p w:rsidR="00597206" w:rsidRPr="00421BE1" w:rsidRDefault="00597206" w:rsidP="00C16924">
      <w:pPr>
        <w:pStyle w:val="Bullet1G"/>
      </w:pPr>
      <w:r w:rsidRPr="00421BE1">
        <w:t>Part I, General (Chapters 1 and 2)</w:t>
      </w:r>
    </w:p>
    <w:p w:rsidR="00597206" w:rsidRPr="00421BE1" w:rsidRDefault="00597206" w:rsidP="00597206">
      <w:pPr>
        <w:pStyle w:val="Bullet1G"/>
      </w:pPr>
      <w:r w:rsidRPr="00421BE1">
        <w:t>Part II, Provisions regarding shipbuilding, fitting out and equipment</w:t>
      </w:r>
      <w:r w:rsidR="00602433" w:rsidRPr="00421BE1">
        <w:t xml:space="preserve"> (Chapters 3 to </w:t>
      </w:r>
      <w:r w:rsidRPr="00421BE1">
        <w:t>18)</w:t>
      </w:r>
    </w:p>
    <w:p w:rsidR="00597206" w:rsidRPr="00421BE1" w:rsidRDefault="00597206" w:rsidP="00597206">
      <w:pPr>
        <w:pStyle w:val="Bullet1G"/>
      </w:pPr>
      <w:r w:rsidRPr="00421BE1">
        <w:t>Part III, Special provisions (Chapters 19 to 31)</w:t>
      </w:r>
    </w:p>
    <w:p w:rsidR="00597206" w:rsidRPr="00421BE1" w:rsidRDefault="00597206" w:rsidP="00597206">
      <w:pPr>
        <w:pStyle w:val="Bullet1G"/>
      </w:pPr>
      <w:r w:rsidRPr="00421BE1">
        <w:t>Part IV, Transitional provisions (Chapter</w:t>
      </w:r>
      <w:r w:rsidR="00711C58" w:rsidRPr="00421BE1">
        <w:t>s</w:t>
      </w:r>
      <w:r w:rsidRPr="00421BE1">
        <w:t xml:space="preserve"> 32 and 33)</w:t>
      </w:r>
    </w:p>
    <w:p w:rsidR="00597206" w:rsidRPr="00421BE1" w:rsidRDefault="00597206" w:rsidP="00597206">
      <w:pPr>
        <w:pStyle w:val="Bullet1G"/>
      </w:pPr>
      <w:r w:rsidRPr="00421BE1">
        <w:t>Annexes:</w:t>
      </w:r>
    </w:p>
    <w:p w:rsidR="00597206" w:rsidRPr="00421BE1" w:rsidRDefault="00597206" w:rsidP="00C16924">
      <w:pPr>
        <w:pStyle w:val="Bullet2G"/>
      </w:pPr>
      <w:r w:rsidRPr="00421BE1">
        <w:t>Part I,</w:t>
      </w:r>
      <w:r w:rsidR="00602433" w:rsidRPr="00421BE1">
        <w:t xml:space="preserve"> Vessel Identification and R</w:t>
      </w:r>
      <w:r w:rsidRPr="00421BE1">
        <w:t>egister (Annexes 1 to 3)</w:t>
      </w:r>
    </w:p>
    <w:p w:rsidR="00597206" w:rsidRPr="00421BE1" w:rsidRDefault="00597206" w:rsidP="00597206">
      <w:pPr>
        <w:pStyle w:val="Bullet2G"/>
        <w:rPr>
          <w:szCs w:val="24"/>
        </w:rPr>
      </w:pPr>
      <w:r w:rsidRPr="00421BE1">
        <w:t>Part II, Additional requirements for specific equipment used on board (annexes 4 to 8)</w:t>
      </w:r>
    </w:p>
    <w:p w:rsidR="00597206" w:rsidRPr="00421BE1" w:rsidRDefault="00597206" w:rsidP="00597206">
      <w:pPr>
        <w:pStyle w:val="Bullet1G"/>
      </w:pPr>
      <w:r w:rsidRPr="00421BE1">
        <w:t>Instructions for the application of the technical standard</w:t>
      </w:r>
      <w:r w:rsidR="00602433" w:rsidRPr="00421BE1">
        <w:t>:</w:t>
      </w:r>
    </w:p>
    <w:p w:rsidR="00597206" w:rsidRPr="00421BE1" w:rsidRDefault="00597206" w:rsidP="00597206">
      <w:pPr>
        <w:pStyle w:val="Bullet2G"/>
      </w:pPr>
      <w:r w:rsidRPr="00421BE1">
        <w:t>Part I, General (ESI-I-1 and ESI-I-2)</w:t>
      </w:r>
    </w:p>
    <w:p w:rsidR="00597206" w:rsidRPr="00421BE1" w:rsidRDefault="00597206" w:rsidP="00597206">
      <w:pPr>
        <w:pStyle w:val="Bullet2G"/>
      </w:pPr>
      <w:r w:rsidRPr="00421BE1">
        <w:lastRenderedPageBreak/>
        <w:t>Part II, Provisions regarding shipbuilding, fitting out and equipment (ESI-II-1 to ESI-II-13)</w:t>
      </w:r>
    </w:p>
    <w:p w:rsidR="00597206" w:rsidRPr="00421BE1" w:rsidRDefault="00597206" w:rsidP="00597206">
      <w:pPr>
        <w:pStyle w:val="Bullet2G"/>
      </w:pPr>
      <w:r w:rsidRPr="00421BE1">
        <w:t>Part III, Special provisions (ESI-III-1 to ESI-III-10)</w:t>
      </w:r>
    </w:p>
    <w:p w:rsidR="00597206" w:rsidRPr="00421BE1" w:rsidRDefault="00597206" w:rsidP="00597206">
      <w:pPr>
        <w:pStyle w:val="Bullet2G"/>
      </w:pPr>
      <w:r w:rsidRPr="00421BE1">
        <w:t>Part IV, Transitional provisions (ESI-IV-1).</w:t>
      </w:r>
    </w:p>
    <w:p w:rsidR="00666199" w:rsidRPr="00421BE1" w:rsidRDefault="0025791A" w:rsidP="00666199">
      <w:pPr>
        <w:pStyle w:val="SingleTxtG"/>
      </w:pPr>
      <w:r w:rsidRPr="00421BE1">
        <w:t>7</w:t>
      </w:r>
      <w:r w:rsidR="00666199" w:rsidRPr="00421BE1">
        <w:t>.</w:t>
      </w:r>
      <w:r w:rsidR="00666199" w:rsidRPr="00421BE1">
        <w:tab/>
        <w:t xml:space="preserve">The Instructions for the application of the technical standard </w:t>
      </w:r>
      <w:proofErr w:type="gramStart"/>
      <w:r w:rsidR="00666199" w:rsidRPr="00421BE1">
        <w:t>were not considered</w:t>
      </w:r>
      <w:proofErr w:type="gramEnd"/>
      <w:r w:rsidR="00666199" w:rsidRPr="00421BE1">
        <w:t xml:space="preserve"> when comparing the two documents.</w:t>
      </w:r>
    </w:p>
    <w:p w:rsidR="002F57FE" w:rsidRPr="00421BE1" w:rsidRDefault="002F57FE" w:rsidP="00666199">
      <w:pPr>
        <w:pStyle w:val="SingleTxtG"/>
      </w:pPr>
      <w:r w:rsidRPr="00421BE1">
        <w:t>Table 1</w:t>
      </w:r>
    </w:p>
    <w:tbl>
      <w:tblPr>
        <w:tblStyle w:val="TableGrid"/>
        <w:tblW w:w="9639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3382"/>
        <w:gridCol w:w="2706"/>
      </w:tblGrid>
      <w:tr w:rsidR="002F57FE" w:rsidRPr="00421BE1" w:rsidTr="00742B75">
        <w:trPr>
          <w:tblHeader/>
        </w:trPr>
        <w:tc>
          <w:tcPr>
            <w:tcW w:w="355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F57FE" w:rsidRPr="00421BE1" w:rsidRDefault="002F57FE" w:rsidP="00C1692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21BE1">
              <w:rPr>
                <w:i/>
                <w:sz w:val="16"/>
              </w:rPr>
              <w:t>Annex to Resolution No. 61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57FE" w:rsidRPr="00421BE1" w:rsidRDefault="002F57FE" w:rsidP="00071CD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21BE1">
              <w:rPr>
                <w:i/>
                <w:sz w:val="16"/>
              </w:rPr>
              <w:t>ES</w:t>
            </w:r>
            <w:r w:rsidR="00071CD9">
              <w:rPr>
                <w:i/>
                <w:sz w:val="16"/>
              </w:rPr>
              <w:t>-</w:t>
            </w:r>
            <w:r w:rsidRPr="00421BE1">
              <w:rPr>
                <w:i/>
                <w:sz w:val="16"/>
              </w:rPr>
              <w:t>TRIN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57FE" w:rsidRPr="00421BE1" w:rsidRDefault="002F57FE" w:rsidP="00C1692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21BE1">
              <w:rPr>
                <w:i/>
                <w:sz w:val="16"/>
              </w:rPr>
              <w:t>Note</w:t>
            </w:r>
          </w:p>
        </w:tc>
      </w:tr>
      <w:tr w:rsidR="002F57FE" w:rsidRPr="00421BE1" w:rsidTr="00742B75">
        <w:tc>
          <w:tcPr>
            <w:tcW w:w="3551" w:type="dxa"/>
            <w:tcBorders>
              <w:top w:val="single" w:sz="12" w:space="0" w:color="auto"/>
            </w:tcBorders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1, General provisions</w:t>
            </w:r>
          </w:p>
        </w:tc>
        <w:tc>
          <w:tcPr>
            <w:tcW w:w="3382" w:type="dxa"/>
            <w:tcBorders>
              <w:top w:val="single" w:sz="12" w:space="0" w:color="auto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bookmarkStart w:id="1" w:name="_Toc436114965"/>
            <w:r w:rsidRPr="00421BE1">
              <w:t>Chapter 1, General</w:t>
            </w:r>
            <w:bookmarkEnd w:id="1"/>
          </w:p>
        </w:tc>
        <w:tc>
          <w:tcPr>
            <w:tcW w:w="2706" w:type="dxa"/>
            <w:tcBorders>
              <w:top w:val="single" w:sz="12" w:space="0" w:color="auto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1–2 Definitions</w:t>
            </w:r>
          </w:p>
          <w:p w:rsidR="00FB7459" w:rsidRPr="00421BE1" w:rsidRDefault="00FB7459" w:rsidP="00C16924">
            <w:r w:rsidRPr="00421BE1">
              <w:t>Definitions 36, 63, 84-90, 102-112, 128-131, 133-136,</w:t>
            </w:r>
            <w:r w:rsidR="00FE1A49" w:rsidRPr="00421BE1">
              <w:t xml:space="preserve"> </w:t>
            </w:r>
            <w:r w:rsidR="00B55936" w:rsidRPr="00421BE1">
              <w:t>138</w:t>
            </w:r>
            <w:r w:rsidRPr="00421BE1">
              <w:t xml:space="preserve">-141 are not included in </w:t>
            </w:r>
            <w:r w:rsidR="00DC7193" w:rsidRPr="00421BE1">
              <w:t>ES-TRIN</w:t>
            </w:r>
          </w:p>
          <w:p w:rsidR="002D3CF4" w:rsidRPr="00421BE1" w:rsidRDefault="002D3CF4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Definitions of zones 1, 2 and 3 are </w:t>
            </w:r>
            <w:r w:rsidR="00F20137" w:rsidRPr="00421BE1">
              <w:t>set out</w:t>
            </w:r>
            <w:r w:rsidRPr="00421BE1">
              <w:t xml:space="preserve"> in 1-1.5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D3FA2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Article 1.01, Definitions</w:t>
            </w:r>
            <w:r w:rsidRPr="00421BE1">
              <w:br/>
            </w:r>
            <w:proofErr w:type="spellStart"/>
            <w:r w:rsidRPr="00421BE1">
              <w:t>Definitions</w:t>
            </w:r>
            <w:proofErr w:type="spellEnd"/>
            <w:r w:rsidRPr="00421BE1">
              <w:t xml:space="preserve"> that are not included in Resolution No. 61:</w:t>
            </w:r>
            <w:r w:rsidR="00CD3FA2" w:rsidRPr="00421BE1">
              <w:br/>
            </w:r>
            <w:r w:rsidR="005B5A1B" w:rsidRPr="00421BE1">
              <w:t>7.8 “</w:t>
            </w:r>
            <w:r w:rsidRPr="00421BE1">
              <w:t>Inland AIS equipment</w:t>
            </w:r>
            <w:r w:rsidR="005B5A1B" w:rsidRPr="00421BE1">
              <w:t>”</w:t>
            </w:r>
            <w:r w:rsidRPr="00421BE1">
              <w:t>;</w:t>
            </w:r>
            <w:r w:rsidRPr="00421BE1">
              <w:br/>
            </w:r>
            <w:r w:rsidR="005B5A1B" w:rsidRPr="00421BE1">
              <w:t>10.2 “H</w:t>
            </w:r>
            <w:r w:rsidRPr="00421BE1">
              <w:t>ighest class</w:t>
            </w:r>
            <w:r w:rsidR="005B5A1B" w:rsidRPr="00421BE1">
              <w:t>”</w:t>
            </w:r>
            <w:r w:rsidRPr="00421BE1">
              <w:t>;</w:t>
            </w:r>
            <w:r w:rsidRPr="00421BE1">
              <w:br/>
            </w:r>
            <w:r w:rsidR="005B5A1B" w:rsidRPr="00421BE1">
              <w:t>10.3 “E</w:t>
            </w:r>
            <w:r w:rsidRPr="00421BE1">
              <w:t>xpert</w:t>
            </w:r>
            <w:r w:rsidR="005B5A1B" w:rsidRPr="00421BE1">
              <w:t>”</w:t>
            </w:r>
            <w:r w:rsidRPr="00421BE1">
              <w:t>;</w:t>
            </w:r>
            <w:r w:rsidRPr="00421BE1">
              <w:br/>
            </w:r>
            <w:r w:rsidR="005B5A1B" w:rsidRPr="00421BE1">
              <w:t>10.4 “C</w:t>
            </w:r>
            <w:r w:rsidRPr="00421BE1">
              <w:t>ompetent person</w:t>
            </w:r>
            <w:r w:rsidR="005B5A1B" w:rsidRPr="00421BE1">
              <w:t>”</w:t>
            </w:r>
          </w:p>
        </w:tc>
        <w:tc>
          <w:tcPr>
            <w:tcW w:w="2706" w:type="dxa"/>
            <w:shd w:val="clear" w:color="auto" w:fill="auto"/>
          </w:tcPr>
          <w:p w:rsidR="009B282E" w:rsidRPr="00421BE1" w:rsidRDefault="00E56031" w:rsidP="00CD3FA2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The following definitions in Resolution No. 61 differ from </w:t>
            </w:r>
            <w:r w:rsidR="00DC7193" w:rsidRPr="00421BE1">
              <w:t>ES-TRIN</w:t>
            </w:r>
            <w:r w:rsidRPr="00421BE1">
              <w:t>:</w:t>
            </w:r>
            <w:r w:rsidR="00CD3FA2" w:rsidRPr="00421BE1">
              <w:br/>
            </w:r>
            <w:r w:rsidR="005B5A1B" w:rsidRPr="00421BE1">
              <w:t>“</w:t>
            </w:r>
            <w:r w:rsidR="009B282E" w:rsidRPr="00421BE1">
              <w:t>Recognized classification society</w:t>
            </w:r>
            <w:r w:rsidR="005B5A1B" w:rsidRPr="00421BE1">
              <w:t xml:space="preserve">” (definitions 120 </w:t>
            </w:r>
            <w:r w:rsidR="009B282E" w:rsidRPr="00421BE1">
              <w:t>and 10.1</w:t>
            </w:r>
            <w:r w:rsidR="005B5A1B" w:rsidRPr="00421BE1">
              <w:t xml:space="preserve"> in ES-TRIN)</w:t>
            </w:r>
            <w:r w:rsidR="009B282E" w:rsidRPr="00421BE1">
              <w:t>;</w:t>
            </w:r>
            <w:r w:rsidR="009B282E" w:rsidRPr="00421BE1">
              <w:br/>
            </w:r>
            <w:r w:rsidR="00207095" w:rsidRPr="00421BE1">
              <w:t xml:space="preserve">“Light signals” (definitions </w:t>
            </w:r>
            <w:r w:rsidR="00007B0B" w:rsidRPr="00421BE1">
              <w:t>122 and 7.2 in ES-TRIN);</w:t>
            </w:r>
            <w:r w:rsidR="00007B0B" w:rsidRPr="00421BE1">
              <w:br/>
            </w:r>
            <w:r w:rsidR="005B5A1B" w:rsidRPr="00421BE1">
              <w:t>“</w:t>
            </w:r>
            <w:r w:rsidRPr="00421BE1">
              <w:t>C</w:t>
            </w:r>
            <w:r w:rsidR="00FB7459" w:rsidRPr="00421BE1">
              <w:t>ollective life-saving appliances</w:t>
            </w:r>
            <w:r w:rsidR="005B5A1B" w:rsidRPr="00421BE1">
              <w:t>”</w:t>
            </w:r>
            <w:r w:rsidR="00FB7459" w:rsidRPr="00421BE1">
              <w:t xml:space="preserve"> </w:t>
            </w:r>
            <w:r w:rsidR="005B5A1B" w:rsidRPr="00421BE1">
              <w:t xml:space="preserve">(definition 132 </w:t>
            </w:r>
            <w:r w:rsidR="009B282E" w:rsidRPr="00421BE1">
              <w:t xml:space="preserve">and </w:t>
            </w:r>
            <w:r w:rsidRPr="00421BE1">
              <w:t>Article 19.09.5</w:t>
            </w:r>
            <w:r w:rsidR="005B5A1B" w:rsidRPr="00421BE1">
              <w:t>)</w:t>
            </w:r>
            <w:r w:rsidRPr="00421BE1">
              <w:t>;</w:t>
            </w:r>
            <w:r w:rsidR="009B282E" w:rsidRPr="00421BE1">
              <w:br/>
            </w:r>
            <w:r w:rsidR="005B5A1B" w:rsidRPr="00421BE1">
              <w:t>“</w:t>
            </w:r>
            <w:r w:rsidR="009B282E" w:rsidRPr="00421BE1">
              <w:t>Ship’s certificate</w:t>
            </w:r>
            <w:r w:rsidR="005B5A1B" w:rsidRPr="00421BE1">
              <w:t>”</w:t>
            </w:r>
            <w:r w:rsidR="009B282E" w:rsidRPr="00421BE1">
              <w:t xml:space="preserve"> and </w:t>
            </w:r>
            <w:r w:rsidR="005B5A1B" w:rsidRPr="00421BE1">
              <w:t>“</w:t>
            </w:r>
            <w:r w:rsidR="009B282E" w:rsidRPr="00421BE1">
              <w:t>Inland navigation vessel certificate</w:t>
            </w:r>
            <w:r w:rsidR="005B5A1B" w:rsidRPr="00421BE1">
              <w:t>” (definitions 137 and 11.4 in ES-TRIN)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2, Procedure and rules for the inspection of inland navigation vessels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2, Procedures (left void)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E770CB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Inspection procedures are set out in </w:t>
            </w:r>
            <w:r w:rsidR="000E5FD0" w:rsidRPr="00421BE1">
              <w:t xml:space="preserve">Article 20 and Annex V of </w:t>
            </w:r>
            <w:r w:rsidRPr="00421BE1">
              <w:t xml:space="preserve">Directive (EU) 2016/1629 </w:t>
            </w:r>
            <w:r w:rsidR="000E5FD0" w:rsidRPr="00421BE1">
              <w:t xml:space="preserve">and in </w:t>
            </w:r>
            <w:r w:rsidRPr="00421BE1">
              <w:t>the Rhine Vessel Inspection Regulations</w:t>
            </w:r>
            <w:r w:rsidR="000E5FD0" w:rsidRPr="00421BE1">
              <w:t xml:space="preserve"> (RVIR)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2-7.2 European Vessel Identification Number</w:t>
            </w:r>
            <w:r w:rsidRPr="00421BE1">
              <w:br/>
              <w:t>2-7.2.1 and 2-7.2.2</w:t>
            </w:r>
            <w:r w:rsidRPr="00421BE1">
              <w:br/>
              <w:t>2-7.2.3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Model of the Unique European Vessel Identification Number (ENI) is given in Annex 1</w:t>
            </w:r>
            <w:r w:rsidRPr="00421BE1">
              <w:br/>
              <w:t>Data for the identification of a vessel are given in Annex 2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0E5FD0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Procedural requirements </w:t>
            </w:r>
            <w:r w:rsidR="00B55936" w:rsidRPr="00421BE1">
              <w:t xml:space="preserve">are </w:t>
            </w:r>
            <w:r w:rsidRPr="00421BE1">
              <w:t>set out in Article 18 and Article 2.18 of Annex</w:t>
            </w:r>
            <w:r w:rsidR="00B55936" w:rsidRPr="00421BE1">
              <w:t> </w:t>
            </w:r>
            <w:r w:rsidRPr="00421BE1">
              <w:t>V of Directive (EU) 2016/1629 and in RVIR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3, Shipbuilding requirements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3, </w:t>
            </w:r>
            <w:r w:rsidR="00A0740D" w:rsidRPr="00421BE1">
              <w:t>Shipbuilding requirements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172DAA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Provisions</w:t>
            </w:r>
            <w:r w:rsidR="00B95136" w:rsidRPr="00421BE1">
              <w:t xml:space="preserve"> </w:t>
            </w:r>
            <w:r w:rsidR="005A53C1" w:rsidRPr="00421BE1">
              <w:t>of</w:t>
            </w:r>
            <w:r w:rsidR="00B95136" w:rsidRPr="00421BE1">
              <w:t xml:space="preserve"> </w:t>
            </w:r>
            <w:r w:rsidR="005A53C1" w:rsidRPr="00421BE1">
              <w:t>Resolution No. 61</w:t>
            </w:r>
            <w:r w:rsidR="00B95136" w:rsidRPr="00421BE1">
              <w:t xml:space="preserve"> differ significantly</w:t>
            </w:r>
            <w:r w:rsidR="005A53C1" w:rsidRPr="00421BE1">
              <w:t xml:space="preserve"> from </w:t>
            </w:r>
            <w:r w:rsidR="00DC7193" w:rsidRPr="00421BE1">
              <w:t>ES-TRIN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3-5 </w:t>
            </w:r>
            <w:r w:rsidR="00D57FC9" w:rsidRPr="00421BE1">
              <w:t>C</w:t>
            </w:r>
            <w:r w:rsidRPr="00421BE1">
              <w:t>riteria for checking the stability of vessels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0E5FD0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Not included in </w:t>
            </w:r>
            <w:r w:rsidR="00DC7193" w:rsidRPr="00421BE1">
              <w:t>ES-TRIN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6506F3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3-3, 3-4</w:t>
            </w:r>
            <w:r w:rsidR="00007B0B" w:rsidRPr="00421BE1">
              <w:t>.1.3</w:t>
            </w:r>
            <w:r w:rsidRPr="00421BE1">
              <w:t>, 3-5</w:t>
            </w:r>
            <w:r w:rsidR="002F57FE" w:rsidRPr="00421BE1">
              <w:t xml:space="preserve">: supplementary requirements for </w:t>
            </w:r>
            <w:r w:rsidR="00C12B48" w:rsidRPr="00421BE1">
              <w:t>z</w:t>
            </w:r>
            <w:r w:rsidRPr="00421BE1">
              <w:t>one</w:t>
            </w:r>
            <w:r w:rsidR="002F57FE" w:rsidRPr="00421BE1">
              <w:t xml:space="preserve"> 1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2F57FE" w:rsidRPr="00421BE1" w:rsidTr="004241B1">
        <w:tc>
          <w:tcPr>
            <w:tcW w:w="3551" w:type="dxa"/>
            <w:tcBorders>
              <w:bottom w:val="nil"/>
            </w:tcBorders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3A, Fire protection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Article 3.04, Engine and boiler rooms, bunkers</w:t>
            </w:r>
          </w:p>
        </w:tc>
        <w:tc>
          <w:tcPr>
            <w:tcW w:w="2706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top w:val="nil"/>
              <w:bottom w:val="nil"/>
            </w:tcBorders>
          </w:tcPr>
          <w:p w:rsidR="002F57FE" w:rsidRPr="00421BE1" w:rsidRDefault="002F57FE" w:rsidP="00160A32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4, Safety clearance, freeboard and draught marks</w:t>
            </w:r>
          </w:p>
          <w:p w:rsidR="002F57FE" w:rsidRPr="00421BE1" w:rsidRDefault="006506F3" w:rsidP="00FE1A49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4-3, 4-4, 4-5, 4-6: supplementary requirements for zone</w:t>
            </w:r>
            <w:r w:rsidR="009F2B86" w:rsidRPr="00421BE1">
              <w:t>s</w:t>
            </w:r>
            <w:r w:rsidRPr="00421BE1">
              <w:t xml:space="preserve"> 1 and 2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FE1A49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4, Safety clearance, freeboard and draught marks</w:t>
            </w:r>
          </w:p>
        </w:tc>
        <w:tc>
          <w:tcPr>
            <w:tcW w:w="2706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FE1A49" w:rsidRPr="00421BE1" w:rsidTr="004241B1">
        <w:tc>
          <w:tcPr>
            <w:tcW w:w="3551" w:type="dxa"/>
            <w:tcBorders>
              <w:top w:val="nil"/>
            </w:tcBorders>
          </w:tcPr>
          <w:p w:rsidR="00FE1A49" w:rsidRPr="00421BE1" w:rsidRDefault="00FE1A49" w:rsidP="00FE1A49">
            <w:pPr>
              <w:suppressAutoHyphens w:val="0"/>
              <w:spacing w:before="40" w:after="120" w:line="220" w:lineRule="exact"/>
              <w:ind w:right="113"/>
            </w:pPr>
            <w:r w:rsidRPr="00421BE1">
              <w:lastRenderedPageBreak/>
              <w:t>4.6 Arrangement of openings and coamings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FE1A49" w:rsidRPr="00421BE1" w:rsidRDefault="00FE1A49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There are no similar requirements in </w:t>
            </w:r>
            <w:r w:rsidR="00DC7193" w:rsidRPr="00421BE1">
              <w:t>ES-TRIN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</w:tcPr>
          <w:p w:rsidR="00FE1A49" w:rsidRPr="00421BE1" w:rsidRDefault="00FE1A49" w:rsidP="00C1692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Provisions are not included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rPr>
                <w:noProof/>
              </w:rPr>
              <w:t>Article 4.06, Draught scales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2F57FE" w:rsidRPr="00421BE1" w:rsidTr="00742B75">
        <w:tc>
          <w:tcPr>
            <w:tcW w:w="3551" w:type="dxa"/>
          </w:tcPr>
          <w:p w:rsidR="0058547B" w:rsidRPr="00421BE1" w:rsidRDefault="002F57FE" w:rsidP="00FE1A49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5, </w:t>
            </w:r>
            <w:proofErr w:type="spellStart"/>
            <w:r w:rsidRPr="00421BE1">
              <w:t>Manoeuvrab</w:t>
            </w:r>
            <w:r w:rsidR="00186474" w:rsidRPr="00421BE1">
              <w:t>i</w:t>
            </w:r>
            <w:r w:rsidRPr="00421BE1">
              <w:t>lilty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5, </w:t>
            </w:r>
            <w:proofErr w:type="spellStart"/>
            <w:r w:rsidRPr="00421BE1">
              <w:t>Manoeuvrab</w:t>
            </w:r>
            <w:r w:rsidR="00186474" w:rsidRPr="00421BE1">
              <w:t>i</w:t>
            </w:r>
            <w:r w:rsidRPr="00421BE1">
              <w:t>lilty</w:t>
            </w:r>
            <w:proofErr w:type="spellEnd"/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Additional requirements are given in Appendix 4</w:t>
            </w:r>
            <w:r w:rsidR="0058547B" w:rsidRPr="00421BE1">
              <w:t xml:space="preserve"> of Resolution No. 61 and in Instructions </w:t>
            </w:r>
            <w:r w:rsidR="00AC0D7C" w:rsidRPr="00421BE1">
              <w:t>ES</w:t>
            </w:r>
            <w:r w:rsidR="00577232" w:rsidRPr="00421BE1">
              <w:t>I</w:t>
            </w:r>
            <w:r w:rsidR="0058547B" w:rsidRPr="00421BE1">
              <w:t>-II-3 and ES</w:t>
            </w:r>
            <w:r w:rsidR="00577232" w:rsidRPr="00421BE1">
              <w:t>I</w:t>
            </w:r>
            <w:r w:rsidR="0058547B" w:rsidRPr="00421BE1">
              <w:t>-II-4 for the application of the technical standard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6, Steering system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6, Steering system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4068CD" w:rsidRPr="00421BE1" w:rsidRDefault="004068CD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7, Wheelhouse</w:t>
            </w:r>
          </w:p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Provisions for Inland AIS equipment are missing</w:t>
            </w:r>
          </w:p>
          <w:p w:rsidR="006506F3" w:rsidRPr="00421BE1" w:rsidRDefault="006506F3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7-7.3: supplementary requirements for zones 1 and 2</w:t>
            </w:r>
          </w:p>
        </w:tc>
        <w:tc>
          <w:tcPr>
            <w:tcW w:w="3382" w:type="dxa"/>
            <w:shd w:val="clear" w:color="auto" w:fill="auto"/>
          </w:tcPr>
          <w:p w:rsidR="004068CD" w:rsidRPr="00421BE1" w:rsidRDefault="004068CD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7, Wheelhouse</w:t>
            </w:r>
          </w:p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Article 7.06, Navigation and information equipment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C16924" w:rsidRPr="00421BE1" w:rsidTr="00742B75">
        <w:tc>
          <w:tcPr>
            <w:tcW w:w="3551" w:type="dxa"/>
          </w:tcPr>
          <w:p w:rsidR="004068CD" w:rsidRPr="00421BE1" w:rsidRDefault="004068CD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8, Engine design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Provisions are not included</w:t>
            </w:r>
          </w:p>
        </w:tc>
        <w:tc>
          <w:tcPr>
            <w:tcW w:w="3382" w:type="dxa"/>
            <w:shd w:val="clear" w:color="auto" w:fill="auto"/>
          </w:tcPr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8, Engine design</w:t>
            </w:r>
          </w:p>
          <w:p w:rsidR="00C16924" w:rsidRPr="00421BE1" w:rsidRDefault="00C16924" w:rsidP="00C16924">
            <w:pPr>
              <w:pStyle w:val="ES-Titre3"/>
              <w:spacing w:before="40" w:after="120" w:line="220" w:lineRule="exact"/>
              <w:ind w:right="113"/>
              <w:jc w:val="left"/>
            </w:pPr>
            <w:bookmarkStart w:id="2" w:name="_Toc436115024"/>
            <w:r w:rsidRPr="00421BE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Article 8.06, Storage of lubricating oil, pipes and accessories</w:t>
            </w:r>
            <w:bookmarkEnd w:id="2"/>
          </w:p>
        </w:tc>
        <w:tc>
          <w:tcPr>
            <w:tcW w:w="2706" w:type="dxa"/>
            <w:shd w:val="clear" w:color="auto" w:fill="auto"/>
          </w:tcPr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Provisions are not included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pStyle w:val="ES-Titre3"/>
              <w:spacing w:before="40" w:after="120" w:line="220" w:lineRule="exact"/>
              <w:ind w:right="113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3" w:name="_Toc436115025"/>
            <w:r w:rsidRPr="00421BE1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Article 8.07, Storage of oils used in power transmission systems, control and activating systems and heating systems, pipes and accessories</w:t>
            </w:r>
            <w:bookmarkEnd w:id="3"/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FB0576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8A, Exhaust and pollutant particulate emissions from diesel engines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9, Emission of gaseous and particulate pollutants from diesel engines</w:t>
            </w:r>
          </w:p>
          <w:p w:rsidR="002F57FE" w:rsidRPr="00421BE1" w:rsidRDefault="002F57FE" w:rsidP="00FB0576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Definitions that are not included in Resolution No. 61:</w:t>
            </w:r>
            <w:r w:rsidRPr="00421BE1">
              <w:br/>
              <w:t>exchange engine, manufacturer, engine parameter protocol, engine manufacturer’s instructions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FB0576" w:rsidRPr="00421BE1" w:rsidTr="00742B75">
        <w:tc>
          <w:tcPr>
            <w:tcW w:w="3551" w:type="dxa"/>
          </w:tcPr>
          <w:p w:rsidR="00FB0576" w:rsidRPr="00421BE1" w:rsidRDefault="00FB0576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Applicable to engines having an output more than 37 kW</w:t>
            </w:r>
          </w:p>
        </w:tc>
        <w:tc>
          <w:tcPr>
            <w:tcW w:w="3382" w:type="dxa"/>
            <w:shd w:val="clear" w:color="auto" w:fill="auto"/>
          </w:tcPr>
          <w:p w:rsidR="00FB0576" w:rsidRPr="00421BE1" w:rsidRDefault="00FB0576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Applicable to engines having an output more than 19 kW</w:t>
            </w:r>
          </w:p>
        </w:tc>
        <w:tc>
          <w:tcPr>
            <w:tcW w:w="2706" w:type="dxa"/>
            <w:shd w:val="clear" w:color="auto" w:fill="auto"/>
          </w:tcPr>
          <w:p w:rsidR="00FB0576" w:rsidRPr="00421BE1" w:rsidRDefault="00FB0576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3F5359">
        <w:tc>
          <w:tcPr>
            <w:tcW w:w="3551" w:type="dxa"/>
            <w:tcBorders>
              <w:bottom w:val="nil"/>
            </w:tcBorders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8B, Prevention of water pollution and noise abatement of noise produced by vessels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Similar provisions:</w:t>
            </w:r>
          </w:p>
        </w:tc>
        <w:tc>
          <w:tcPr>
            <w:tcW w:w="2706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top w:val="nil"/>
              <w:bottom w:val="nil"/>
            </w:tcBorders>
          </w:tcPr>
          <w:p w:rsidR="002F57FE" w:rsidRPr="00421BE1" w:rsidRDefault="002F57FE" w:rsidP="00160A32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8B-1 Requirements for collection facilities for used oil and oil-containing water</w:t>
            </w:r>
          </w:p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8B-3 Requirements concerning facilities for collecting and storing domestic waste water</w:t>
            </w:r>
          </w:p>
          <w:p w:rsidR="00F24EC1" w:rsidRPr="00421BE1" w:rsidRDefault="002F57FE" w:rsidP="00160A32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8B-4 Requirements concerning facilities for the treatment of domestic waste water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Article 8.09, Oily water and used oil stores</w:t>
            </w:r>
          </w:p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Article 19.14, Waste water collection and disposal facilities (on passenger vessels)</w:t>
            </w:r>
          </w:p>
          <w:p w:rsidR="002F57FE" w:rsidRPr="00421BE1" w:rsidRDefault="002F57FE" w:rsidP="00160A32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18, On-board sewage treatment plants</w:t>
            </w:r>
          </w:p>
        </w:tc>
        <w:tc>
          <w:tcPr>
            <w:tcW w:w="2706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912FD7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Proposal for a new section 8B-4 (ECE/TRANS/SC.3/2015/8) includes Chapter 18 of </w:t>
            </w:r>
            <w:r w:rsidR="00DC7193" w:rsidRPr="00421BE1">
              <w:t>ES-TRIN</w:t>
            </w:r>
          </w:p>
        </w:tc>
      </w:tr>
      <w:tr w:rsidR="00160A32" w:rsidRPr="00421BE1" w:rsidTr="004241B1">
        <w:tc>
          <w:tcPr>
            <w:tcW w:w="3551" w:type="dxa"/>
            <w:tcBorders>
              <w:top w:val="nil"/>
            </w:tcBorders>
          </w:tcPr>
          <w:p w:rsidR="003F5359" w:rsidRDefault="00160A32" w:rsidP="003F5359">
            <w:pPr>
              <w:keepNext/>
              <w:suppressAutoHyphens w:val="0"/>
              <w:spacing w:before="40" w:after="120" w:line="220" w:lineRule="exact"/>
              <w:ind w:right="113"/>
            </w:pPr>
            <w:r w:rsidRPr="00421BE1">
              <w:lastRenderedPageBreak/>
              <w:t>8B-5, Facilities for the collection and storage of vessel operation refuse</w:t>
            </w:r>
          </w:p>
          <w:p w:rsidR="00160A32" w:rsidRPr="00421BE1" w:rsidRDefault="00160A32" w:rsidP="003F5359">
            <w:pPr>
              <w:keepNext/>
              <w:suppressAutoHyphens w:val="0"/>
              <w:spacing w:before="40" w:after="120" w:line="220" w:lineRule="exact"/>
              <w:ind w:right="113"/>
            </w:pPr>
            <w:r w:rsidRPr="00421BE1">
              <w:t>8B-6, Facilities for the collection, storage and treatment of household refuse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160A32" w:rsidRPr="00421BE1" w:rsidRDefault="00160A32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Article 13.02.2, Other equipment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</w:tcPr>
          <w:p w:rsidR="00160A32" w:rsidRPr="00421BE1" w:rsidRDefault="00160A32" w:rsidP="00912FD7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8B-8 Noise emitted by vessels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Article 8.10, Noise emitted by vessels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9, Electrical installations</w:t>
            </w:r>
          </w:p>
          <w:p w:rsidR="006506F3" w:rsidRPr="00421BE1" w:rsidRDefault="006506F3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9-2.16: supplementary requirements for zone 1</w:t>
            </w:r>
          </w:p>
        </w:tc>
        <w:tc>
          <w:tcPr>
            <w:tcW w:w="3382" w:type="dxa"/>
            <w:shd w:val="clear" w:color="auto" w:fill="auto"/>
          </w:tcPr>
          <w:p w:rsidR="003F5359" w:rsidRDefault="002F57FE" w:rsidP="003F5359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10, Electrical equipment</w:t>
            </w:r>
          </w:p>
          <w:p w:rsidR="002F57FE" w:rsidRPr="00421BE1" w:rsidRDefault="002F57FE" w:rsidP="003F5359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11, Electrical installations (left void)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No similar chapter; section 7-3A, Requirements concerning on-board computers, may be regarded as similar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12, Electronic equipment and systems (left void)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C16924" w:rsidRPr="00421BE1" w:rsidTr="00742B75">
        <w:tc>
          <w:tcPr>
            <w:tcW w:w="3551" w:type="dxa"/>
          </w:tcPr>
          <w:p w:rsidR="000638C8" w:rsidRPr="00421BE1" w:rsidRDefault="000638C8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10, Equipment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Requirements additional to </w:t>
            </w:r>
            <w:r w:rsidR="00DC7193" w:rsidRPr="00421BE1">
              <w:t>ES-TRIN</w:t>
            </w:r>
            <w:r w:rsidRPr="00421BE1">
              <w:t>: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10-1.2 Additional requirements for anchors, when the current velocity does not exceed 6 km/h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10-5 Life-saving appliances</w:t>
            </w:r>
            <w:r w:rsidR="00692C3D" w:rsidRPr="00421BE1">
              <w:t>:</w:t>
            </w:r>
            <w:r w:rsidRPr="00421BE1">
              <w:rPr>
                <w:rStyle w:val="FootnoteReference"/>
              </w:rPr>
              <w:footnoteReference w:id="4"/>
            </w:r>
            <w:r w:rsidRPr="00421BE1">
              <w:br/>
              <w:t xml:space="preserve">collective life-saving appliances, lifeboats, </w:t>
            </w:r>
            <w:proofErr w:type="spellStart"/>
            <w:r w:rsidRPr="00421BE1">
              <w:t>liferafts</w:t>
            </w:r>
            <w:proofErr w:type="spellEnd"/>
            <w:r w:rsidRPr="00421BE1">
              <w:t>, life-saving buoyancy aids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10-1.4, 10-2 – 10.3, 10-5.4: supplementary requirements for zones 1 and 2</w:t>
            </w:r>
          </w:p>
        </w:tc>
        <w:tc>
          <w:tcPr>
            <w:tcW w:w="3382" w:type="dxa"/>
            <w:shd w:val="clear" w:color="auto" w:fill="auto"/>
          </w:tcPr>
          <w:p w:rsidR="000638C8" w:rsidRPr="00421BE1" w:rsidRDefault="000638C8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13, Equipment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Provisions not covered, fully or partially, by Resolution No. 61: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Article 13.01.2, Anchor equipment for passenger vessels and vessels not intended for the carriage of goods</w:t>
            </w:r>
          </w:p>
          <w:p w:rsidR="003F5359" w:rsidRDefault="00C16924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Articles 13.01.11 to 13.01.14, Minimum breaking load of the anchor chains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Article 13.02.3(b), Towing cables</w:t>
            </w:r>
          </w:p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  <w:rPr>
                <w:noProof/>
              </w:rPr>
            </w:pPr>
            <w:r w:rsidRPr="00421BE1">
              <w:t xml:space="preserve">Article 13.04, </w:t>
            </w:r>
            <w:r w:rsidRPr="00421BE1">
              <w:rPr>
                <w:noProof/>
              </w:rPr>
              <w:t>Permanently installed fire-fighting systems for protecting accommodation spaces, wheelhouses and passenger rooms</w:t>
            </w:r>
          </w:p>
          <w:p w:rsidR="00742B75" w:rsidRPr="00421BE1" w:rsidRDefault="00742B75" w:rsidP="00742B75">
            <w:pPr>
              <w:suppressAutoHyphens w:val="0"/>
              <w:spacing w:before="40" w:after="120" w:line="220" w:lineRule="exact"/>
              <w:ind w:right="113"/>
              <w:rPr>
                <w:i/>
                <w:noProof/>
              </w:rPr>
            </w:pPr>
            <w:r w:rsidRPr="00421BE1">
              <w:rPr>
                <w:noProof/>
              </w:rPr>
              <w:t>Article 13.05, Permanently installed fire-fighting systems for protecting engine rooms, boiler rooms and pump rooms</w:t>
            </w:r>
          </w:p>
          <w:p w:rsidR="00742B75" w:rsidRPr="00421BE1" w:rsidRDefault="00742B75" w:rsidP="00742B75">
            <w:pPr>
              <w:suppressAutoHyphens w:val="0"/>
              <w:spacing w:before="40" w:after="120" w:line="220" w:lineRule="exact"/>
              <w:ind w:right="113"/>
            </w:pPr>
            <w:r w:rsidRPr="00421BE1">
              <w:rPr>
                <w:noProof/>
              </w:rPr>
              <w:t>Article 13.06, Permanently installed fire-fighting systems for protecting objects</w:t>
            </w:r>
          </w:p>
        </w:tc>
        <w:tc>
          <w:tcPr>
            <w:tcW w:w="2706" w:type="dxa"/>
            <w:shd w:val="clear" w:color="auto" w:fill="auto"/>
          </w:tcPr>
          <w:p w:rsidR="00C16924" w:rsidRPr="00421BE1" w:rsidRDefault="00C16924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E72CEB" w:rsidP="000638C8">
            <w:pPr>
              <w:keepNext/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11, Working spaces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14, Safety at work stations</w:t>
            </w:r>
          </w:p>
        </w:tc>
        <w:tc>
          <w:tcPr>
            <w:tcW w:w="2706" w:type="dxa"/>
            <w:shd w:val="clear" w:color="auto" w:fill="auto"/>
          </w:tcPr>
          <w:p w:rsidR="00C52830" w:rsidRPr="00421BE1" w:rsidRDefault="00C52830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742B75">
            <w:pPr>
              <w:keepNext/>
              <w:suppressAutoHyphens w:val="0"/>
              <w:spacing w:before="40" w:after="120" w:line="220" w:lineRule="exact"/>
              <w:ind w:right="113"/>
            </w:pPr>
            <w:r w:rsidRPr="00421BE1">
              <w:t>Chapter 12, Crew accommodation</w:t>
            </w:r>
          </w:p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No provisions for potable water installations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15, Accommodation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Provisions are covered by Chapter 12, sections 3A-22 and 11-7 of Resolution No. 61 </w:t>
            </w:r>
          </w:p>
        </w:tc>
      </w:tr>
      <w:tr w:rsidR="002F57FE" w:rsidRPr="00421BE1" w:rsidTr="002F6E94">
        <w:trPr>
          <w:trHeight w:val="336"/>
        </w:trPr>
        <w:tc>
          <w:tcPr>
            <w:tcW w:w="3551" w:type="dxa"/>
            <w:tcBorders>
              <w:bottom w:val="nil"/>
            </w:tcBorders>
          </w:tcPr>
          <w:p w:rsidR="002F57FE" w:rsidRPr="00421BE1" w:rsidRDefault="002F57FE" w:rsidP="00EA12E1">
            <w:pPr>
              <w:keepNext/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13, Fuel-fired heating, cooking and refrigerating equipment (left void)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16, Fuel-fired heating, cooking and refrigerating equipment</w:t>
            </w:r>
          </w:p>
        </w:tc>
        <w:tc>
          <w:tcPr>
            <w:tcW w:w="2706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top w:val="nil"/>
              <w:bottom w:val="nil"/>
            </w:tcBorders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14, Liquefied gas installations for domestic purposes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17, Liquefied gas installations for domestic purposes</w:t>
            </w:r>
          </w:p>
        </w:tc>
        <w:tc>
          <w:tcPr>
            <w:tcW w:w="2706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top w:val="nil"/>
            </w:tcBorders>
          </w:tcPr>
          <w:p w:rsidR="002F57FE" w:rsidRPr="00421BE1" w:rsidRDefault="002F57FE" w:rsidP="002F6E94">
            <w:pPr>
              <w:keepNext/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lastRenderedPageBreak/>
              <w:t>See Chapter 8B, section 8B-4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18, On-board sewage treatment plants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Chapter 15, Special provisions for passenger vessels</w:t>
            </w:r>
          </w:p>
          <w:p w:rsidR="006506F3" w:rsidRPr="00421BE1" w:rsidRDefault="006506F3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15-3, 15-4: supplementary requirements for zones 1 and 2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19, Special provisions applicable to passenger vessels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15A, Specific requirements for passenger sailing vessels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20, Special provisions to passenger sailing vessels not navigating on the Rhine</w:t>
            </w:r>
            <w:r w:rsidR="0090213B" w:rsidRPr="00421BE1">
              <w:t xml:space="preserve"> (zone R)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16, </w:t>
            </w:r>
            <w:r w:rsidRPr="00421BE1">
              <w:rPr>
                <w:noProof/>
                <w:szCs w:val="22"/>
              </w:rPr>
              <w:t>Specific requirements applicable to vessels intended to form part of a pushed or towed convoy or of a side-by-side formation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21, </w:t>
            </w:r>
            <w:r w:rsidRPr="00421BE1">
              <w:rPr>
                <w:noProof/>
                <w:szCs w:val="22"/>
              </w:rPr>
              <w:t>Special provisions applicable to craft intended to form part of a pushed or towed convoy or of a side-by-side formation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17,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floating equipment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22, Special provisions applicable to floating equipment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18,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worksite craft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23, Special provisions applicable to worksite craft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19,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historic vessels (left void)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24, Special provisions applicable to traditional craft (left void)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19A,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canal barges (left void)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 xml:space="preserve">There is no similar chapter in </w:t>
            </w:r>
            <w:r w:rsidR="00DC7193" w:rsidRPr="00421BE1">
              <w:t>ES-TRIN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19B,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craft navigating on zone 4 (left void)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0B7133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There is no special chapter in </w:t>
            </w:r>
            <w:r w:rsidR="00DC7193" w:rsidRPr="00421BE1">
              <w:t>ES-TRIN</w:t>
            </w:r>
            <w:r w:rsidRPr="00421BE1">
              <w:t xml:space="preserve"> for zone 4; provisions </w:t>
            </w:r>
            <w:r w:rsidR="00420C8B" w:rsidRPr="00421BE1">
              <w:t>for zone 4 are included in Article 4.07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0B7133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Provisions for zone 4 set out in para</w:t>
            </w:r>
            <w:r w:rsidR="00B530CD" w:rsidRPr="00421BE1">
              <w:t>.</w:t>
            </w:r>
            <w:r w:rsidRPr="00421BE1">
              <w:t xml:space="preserve"> 4-7</w:t>
            </w:r>
            <w:r w:rsidR="00B530CD" w:rsidRPr="00421BE1">
              <w:t xml:space="preserve"> </w:t>
            </w:r>
            <w:r w:rsidRPr="00421BE1">
              <w:t>of Resolution No. 61 are harmonized with Article 4.07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20,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sea-going ships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25, Special provisions applicable to sea-going ships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20B, Special provisions applicable to river-sea navigation vessels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There is no similar chapter in </w:t>
            </w:r>
            <w:r w:rsidR="00DC7193" w:rsidRPr="00421BE1">
              <w:t>ES-TRIN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21,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recreational craft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26, Special provisions applicable to recreational craft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22, Stability of vessels carrying containers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27, Special provisions applicable to vessels carrying containers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0638C8">
            <w:pPr>
              <w:keepNext/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22A,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craft longer than 110 m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28, Special provisions applicable to craft longer than 110 m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bottom w:val="nil"/>
            </w:tcBorders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Chapter 22B, </w:t>
            </w:r>
            <w:r w:rsidRPr="00421BE1">
              <w:rPr>
                <w:noProof/>
                <w:szCs w:val="22"/>
              </w:rPr>
              <w:t xml:space="preserve">Specific requirements </w:t>
            </w:r>
            <w:r w:rsidRPr="00421BE1">
              <w:t>applicable to high-speed vessels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29, Special provisions applicable to high-speed vessels</w:t>
            </w:r>
          </w:p>
        </w:tc>
        <w:tc>
          <w:tcPr>
            <w:tcW w:w="2706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top w:val="nil"/>
              <w:bottom w:val="nil"/>
            </w:tcBorders>
          </w:tcPr>
          <w:p w:rsidR="002F57FE" w:rsidRPr="00421BE1" w:rsidRDefault="002F57FE" w:rsidP="00137689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There is no similar chapter in Resolution No. 61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pStyle w:val="ES-Titre2"/>
              <w:pageBreakBefore w:val="0"/>
              <w:spacing w:before="40" w:after="120" w:line="220" w:lineRule="exact"/>
              <w:ind w:right="113"/>
              <w:jc w:val="left"/>
              <w:rPr>
                <w:rFonts w:ascii="Times New Roman" w:hAnsi="Times New Roman" w:cs="Times New Roman"/>
                <w:i w:val="0"/>
                <w:sz w:val="20"/>
                <w:lang w:val="en-GB"/>
              </w:rPr>
            </w:pPr>
            <w:r w:rsidRPr="00421BE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0"/>
                <w:lang w:val="en-GB"/>
              </w:rPr>
              <w:t xml:space="preserve">Chapter 30, </w:t>
            </w:r>
            <w:bookmarkStart w:id="4" w:name="_Toc436115212"/>
            <w:r w:rsidRPr="00421BE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0"/>
                <w:lang w:val="en-GB"/>
              </w:rPr>
              <w:t>Special provisions applicable to craft equipped with propulsion or auxiliary systems operating on fuels with a flashpoint equal to or lower than 55 °C</w:t>
            </w:r>
            <w:bookmarkEnd w:id="4"/>
          </w:p>
        </w:tc>
        <w:tc>
          <w:tcPr>
            <w:tcW w:w="2706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971A79">
            <w:pPr>
              <w:suppressAutoHyphens w:val="0"/>
              <w:spacing w:before="40" w:after="120" w:line="220" w:lineRule="exact"/>
              <w:ind w:right="3"/>
              <w:rPr>
                <w:i/>
              </w:rPr>
            </w:pPr>
            <w:r w:rsidRPr="00421BE1">
              <w:t xml:space="preserve">Proposal for Chapter X </w:t>
            </w:r>
            <w:r w:rsidR="00971A79" w:rsidRPr="00421BE1">
              <w:t>—</w:t>
            </w:r>
            <w:r w:rsidRPr="00421BE1">
              <w:t xml:space="preserve"> see </w:t>
            </w:r>
            <w:r w:rsidRPr="00421BE1">
              <w:rPr>
                <w:bCs/>
                <w:bdr w:val="none" w:sz="0" w:space="0" w:color="auto" w:frame="1"/>
                <w:shd w:val="clear" w:color="auto" w:fill="FFFFFF"/>
              </w:rPr>
              <w:t>ECE/TRANS/SC.3/WP.3/2017/8</w:t>
            </w:r>
          </w:p>
        </w:tc>
      </w:tr>
      <w:tr w:rsidR="002F57FE" w:rsidRPr="00421BE1" w:rsidTr="004241B1">
        <w:tc>
          <w:tcPr>
            <w:tcW w:w="3551" w:type="dxa"/>
            <w:tcBorders>
              <w:top w:val="nil"/>
            </w:tcBorders>
          </w:tcPr>
          <w:p w:rsidR="002F57FE" w:rsidRPr="00421BE1" w:rsidRDefault="002F57FE" w:rsidP="00F05FF3">
            <w:pPr>
              <w:keepNext/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lastRenderedPageBreak/>
              <w:t>There is no similar chapter in Resolution No. 61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2F57FE" w:rsidRPr="00421BE1" w:rsidRDefault="002F57FE" w:rsidP="00C16924">
            <w:pPr>
              <w:pStyle w:val="ES-Titre2"/>
              <w:pageBreakBefore w:val="0"/>
              <w:spacing w:before="40" w:after="120" w:line="220" w:lineRule="exact"/>
              <w:ind w:right="113"/>
              <w:jc w:val="left"/>
              <w:rPr>
                <w:rFonts w:ascii="Times New Roman" w:hAnsi="Times New Roman" w:cs="Times New Roman"/>
                <w:i w:val="0"/>
                <w:sz w:val="20"/>
                <w:lang w:val="en-GB"/>
              </w:rPr>
            </w:pPr>
            <w:r w:rsidRPr="00421BE1">
              <w:rPr>
                <w:rFonts w:ascii="Times New Roman" w:eastAsia="Times New Roman" w:hAnsi="Times New Roman" w:cs="Times New Roman"/>
                <w:b w:val="0"/>
                <w:i w:val="0"/>
                <w:caps w:val="0"/>
                <w:sz w:val="20"/>
                <w:szCs w:val="20"/>
                <w:lang w:val="en-GB"/>
              </w:rPr>
              <w:t>Chapter 31, Special provisions applicable to vessels sailing with minimum crew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</w:tcPr>
          <w:p w:rsidR="002F57FE" w:rsidRPr="00421BE1" w:rsidRDefault="000B7133" w:rsidP="00C9735E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Draft proposal for amending Chapter 23, Crews </w:t>
            </w:r>
            <w:r w:rsidR="00C9735E">
              <w:t>—</w:t>
            </w:r>
            <w:r w:rsidRPr="00421BE1">
              <w:t xml:space="preserve"> see ECE/TRANS/SC.3/2015/9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23, Crews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There is no similar chapter in </w:t>
            </w:r>
            <w:r w:rsidR="00DC7193" w:rsidRPr="00421BE1">
              <w:t>ES-TRIN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2D00AB">
            <w:pPr>
              <w:suppressAutoHyphens w:val="0"/>
              <w:spacing w:before="40" w:after="120" w:line="220" w:lineRule="exact"/>
              <w:ind w:right="3"/>
              <w:rPr>
                <w:i/>
              </w:rPr>
            </w:pPr>
            <w:r w:rsidRPr="00421BE1">
              <w:t>Proposal for the revision of Cha</w:t>
            </w:r>
            <w:r w:rsidR="002D00AB" w:rsidRPr="00421BE1">
              <w:t>pter 23 and a new resolution —</w:t>
            </w:r>
            <w:r w:rsidRPr="00421BE1">
              <w:t xml:space="preserve"> see ECE/TRANS/SC.3/WP.3/2015/2 and ECE/TRANS/SC.3/2015/9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445149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24, Transitional and final provisions (left void)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32, Transitional provisions for craft navigating on the Rhine (zone R)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2F57FE" w:rsidRPr="00421BE1" w:rsidRDefault="002F57FE" w:rsidP="00EA05BC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Draft proposal for Chapter 24, Transitional and final provisions </w:t>
            </w:r>
            <w:r w:rsidR="00EA05BC" w:rsidRPr="00421BE1">
              <w:t>—</w:t>
            </w:r>
            <w:r w:rsidRPr="00421BE1">
              <w:t xml:space="preserve"> see </w:t>
            </w:r>
            <w:r w:rsidR="00EA05BC" w:rsidRPr="00421BE1">
              <w:br/>
            </w:r>
            <w:r w:rsidRPr="00421BE1">
              <w:t>ECE/TRANS/SC.3/2015/9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445149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24, Transitional and final provisions (left void)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Chapter 33, Transitional provisions for craft operating exclusively on waterways outside the Rhine</w:t>
            </w:r>
          </w:p>
        </w:tc>
        <w:tc>
          <w:tcPr>
            <w:tcW w:w="2706" w:type="dxa"/>
            <w:vMerge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Appendices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Annexes (Annexes 1 and 2 – see notes to Chapter 2)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Appendix 1, List of European inland waterways divided geographically into zones 1, 2 and 3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There is no similar annex in </w:t>
            </w:r>
            <w:r w:rsidR="00DC7193" w:rsidRPr="00421BE1">
              <w:t>ES-TRIN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List of inland waterways of the European Union divided geographically into zones 1, 2 and 3 i</w:t>
            </w:r>
            <w:r w:rsidR="00F20137" w:rsidRPr="00421BE1">
              <w:t>s</w:t>
            </w:r>
            <w:r w:rsidRPr="00421BE1">
              <w:t xml:space="preserve"> set out</w:t>
            </w:r>
            <w:r w:rsidR="00E727E7" w:rsidRPr="00421BE1">
              <w:t xml:space="preserve"> in Annex I</w:t>
            </w:r>
            <w:r w:rsidRPr="00421BE1">
              <w:t xml:space="preserve"> to Directive (EU) 2016/1629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Appendix 2, Model Ship’s Certificate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Annex 3, Models of inland navigation vessel certificates and model of register of inland navigation vessel certificates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2D00AB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Proposal for amending the Ship’s Certificate </w:t>
            </w:r>
            <w:r w:rsidR="002D00AB" w:rsidRPr="00421BE1">
              <w:t>—</w:t>
            </w:r>
            <w:r w:rsidRPr="00421BE1">
              <w:t xml:space="preserve"> see ECE/TRANS/SC.3/2015/9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Appendix 3, </w:t>
            </w:r>
            <w:r w:rsidRPr="00421BE1">
              <w:rPr>
                <w:bCs/>
              </w:rPr>
              <w:t>Safety signs and signals to be used on board inland navigation vessels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Annex 4, Safety signs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Appendix 4, Alternative manoeuvrability test procedures and criteria in accordance with 5-2.1</w:t>
            </w:r>
          </w:p>
        </w:tc>
        <w:tc>
          <w:tcPr>
            <w:tcW w:w="3382" w:type="dxa"/>
            <w:shd w:val="clear" w:color="auto" w:fill="auto"/>
          </w:tcPr>
          <w:p w:rsidR="00BC2BF9" w:rsidRPr="00421BE1" w:rsidRDefault="0058547B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Additional provisions are set out in the Instructions for the application of the technical standard:</w:t>
            </w:r>
          </w:p>
          <w:p w:rsidR="0058547B" w:rsidRPr="00421BE1" w:rsidRDefault="0058547B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ESI-II-3, Prescribed forward speed, stopping capacity and capacity for going astern;</w:t>
            </w:r>
          </w:p>
          <w:p w:rsidR="002F57FE" w:rsidRPr="00421BE1" w:rsidRDefault="0058547B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ES</w:t>
            </w:r>
            <w:r w:rsidR="00577232" w:rsidRPr="00421BE1">
              <w:t>I</w:t>
            </w:r>
            <w:r w:rsidRPr="00421BE1">
              <w:t>-II-4, Capacity for taking evasive action and turning capacity</w:t>
            </w:r>
            <w:r w:rsidRPr="00421BE1" w:rsidDel="0058547B">
              <w:t xml:space="preserve"> 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172DAA" w:rsidP="00C16924">
            <w:pPr>
              <w:suppressAutoHyphens w:val="0"/>
              <w:spacing w:before="40" w:after="120" w:line="220" w:lineRule="exact"/>
              <w:ind w:right="113"/>
            </w:pPr>
            <w:r w:rsidRPr="00421BE1">
              <w:t>Provisions</w:t>
            </w:r>
            <w:r w:rsidR="005A53C1" w:rsidRPr="00421BE1">
              <w:t xml:space="preserve"> of Resolution No. 61 differ significantly from </w:t>
            </w:r>
            <w:r w:rsidR="00DC7193" w:rsidRPr="00421BE1">
              <w:t>ES-TRIN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Appendix 5, Model of a service record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0638C8">
            <w:pPr>
              <w:keepNext/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Appendix 6, Criteria for the approval of Classification Societies</w:t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  <w:tc>
          <w:tcPr>
            <w:tcW w:w="2706" w:type="dxa"/>
            <w:shd w:val="clear" w:color="auto" w:fill="auto"/>
          </w:tcPr>
          <w:p w:rsidR="002F57FE" w:rsidRPr="00421BE1" w:rsidRDefault="00F24A69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Criteria for the recognition of classification societies are set out in Annex VI to Directive (EU) 2016/1629</w:t>
            </w:r>
          </w:p>
        </w:tc>
      </w:tr>
      <w:tr w:rsidR="002F57FE" w:rsidRPr="00421BE1" w:rsidTr="004241B1">
        <w:tc>
          <w:tcPr>
            <w:tcW w:w="3551" w:type="dxa"/>
            <w:tcBorders>
              <w:bottom w:val="nil"/>
            </w:tcBorders>
          </w:tcPr>
          <w:p w:rsidR="002F57FE" w:rsidRPr="00421BE1" w:rsidRDefault="002F57FE" w:rsidP="00F05FF3">
            <w:pPr>
              <w:keepNext/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Appendix 7, Requirements concerning lights and the colour of signal lights on vessels, intensity and range of signal lights on vessels and general technical specifications applicable to radar equipment</w:t>
            </w:r>
          </w:p>
        </w:tc>
        <w:tc>
          <w:tcPr>
            <w:tcW w:w="3382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Annex 5, Navigation and information equipment</w:t>
            </w:r>
          </w:p>
        </w:tc>
        <w:tc>
          <w:tcPr>
            <w:tcW w:w="2706" w:type="dxa"/>
            <w:tcBorders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top w:val="nil"/>
              <w:bottom w:val="nil"/>
            </w:tcBorders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There is no similar appendix in Resolution No. 61</w:t>
            </w:r>
          </w:p>
        </w:tc>
        <w:tc>
          <w:tcPr>
            <w:tcW w:w="3382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bookmarkStart w:id="5" w:name="_Toc436115274"/>
            <w:bookmarkStart w:id="6" w:name="_Toc436115275"/>
            <w:r w:rsidRPr="00421BE1">
              <w:t>Annex 6, Engine parameter protocol</w:t>
            </w:r>
            <w:bookmarkEnd w:id="5"/>
          </w:p>
        </w:tc>
        <w:tc>
          <w:tcPr>
            <w:tcW w:w="2706" w:type="dxa"/>
            <w:tcBorders>
              <w:top w:val="nil"/>
              <w:bottom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</w:p>
        </w:tc>
      </w:tr>
      <w:tr w:rsidR="002F57FE" w:rsidRPr="00421BE1" w:rsidTr="004241B1">
        <w:tc>
          <w:tcPr>
            <w:tcW w:w="3551" w:type="dxa"/>
            <w:tcBorders>
              <w:top w:val="nil"/>
            </w:tcBorders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lastRenderedPageBreak/>
              <w:t>Draft Appendix 8, On-board sewage treatment plants</w:t>
            </w:r>
          </w:p>
        </w:tc>
        <w:tc>
          <w:tcPr>
            <w:tcW w:w="3382" w:type="dxa"/>
            <w:tcBorders>
              <w:top w:val="nil"/>
            </w:tcBorders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Annex 7, On-board sewage treatment plants</w:t>
            </w:r>
            <w:bookmarkEnd w:id="6"/>
          </w:p>
        </w:tc>
        <w:tc>
          <w:tcPr>
            <w:tcW w:w="2706" w:type="dxa"/>
            <w:tcBorders>
              <w:top w:val="nil"/>
            </w:tcBorders>
            <w:shd w:val="clear" w:color="auto" w:fill="auto"/>
          </w:tcPr>
          <w:p w:rsidR="002F57FE" w:rsidRPr="00421BE1" w:rsidRDefault="002F57FE" w:rsidP="00BC2BF9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 xml:space="preserve">Draft proposal </w:t>
            </w:r>
            <w:r w:rsidR="00BC2BF9" w:rsidRPr="00421BE1">
              <w:t>—</w:t>
            </w:r>
            <w:r w:rsidRPr="00421BE1">
              <w:t xml:space="preserve"> see ECE/TRANS/SC.3/2015/8</w:t>
            </w:r>
          </w:p>
        </w:tc>
      </w:tr>
      <w:tr w:rsidR="002F57FE" w:rsidRPr="00421BE1" w:rsidTr="00742B75">
        <w:tc>
          <w:tcPr>
            <w:tcW w:w="3551" w:type="dxa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Draft Appendix 9</w:t>
            </w:r>
            <w:r w:rsidRPr="00421BE1">
              <w:rPr>
                <w:rStyle w:val="FootnoteReference"/>
                <w:sz w:val="20"/>
              </w:rPr>
              <w:footnoteReference w:id="5"/>
            </w:r>
          </w:p>
        </w:tc>
        <w:tc>
          <w:tcPr>
            <w:tcW w:w="3382" w:type="dxa"/>
            <w:shd w:val="clear" w:color="auto" w:fill="auto"/>
          </w:tcPr>
          <w:p w:rsidR="002F57FE" w:rsidRPr="00421BE1" w:rsidRDefault="002F57FE" w:rsidP="00C16924">
            <w:pPr>
              <w:suppressAutoHyphens w:val="0"/>
              <w:spacing w:before="40" w:after="120" w:line="220" w:lineRule="exact"/>
              <w:ind w:right="113"/>
              <w:rPr>
                <w:i/>
              </w:rPr>
            </w:pPr>
            <w:r w:rsidRPr="00421BE1">
              <w:t>Annex 8, Supplementary provisions applicable to craft operating on fuels with a flashpoint equal to or lower than 55 °C</w:t>
            </w:r>
          </w:p>
        </w:tc>
        <w:tc>
          <w:tcPr>
            <w:tcW w:w="2706" w:type="dxa"/>
            <w:shd w:val="clear" w:color="auto" w:fill="auto"/>
          </w:tcPr>
          <w:p w:rsidR="002F57FE" w:rsidRPr="00421BE1" w:rsidRDefault="002F57FE" w:rsidP="00BC2BF9">
            <w:pPr>
              <w:suppressAutoHyphens w:val="0"/>
              <w:spacing w:before="40" w:after="120" w:line="220" w:lineRule="exact"/>
              <w:ind w:right="3"/>
              <w:rPr>
                <w:i/>
              </w:rPr>
            </w:pPr>
            <w:r w:rsidRPr="00421BE1">
              <w:t xml:space="preserve">Draft proposal </w:t>
            </w:r>
            <w:r w:rsidR="00BC2BF9" w:rsidRPr="00421BE1">
              <w:t>—</w:t>
            </w:r>
            <w:r w:rsidRPr="00421BE1">
              <w:t xml:space="preserve"> see </w:t>
            </w:r>
            <w:r w:rsidRPr="00421BE1">
              <w:rPr>
                <w:bCs/>
                <w:bdr w:val="none" w:sz="0" w:space="0" w:color="auto" w:frame="1"/>
                <w:shd w:val="clear" w:color="auto" w:fill="FFFFFF"/>
              </w:rPr>
              <w:t>ECE/TRANS/SC.3/WP.3/2017/8</w:t>
            </w:r>
          </w:p>
        </w:tc>
      </w:tr>
    </w:tbl>
    <w:p w:rsidR="00844843" w:rsidRPr="00421BE1" w:rsidRDefault="002F6070" w:rsidP="002F6070">
      <w:pPr>
        <w:pStyle w:val="HChG"/>
      </w:pPr>
      <w:r w:rsidRPr="00421BE1">
        <w:tab/>
      </w:r>
      <w:r w:rsidR="00844843" w:rsidRPr="00421BE1">
        <w:t>III</w:t>
      </w:r>
      <w:r w:rsidRPr="00421BE1">
        <w:t>.</w:t>
      </w:r>
      <w:r w:rsidR="00844843" w:rsidRPr="00421BE1">
        <w:tab/>
      </w:r>
      <w:r w:rsidR="002F57FE" w:rsidRPr="00421BE1">
        <w:t>Further steps</w:t>
      </w:r>
    </w:p>
    <w:p w:rsidR="00844843" w:rsidRPr="00421BE1" w:rsidRDefault="0025791A" w:rsidP="00C87476">
      <w:pPr>
        <w:pStyle w:val="SingleTxtG"/>
      </w:pPr>
      <w:r w:rsidRPr="00421BE1">
        <w:t>8</w:t>
      </w:r>
      <w:r w:rsidR="00844843" w:rsidRPr="00421BE1">
        <w:t>.</w:t>
      </w:r>
      <w:r w:rsidR="00844843" w:rsidRPr="00421BE1">
        <w:tab/>
        <w:t>SC.3/WP.3 may wish</w:t>
      </w:r>
      <w:r w:rsidR="00666199" w:rsidRPr="00421BE1">
        <w:t xml:space="preserve"> to continue </w:t>
      </w:r>
      <w:r w:rsidR="002F57FE" w:rsidRPr="00421BE1">
        <w:t>revision of</w:t>
      </w:r>
      <w:r w:rsidR="00666199" w:rsidRPr="00421BE1">
        <w:t xml:space="preserve"> </w:t>
      </w:r>
      <w:r w:rsidR="002F57FE" w:rsidRPr="00421BE1">
        <w:t>the Annex to R</w:t>
      </w:r>
      <w:r w:rsidR="00666199" w:rsidRPr="00421BE1">
        <w:t>esolution No. 61</w:t>
      </w:r>
      <w:r w:rsidR="002F57FE" w:rsidRPr="00421BE1">
        <w:t xml:space="preserve"> </w:t>
      </w:r>
      <w:r w:rsidR="00A1504C" w:rsidRPr="00421BE1">
        <w:t>and/</w:t>
      </w:r>
      <w:r w:rsidR="00EE6F30" w:rsidRPr="00421BE1">
        <w:t xml:space="preserve">or elaborating new chapters and annexes </w:t>
      </w:r>
      <w:r w:rsidR="00325416" w:rsidRPr="00421BE1">
        <w:t>with due regard</w:t>
      </w:r>
      <w:r w:rsidR="002F57FE" w:rsidRPr="00421BE1">
        <w:t xml:space="preserve"> of the proposals set out in Table 2.</w:t>
      </w:r>
    </w:p>
    <w:p w:rsidR="002F57FE" w:rsidRPr="00421BE1" w:rsidRDefault="002F57FE" w:rsidP="00C87476">
      <w:pPr>
        <w:pStyle w:val="SingleTxtG"/>
      </w:pPr>
      <w:r w:rsidRPr="00421BE1">
        <w:t>Table 2</w:t>
      </w:r>
    </w:p>
    <w:tbl>
      <w:tblPr>
        <w:tblStyle w:val="TableGrid"/>
        <w:tblW w:w="850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6127"/>
      </w:tblGrid>
      <w:tr w:rsidR="00163AD4" w:rsidRPr="00421BE1" w:rsidTr="00F8451B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57FE" w:rsidRPr="00421BE1" w:rsidRDefault="002F57FE" w:rsidP="00163A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21BE1">
              <w:rPr>
                <w:i/>
                <w:sz w:val="16"/>
              </w:rPr>
              <w:t>Annex to Resolution No. 61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57FE" w:rsidRPr="00421BE1" w:rsidRDefault="002F57FE" w:rsidP="00163AD4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  <w:r w:rsidRPr="00421BE1">
              <w:rPr>
                <w:i/>
                <w:sz w:val="16"/>
              </w:rPr>
              <w:t>ES-TRIN standard</w:t>
            </w:r>
          </w:p>
        </w:tc>
      </w:tr>
      <w:tr w:rsidR="00E85748" w:rsidRPr="00421BE1" w:rsidTr="00F8451B">
        <w:tc>
          <w:tcPr>
            <w:tcW w:w="26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3, section 3-4</w:t>
            </w:r>
          </w:p>
        </w:tc>
        <w:tc>
          <w:tcPr>
            <w:tcW w:w="694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 3.03</w:t>
            </w:r>
          </w:p>
        </w:tc>
      </w:tr>
      <w:tr w:rsidR="00E85748" w:rsidRPr="00421BE1" w:rsidTr="00F8451B">
        <w:tc>
          <w:tcPr>
            <w:tcW w:w="2694" w:type="dxa"/>
            <w:tcBorders>
              <w:top w:val="nil"/>
            </w:tcBorders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4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 4.06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7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 xml:space="preserve">Article 7.02, Articles 7.04.4 and 7.04.9, Article 7.06.3 (Provisions for Inland AIS equipment); Articles 19.01.5, 19.01.6 and </w:t>
            </w:r>
            <w:r w:rsidRPr="00421BE1">
              <w:rPr>
                <w:noProof/>
              </w:rPr>
              <w:t>29.06.2 could be also relevant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8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Articles 8.06, 8.07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9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9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10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Articles 13.01.2, 13.01.11 to 13.01.14, 13.02.3(b), 13.04, 13.05, 13.06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325416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10, section 10-4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 14.12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12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 15.05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13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16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15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Articles 19.01.5 and 6, Articles 19.10.6 to 11, Article 19.14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22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27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22B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EE6F30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Article 29.06.1 (b, bb), Article 29.06.3, Article 29.07, Article 29.08.2, Article 29.10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 new chapter on special provisions applicable to vessels sailing with minimum crew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Chapter 31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8D75EF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 new A</w:t>
            </w:r>
            <w:r w:rsidR="008D75EF" w:rsidRPr="00421BE1">
              <w:t xml:space="preserve">ppendix </w:t>
            </w:r>
            <w:r w:rsidRPr="00421BE1">
              <w:t>on Navigation and information equipment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Annex 5</w:t>
            </w:r>
          </w:p>
        </w:tc>
      </w:tr>
      <w:tr w:rsidR="00E85748" w:rsidRPr="00421BE1" w:rsidTr="00F8451B">
        <w:tc>
          <w:tcPr>
            <w:tcW w:w="2694" w:type="dxa"/>
            <w:shd w:val="clear" w:color="auto" w:fill="auto"/>
          </w:tcPr>
          <w:p w:rsidR="00E85748" w:rsidRPr="00421BE1" w:rsidRDefault="00E85748" w:rsidP="008D75EF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 xml:space="preserve">A new </w:t>
            </w:r>
            <w:r w:rsidR="008D75EF" w:rsidRPr="00421BE1">
              <w:t xml:space="preserve">Appendix </w:t>
            </w:r>
            <w:r w:rsidRPr="00421BE1">
              <w:t>on Engine parameter protocol</w:t>
            </w:r>
          </w:p>
        </w:tc>
        <w:tc>
          <w:tcPr>
            <w:tcW w:w="6945" w:type="dxa"/>
            <w:shd w:val="clear" w:color="auto" w:fill="auto"/>
          </w:tcPr>
          <w:p w:rsidR="00E85748" w:rsidRPr="00421BE1" w:rsidRDefault="00E85748" w:rsidP="00163AD4">
            <w:pPr>
              <w:pStyle w:val="SingleTxtG"/>
              <w:suppressAutoHyphens w:val="0"/>
              <w:spacing w:before="40" w:line="220" w:lineRule="exact"/>
              <w:ind w:left="0" w:right="113"/>
              <w:jc w:val="left"/>
            </w:pPr>
            <w:r w:rsidRPr="00421BE1">
              <w:t>Annex 6</w:t>
            </w:r>
          </w:p>
        </w:tc>
      </w:tr>
    </w:tbl>
    <w:p w:rsidR="00325416" w:rsidRPr="00421BE1" w:rsidRDefault="0025791A" w:rsidP="00694EDF">
      <w:pPr>
        <w:pStyle w:val="SingleTxtG"/>
        <w:spacing w:before="120"/>
      </w:pPr>
      <w:r w:rsidRPr="00421BE1">
        <w:lastRenderedPageBreak/>
        <w:t>9</w:t>
      </w:r>
      <w:r w:rsidR="00325416" w:rsidRPr="00421BE1">
        <w:t>.</w:t>
      </w:r>
      <w:r w:rsidR="00325416" w:rsidRPr="00421BE1">
        <w:tab/>
        <w:t xml:space="preserve">SC.3/WP.3 may also wish to continue work </w:t>
      </w:r>
      <w:r w:rsidR="001E786D" w:rsidRPr="00421BE1">
        <w:t>the draft proposal for Chapter 24, Tr</w:t>
      </w:r>
      <w:r w:rsidR="00325416" w:rsidRPr="00421BE1">
        <w:t xml:space="preserve">ansitional and final provisions as set out in ECE/TRANS/SC.3/2015/9 with due regard of Chapters 32 and 33 of </w:t>
      </w:r>
      <w:r w:rsidR="00DC7193" w:rsidRPr="00421BE1">
        <w:t>ES-TRIN</w:t>
      </w:r>
      <w:r w:rsidR="00325416" w:rsidRPr="00421BE1">
        <w:t>.</w:t>
      </w:r>
    </w:p>
    <w:p w:rsidR="0006484A" w:rsidRPr="00421BE1" w:rsidRDefault="0025791A" w:rsidP="00C87476">
      <w:pPr>
        <w:pStyle w:val="SingleTxtG"/>
      </w:pPr>
      <w:r w:rsidRPr="00421BE1">
        <w:t>10</w:t>
      </w:r>
      <w:r w:rsidR="00325416" w:rsidRPr="00421BE1">
        <w:t>.</w:t>
      </w:r>
      <w:r w:rsidR="00325416" w:rsidRPr="00421BE1">
        <w:tab/>
        <w:t>SC.3/WP.3 may wish to provide guidance</w:t>
      </w:r>
      <w:r w:rsidR="0006484A" w:rsidRPr="00421BE1">
        <w:t xml:space="preserve"> to the secretariat and the Group of Volunteers on Resolution No. 61</w:t>
      </w:r>
      <w:r w:rsidR="00325416" w:rsidRPr="00421BE1">
        <w:t xml:space="preserve"> on further work and give recommendations to </w:t>
      </w:r>
      <w:r w:rsidR="00FE78B6" w:rsidRPr="00421BE1">
        <w:t>SC.3</w:t>
      </w:r>
      <w:r w:rsidR="0006484A" w:rsidRPr="00421BE1">
        <w:t>.</w:t>
      </w:r>
    </w:p>
    <w:p w:rsidR="00C87476" w:rsidRPr="00421BE1" w:rsidRDefault="00C87476" w:rsidP="00C87476">
      <w:pPr>
        <w:pStyle w:val="SingleTxtG"/>
        <w:spacing w:before="240" w:after="0"/>
        <w:jc w:val="center"/>
        <w:rPr>
          <w:u w:val="single"/>
        </w:rPr>
      </w:pPr>
      <w:r w:rsidRPr="00421BE1">
        <w:rPr>
          <w:u w:val="single"/>
        </w:rPr>
        <w:tab/>
      </w:r>
      <w:r w:rsidRPr="00421BE1">
        <w:rPr>
          <w:u w:val="single"/>
        </w:rPr>
        <w:tab/>
      </w:r>
      <w:r w:rsidRPr="00421BE1">
        <w:rPr>
          <w:u w:val="single"/>
        </w:rPr>
        <w:tab/>
      </w:r>
    </w:p>
    <w:sectPr w:rsidR="00C87476" w:rsidRPr="00421BE1" w:rsidSect="00743D06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FD" w:rsidRDefault="009B6AFD"/>
  </w:endnote>
  <w:endnote w:type="continuationSeparator" w:id="0">
    <w:p w:rsidR="009B6AFD" w:rsidRDefault="009B6AFD"/>
  </w:endnote>
  <w:endnote w:type="continuationNotice" w:id="1">
    <w:p w:rsidR="009B6AFD" w:rsidRDefault="009B6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FD" w:rsidRPr="00743D06" w:rsidRDefault="009B6AFD" w:rsidP="00743D06">
    <w:pPr>
      <w:pStyle w:val="Footer"/>
      <w:tabs>
        <w:tab w:val="right" w:pos="9638"/>
      </w:tabs>
      <w:rPr>
        <w:sz w:val="18"/>
      </w:rPr>
    </w:pPr>
    <w:r w:rsidRPr="00743D06">
      <w:rPr>
        <w:b/>
        <w:sz w:val="18"/>
      </w:rPr>
      <w:fldChar w:fldCharType="begin"/>
    </w:r>
    <w:r w:rsidRPr="00743D06">
      <w:rPr>
        <w:b/>
        <w:sz w:val="18"/>
      </w:rPr>
      <w:instrText xml:space="preserve"> PAGE  \* MERGEFORMAT </w:instrText>
    </w:r>
    <w:r w:rsidRPr="00743D06">
      <w:rPr>
        <w:b/>
        <w:sz w:val="18"/>
      </w:rPr>
      <w:fldChar w:fldCharType="separate"/>
    </w:r>
    <w:r w:rsidR="0090722D">
      <w:rPr>
        <w:b/>
        <w:noProof/>
        <w:sz w:val="18"/>
      </w:rPr>
      <w:t>8</w:t>
    </w:r>
    <w:r w:rsidRPr="00743D0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FD" w:rsidRPr="00743D06" w:rsidRDefault="009B6AFD" w:rsidP="00743D06">
    <w:pPr>
      <w:pStyle w:val="Footer"/>
      <w:tabs>
        <w:tab w:val="right" w:pos="9638"/>
      </w:tabs>
      <w:rPr>
        <w:b/>
        <w:sz w:val="18"/>
      </w:rPr>
    </w:pPr>
    <w:r>
      <w:tab/>
    </w:r>
    <w:r w:rsidRPr="00743D06">
      <w:rPr>
        <w:b/>
        <w:sz w:val="18"/>
      </w:rPr>
      <w:fldChar w:fldCharType="begin"/>
    </w:r>
    <w:r w:rsidRPr="00743D06">
      <w:rPr>
        <w:b/>
        <w:sz w:val="18"/>
      </w:rPr>
      <w:instrText xml:space="preserve"> PAGE  \* MERGEFORMAT </w:instrText>
    </w:r>
    <w:r w:rsidRPr="00743D06">
      <w:rPr>
        <w:b/>
        <w:sz w:val="18"/>
      </w:rPr>
      <w:fldChar w:fldCharType="separate"/>
    </w:r>
    <w:r w:rsidR="0090722D">
      <w:rPr>
        <w:b/>
        <w:noProof/>
        <w:sz w:val="18"/>
      </w:rPr>
      <w:t>9</w:t>
    </w:r>
    <w:r w:rsidRPr="00743D0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FD" w:rsidRPr="000B175B" w:rsidRDefault="009B6AF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6AFD" w:rsidRPr="00FC68B7" w:rsidRDefault="009B6AF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B6AFD" w:rsidRDefault="009B6AFD"/>
  </w:footnote>
  <w:footnote w:id="2">
    <w:p w:rsidR="00602433" w:rsidRDefault="00602433" w:rsidP="0060243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02433">
        <w:t>http://eur-lex.europa.eu/legal-content/EN/TXT/?uri=CELEX%3A32016L1629</w:t>
      </w:r>
      <w:r>
        <w:t>.</w:t>
      </w:r>
    </w:p>
  </w:footnote>
  <w:footnote w:id="3">
    <w:p w:rsidR="00602433" w:rsidRDefault="00602433" w:rsidP="0060243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02433">
        <w:t>www.cesni.eu/documents/es-trin/</w:t>
      </w:r>
    </w:p>
  </w:footnote>
  <w:footnote w:id="4">
    <w:p w:rsidR="00C16924" w:rsidRDefault="00C16924" w:rsidP="00C16924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Some of these provisions are included in Chapter 19 of the</w:t>
      </w:r>
      <w:r>
        <w:rPr>
          <w:lang w:val="ru-RU"/>
        </w:rPr>
        <w:t xml:space="preserve"> </w:t>
      </w:r>
      <w:r>
        <w:t>ES-TRIN standard.</w:t>
      </w:r>
    </w:p>
  </w:footnote>
  <w:footnote w:id="5">
    <w:p w:rsidR="002F57FE" w:rsidRPr="00437393" w:rsidRDefault="002F57FE" w:rsidP="002F57FE">
      <w:pPr>
        <w:pStyle w:val="FootnoteText"/>
        <w:rPr>
          <w:i/>
          <w:lang w:val="en-US"/>
        </w:rPr>
      </w:pPr>
      <w:r>
        <w:tab/>
      </w:r>
      <w:r w:rsidRPr="00437393">
        <w:rPr>
          <w:rStyle w:val="FootnoteReference"/>
        </w:rPr>
        <w:footnoteRef/>
      </w:r>
      <w:r>
        <w:tab/>
      </w:r>
      <w:proofErr w:type="gramStart"/>
      <w:r>
        <w:rPr>
          <w:lang w:val="en-US"/>
        </w:rPr>
        <w:t xml:space="preserve">Proposed in </w:t>
      </w:r>
      <w:r w:rsidRPr="00AF3C36">
        <w:t>ECE/TRANS/SC.3/2015/8</w:t>
      </w:r>
      <w:r>
        <w:t xml:space="preserve"> </w:t>
      </w:r>
      <w:r>
        <w:rPr>
          <w:lang w:val="en-US"/>
        </w:rPr>
        <w:t>as a</w:t>
      </w:r>
      <w:r w:rsidRPr="00437393">
        <w:rPr>
          <w:lang w:val="en-US"/>
        </w:rPr>
        <w:t xml:space="preserve"> draft Appendix 8</w:t>
      </w:r>
      <w:r w:rsidR="00694EDF">
        <w:rPr>
          <w:lang w:val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FD" w:rsidRPr="00743D06" w:rsidRDefault="009B6AFD">
    <w:pPr>
      <w:pStyle w:val="Header"/>
    </w:pPr>
    <w:r>
      <w:t>ECE/TRANS/SC.3/WP.3/2017/7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FD" w:rsidRPr="00743D06" w:rsidRDefault="009B6AFD" w:rsidP="00743D06">
    <w:pPr>
      <w:pStyle w:val="Header"/>
      <w:jc w:val="right"/>
    </w:pPr>
    <w:r>
      <w:t>ECE/TRANS/SC.3/WP.3/2017/7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A0"/>
    <w:rsid w:val="00002A7D"/>
    <w:rsid w:val="000038A8"/>
    <w:rsid w:val="00006790"/>
    <w:rsid w:val="00007B0B"/>
    <w:rsid w:val="00027624"/>
    <w:rsid w:val="00050F6B"/>
    <w:rsid w:val="0005230C"/>
    <w:rsid w:val="000638C8"/>
    <w:rsid w:val="0006484A"/>
    <w:rsid w:val="000678CD"/>
    <w:rsid w:val="00071CD9"/>
    <w:rsid w:val="00072C8C"/>
    <w:rsid w:val="00081CE0"/>
    <w:rsid w:val="00084D30"/>
    <w:rsid w:val="00090320"/>
    <w:rsid w:val="000931C0"/>
    <w:rsid w:val="000A2E09"/>
    <w:rsid w:val="000B175B"/>
    <w:rsid w:val="000B3583"/>
    <w:rsid w:val="000B3A0F"/>
    <w:rsid w:val="000B7133"/>
    <w:rsid w:val="000C6559"/>
    <w:rsid w:val="000D5916"/>
    <w:rsid w:val="000E0415"/>
    <w:rsid w:val="000E5E3B"/>
    <w:rsid w:val="000E5FD0"/>
    <w:rsid w:val="000F7715"/>
    <w:rsid w:val="00115299"/>
    <w:rsid w:val="00123A8D"/>
    <w:rsid w:val="001275CA"/>
    <w:rsid w:val="00137689"/>
    <w:rsid w:val="00156B99"/>
    <w:rsid w:val="00160A32"/>
    <w:rsid w:val="00163AD4"/>
    <w:rsid w:val="00166124"/>
    <w:rsid w:val="00172DAA"/>
    <w:rsid w:val="00184DDA"/>
    <w:rsid w:val="00186474"/>
    <w:rsid w:val="001900CD"/>
    <w:rsid w:val="001A0452"/>
    <w:rsid w:val="001B4B04"/>
    <w:rsid w:val="001B5875"/>
    <w:rsid w:val="001C4B9C"/>
    <w:rsid w:val="001C6663"/>
    <w:rsid w:val="001C7895"/>
    <w:rsid w:val="001D26DF"/>
    <w:rsid w:val="001E6260"/>
    <w:rsid w:val="001E786D"/>
    <w:rsid w:val="001F118F"/>
    <w:rsid w:val="001F1599"/>
    <w:rsid w:val="001F19C4"/>
    <w:rsid w:val="002043F0"/>
    <w:rsid w:val="00207095"/>
    <w:rsid w:val="00211E0B"/>
    <w:rsid w:val="00232575"/>
    <w:rsid w:val="00247258"/>
    <w:rsid w:val="0025791A"/>
    <w:rsid w:val="00257CAC"/>
    <w:rsid w:val="00266A15"/>
    <w:rsid w:val="0027237A"/>
    <w:rsid w:val="00285151"/>
    <w:rsid w:val="002873F1"/>
    <w:rsid w:val="002974E9"/>
    <w:rsid w:val="002A7F94"/>
    <w:rsid w:val="002B109A"/>
    <w:rsid w:val="002C3F19"/>
    <w:rsid w:val="002C6D45"/>
    <w:rsid w:val="002D00AB"/>
    <w:rsid w:val="002D31C2"/>
    <w:rsid w:val="002D3CF4"/>
    <w:rsid w:val="002D6E53"/>
    <w:rsid w:val="002F046D"/>
    <w:rsid w:val="002F574D"/>
    <w:rsid w:val="002F57FE"/>
    <w:rsid w:val="002F6070"/>
    <w:rsid w:val="002F6E94"/>
    <w:rsid w:val="00301764"/>
    <w:rsid w:val="003229D8"/>
    <w:rsid w:val="00325416"/>
    <w:rsid w:val="00336C97"/>
    <w:rsid w:val="00337F88"/>
    <w:rsid w:val="00342432"/>
    <w:rsid w:val="0035223F"/>
    <w:rsid w:val="00352D4B"/>
    <w:rsid w:val="00353CD0"/>
    <w:rsid w:val="0035638C"/>
    <w:rsid w:val="0036113D"/>
    <w:rsid w:val="00363349"/>
    <w:rsid w:val="003672C4"/>
    <w:rsid w:val="00384CEE"/>
    <w:rsid w:val="003A46BB"/>
    <w:rsid w:val="003A4EC7"/>
    <w:rsid w:val="003A6632"/>
    <w:rsid w:val="003A7295"/>
    <w:rsid w:val="003B1F60"/>
    <w:rsid w:val="003C2CC4"/>
    <w:rsid w:val="003D4B23"/>
    <w:rsid w:val="003E278A"/>
    <w:rsid w:val="003F5359"/>
    <w:rsid w:val="004068CD"/>
    <w:rsid w:val="00413520"/>
    <w:rsid w:val="00420C8B"/>
    <w:rsid w:val="00421BE1"/>
    <w:rsid w:val="004241B1"/>
    <w:rsid w:val="004325CB"/>
    <w:rsid w:val="00440A07"/>
    <w:rsid w:val="00445149"/>
    <w:rsid w:val="00447B8C"/>
    <w:rsid w:val="00462880"/>
    <w:rsid w:val="00476F24"/>
    <w:rsid w:val="004818CF"/>
    <w:rsid w:val="004C2609"/>
    <w:rsid w:val="004C55B0"/>
    <w:rsid w:val="004F6BA0"/>
    <w:rsid w:val="00503BEA"/>
    <w:rsid w:val="00511975"/>
    <w:rsid w:val="00533616"/>
    <w:rsid w:val="00535ABA"/>
    <w:rsid w:val="0053768B"/>
    <w:rsid w:val="005420F2"/>
    <w:rsid w:val="0054285C"/>
    <w:rsid w:val="00577232"/>
    <w:rsid w:val="00584173"/>
    <w:rsid w:val="0058547B"/>
    <w:rsid w:val="00595520"/>
    <w:rsid w:val="00597206"/>
    <w:rsid w:val="005A44B9"/>
    <w:rsid w:val="005A53C1"/>
    <w:rsid w:val="005B1BA0"/>
    <w:rsid w:val="005B3DB3"/>
    <w:rsid w:val="005B5A1B"/>
    <w:rsid w:val="005D15CA"/>
    <w:rsid w:val="005F0371"/>
    <w:rsid w:val="005F3066"/>
    <w:rsid w:val="005F3E61"/>
    <w:rsid w:val="00602433"/>
    <w:rsid w:val="00604DDD"/>
    <w:rsid w:val="006115CC"/>
    <w:rsid w:val="00611FC4"/>
    <w:rsid w:val="006176FB"/>
    <w:rsid w:val="00630FCB"/>
    <w:rsid w:val="00636D43"/>
    <w:rsid w:val="00640B26"/>
    <w:rsid w:val="006506F3"/>
    <w:rsid w:val="00666199"/>
    <w:rsid w:val="006770B2"/>
    <w:rsid w:val="00692C3D"/>
    <w:rsid w:val="00693B61"/>
    <w:rsid w:val="006940E1"/>
    <w:rsid w:val="00694EDF"/>
    <w:rsid w:val="006A3C72"/>
    <w:rsid w:val="006A7392"/>
    <w:rsid w:val="006B03A1"/>
    <w:rsid w:val="006B450B"/>
    <w:rsid w:val="006B67D9"/>
    <w:rsid w:val="006C5535"/>
    <w:rsid w:val="006D0589"/>
    <w:rsid w:val="006E564B"/>
    <w:rsid w:val="006E7154"/>
    <w:rsid w:val="006F6616"/>
    <w:rsid w:val="007003CD"/>
    <w:rsid w:val="0070701E"/>
    <w:rsid w:val="00711C58"/>
    <w:rsid w:val="0072632A"/>
    <w:rsid w:val="007358E8"/>
    <w:rsid w:val="00736ECE"/>
    <w:rsid w:val="00742B75"/>
    <w:rsid w:val="00743D06"/>
    <w:rsid w:val="0074533B"/>
    <w:rsid w:val="00760931"/>
    <w:rsid w:val="007643BC"/>
    <w:rsid w:val="007959FE"/>
    <w:rsid w:val="007A0CF1"/>
    <w:rsid w:val="007B6BA5"/>
    <w:rsid w:val="007C3390"/>
    <w:rsid w:val="007C42D8"/>
    <w:rsid w:val="007C4F4B"/>
    <w:rsid w:val="007D7362"/>
    <w:rsid w:val="007F1A2A"/>
    <w:rsid w:val="007F389A"/>
    <w:rsid w:val="007F5CE2"/>
    <w:rsid w:val="007F6611"/>
    <w:rsid w:val="00810BAC"/>
    <w:rsid w:val="008175E9"/>
    <w:rsid w:val="008242D7"/>
    <w:rsid w:val="0082577B"/>
    <w:rsid w:val="00834375"/>
    <w:rsid w:val="00844843"/>
    <w:rsid w:val="00866893"/>
    <w:rsid w:val="00866F02"/>
    <w:rsid w:val="00867D18"/>
    <w:rsid w:val="00871F9A"/>
    <w:rsid w:val="00871FD5"/>
    <w:rsid w:val="0088172E"/>
    <w:rsid w:val="00881CDA"/>
    <w:rsid w:val="00881EFA"/>
    <w:rsid w:val="008879CB"/>
    <w:rsid w:val="0089038E"/>
    <w:rsid w:val="00895E26"/>
    <w:rsid w:val="008979B1"/>
    <w:rsid w:val="008A6B25"/>
    <w:rsid w:val="008A6C4F"/>
    <w:rsid w:val="008B389E"/>
    <w:rsid w:val="008B43F2"/>
    <w:rsid w:val="008C66C6"/>
    <w:rsid w:val="008D045E"/>
    <w:rsid w:val="008D3F25"/>
    <w:rsid w:val="008D4D82"/>
    <w:rsid w:val="008D6CAD"/>
    <w:rsid w:val="008D75EF"/>
    <w:rsid w:val="008E07DE"/>
    <w:rsid w:val="008E0E46"/>
    <w:rsid w:val="008E7116"/>
    <w:rsid w:val="008F143B"/>
    <w:rsid w:val="008F3882"/>
    <w:rsid w:val="008F4B7C"/>
    <w:rsid w:val="008F6E63"/>
    <w:rsid w:val="0090213B"/>
    <w:rsid w:val="0090722D"/>
    <w:rsid w:val="00912FD7"/>
    <w:rsid w:val="00926C79"/>
    <w:rsid w:val="00926E47"/>
    <w:rsid w:val="00936388"/>
    <w:rsid w:val="00943AB4"/>
    <w:rsid w:val="00947162"/>
    <w:rsid w:val="009610D0"/>
    <w:rsid w:val="0096375C"/>
    <w:rsid w:val="009662E6"/>
    <w:rsid w:val="0097095E"/>
    <w:rsid w:val="00971A79"/>
    <w:rsid w:val="0098592B"/>
    <w:rsid w:val="00985FC4"/>
    <w:rsid w:val="00990766"/>
    <w:rsid w:val="00991261"/>
    <w:rsid w:val="009964C4"/>
    <w:rsid w:val="009A7B81"/>
    <w:rsid w:val="009B282E"/>
    <w:rsid w:val="009B4366"/>
    <w:rsid w:val="009B6AFD"/>
    <w:rsid w:val="009D01C0"/>
    <w:rsid w:val="009D6A08"/>
    <w:rsid w:val="009E0A16"/>
    <w:rsid w:val="009E6CB7"/>
    <w:rsid w:val="009E7970"/>
    <w:rsid w:val="009F2B86"/>
    <w:rsid w:val="009F2EAC"/>
    <w:rsid w:val="009F57E3"/>
    <w:rsid w:val="00A0740D"/>
    <w:rsid w:val="00A10F4F"/>
    <w:rsid w:val="00A11067"/>
    <w:rsid w:val="00A1504C"/>
    <w:rsid w:val="00A1704A"/>
    <w:rsid w:val="00A425EB"/>
    <w:rsid w:val="00A472D4"/>
    <w:rsid w:val="00A72F22"/>
    <w:rsid w:val="00A733BC"/>
    <w:rsid w:val="00A748A6"/>
    <w:rsid w:val="00A76A69"/>
    <w:rsid w:val="00A879A4"/>
    <w:rsid w:val="00A96237"/>
    <w:rsid w:val="00AA0FF8"/>
    <w:rsid w:val="00AB49A1"/>
    <w:rsid w:val="00AC0D7C"/>
    <w:rsid w:val="00AC0F2C"/>
    <w:rsid w:val="00AC502A"/>
    <w:rsid w:val="00AF3C36"/>
    <w:rsid w:val="00AF58C1"/>
    <w:rsid w:val="00B00CBC"/>
    <w:rsid w:val="00B04A3F"/>
    <w:rsid w:val="00B06643"/>
    <w:rsid w:val="00B15055"/>
    <w:rsid w:val="00B30179"/>
    <w:rsid w:val="00B37B15"/>
    <w:rsid w:val="00B45C02"/>
    <w:rsid w:val="00B512B5"/>
    <w:rsid w:val="00B530CD"/>
    <w:rsid w:val="00B5516F"/>
    <w:rsid w:val="00B55936"/>
    <w:rsid w:val="00B628A7"/>
    <w:rsid w:val="00B72A1E"/>
    <w:rsid w:val="00B77495"/>
    <w:rsid w:val="00B81E12"/>
    <w:rsid w:val="00B95136"/>
    <w:rsid w:val="00BA339B"/>
    <w:rsid w:val="00BC1E7E"/>
    <w:rsid w:val="00BC2BF9"/>
    <w:rsid w:val="00BC5068"/>
    <w:rsid w:val="00BC74E9"/>
    <w:rsid w:val="00BC7F91"/>
    <w:rsid w:val="00BE36A9"/>
    <w:rsid w:val="00BE618E"/>
    <w:rsid w:val="00BE7BEC"/>
    <w:rsid w:val="00BF0A5A"/>
    <w:rsid w:val="00BF0E63"/>
    <w:rsid w:val="00BF12A3"/>
    <w:rsid w:val="00BF16D7"/>
    <w:rsid w:val="00BF2373"/>
    <w:rsid w:val="00C006FC"/>
    <w:rsid w:val="00C0186B"/>
    <w:rsid w:val="00C044E2"/>
    <w:rsid w:val="00C048CB"/>
    <w:rsid w:val="00C066F3"/>
    <w:rsid w:val="00C12B48"/>
    <w:rsid w:val="00C14DC8"/>
    <w:rsid w:val="00C16924"/>
    <w:rsid w:val="00C16A55"/>
    <w:rsid w:val="00C463DD"/>
    <w:rsid w:val="00C52830"/>
    <w:rsid w:val="00C6439E"/>
    <w:rsid w:val="00C745C3"/>
    <w:rsid w:val="00C87476"/>
    <w:rsid w:val="00C9735E"/>
    <w:rsid w:val="00CA24A4"/>
    <w:rsid w:val="00CB348D"/>
    <w:rsid w:val="00CC6664"/>
    <w:rsid w:val="00CD3FA2"/>
    <w:rsid w:val="00CD46F5"/>
    <w:rsid w:val="00CE4A8F"/>
    <w:rsid w:val="00CF071D"/>
    <w:rsid w:val="00CF372B"/>
    <w:rsid w:val="00D15B04"/>
    <w:rsid w:val="00D2031B"/>
    <w:rsid w:val="00D20EB3"/>
    <w:rsid w:val="00D25FE2"/>
    <w:rsid w:val="00D36879"/>
    <w:rsid w:val="00D37DA9"/>
    <w:rsid w:val="00D406A7"/>
    <w:rsid w:val="00D43252"/>
    <w:rsid w:val="00D44D86"/>
    <w:rsid w:val="00D50B7D"/>
    <w:rsid w:val="00D50CD1"/>
    <w:rsid w:val="00D52012"/>
    <w:rsid w:val="00D568BF"/>
    <w:rsid w:val="00D57FC9"/>
    <w:rsid w:val="00D704E5"/>
    <w:rsid w:val="00D72727"/>
    <w:rsid w:val="00D76DE0"/>
    <w:rsid w:val="00D9178F"/>
    <w:rsid w:val="00D978C6"/>
    <w:rsid w:val="00DA0956"/>
    <w:rsid w:val="00DA357F"/>
    <w:rsid w:val="00DA3E12"/>
    <w:rsid w:val="00DA47C2"/>
    <w:rsid w:val="00DC18AD"/>
    <w:rsid w:val="00DC7193"/>
    <w:rsid w:val="00DF7CAE"/>
    <w:rsid w:val="00E008A0"/>
    <w:rsid w:val="00E36E76"/>
    <w:rsid w:val="00E423C0"/>
    <w:rsid w:val="00E47CBA"/>
    <w:rsid w:val="00E56031"/>
    <w:rsid w:val="00E6414C"/>
    <w:rsid w:val="00E7260F"/>
    <w:rsid w:val="00E727E7"/>
    <w:rsid w:val="00E72CEB"/>
    <w:rsid w:val="00E75833"/>
    <w:rsid w:val="00E770CB"/>
    <w:rsid w:val="00E77A2C"/>
    <w:rsid w:val="00E85748"/>
    <w:rsid w:val="00E8702D"/>
    <w:rsid w:val="00E916A9"/>
    <w:rsid w:val="00E916DE"/>
    <w:rsid w:val="00E925AD"/>
    <w:rsid w:val="00E96630"/>
    <w:rsid w:val="00EA05BC"/>
    <w:rsid w:val="00EA0AA7"/>
    <w:rsid w:val="00EA12E1"/>
    <w:rsid w:val="00ED18DC"/>
    <w:rsid w:val="00ED6201"/>
    <w:rsid w:val="00ED7A2A"/>
    <w:rsid w:val="00EE6F30"/>
    <w:rsid w:val="00EF1D7F"/>
    <w:rsid w:val="00F0137E"/>
    <w:rsid w:val="00F04D6B"/>
    <w:rsid w:val="00F05FF3"/>
    <w:rsid w:val="00F20137"/>
    <w:rsid w:val="00F21786"/>
    <w:rsid w:val="00F24A69"/>
    <w:rsid w:val="00F24EC1"/>
    <w:rsid w:val="00F3742B"/>
    <w:rsid w:val="00F41FDB"/>
    <w:rsid w:val="00F507EC"/>
    <w:rsid w:val="00F56D63"/>
    <w:rsid w:val="00F609A9"/>
    <w:rsid w:val="00F80C99"/>
    <w:rsid w:val="00F8451B"/>
    <w:rsid w:val="00F867EC"/>
    <w:rsid w:val="00F91B2B"/>
    <w:rsid w:val="00F963BF"/>
    <w:rsid w:val="00FB0576"/>
    <w:rsid w:val="00FB7459"/>
    <w:rsid w:val="00FC03CD"/>
    <w:rsid w:val="00FC0646"/>
    <w:rsid w:val="00FC3686"/>
    <w:rsid w:val="00FC68B7"/>
    <w:rsid w:val="00FE1A49"/>
    <w:rsid w:val="00FE6985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8C66C6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6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484A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basedOn w:val="DefaultParagraphFont"/>
    <w:link w:val="H1G"/>
    <w:locked/>
    <w:rsid w:val="0006484A"/>
    <w:rPr>
      <w:b/>
      <w:sz w:val="24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6484A"/>
    <w:rPr>
      <w:sz w:val="18"/>
      <w:lang w:eastAsia="en-US"/>
    </w:rPr>
  </w:style>
  <w:style w:type="character" w:customStyle="1" w:styleId="ES-Titre3Car">
    <w:name w:val="ES-Titre 3 Car"/>
    <w:link w:val="ES-Titre3"/>
    <w:locked/>
    <w:rsid w:val="0006484A"/>
    <w:rPr>
      <w:rFonts w:ascii="Arial" w:eastAsia="Calibri" w:hAnsi="Arial" w:cs="Arial"/>
      <w:b/>
      <w:sz w:val="22"/>
      <w:szCs w:val="22"/>
    </w:rPr>
  </w:style>
  <w:style w:type="paragraph" w:customStyle="1" w:styleId="ES-Titre3">
    <w:name w:val="ES-Titre 3"/>
    <w:basedOn w:val="Normal"/>
    <w:link w:val="ES-Titre3Car"/>
    <w:qFormat/>
    <w:rsid w:val="0006484A"/>
    <w:pPr>
      <w:suppressAutoHyphens w:val="0"/>
      <w:overflowPunct w:val="0"/>
      <w:autoSpaceDE w:val="0"/>
      <w:autoSpaceDN w:val="0"/>
      <w:adjustRightInd w:val="0"/>
      <w:spacing w:line="240" w:lineRule="exact"/>
      <w:jc w:val="center"/>
    </w:pPr>
    <w:rPr>
      <w:rFonts w:ascii="Arial" w:eastAsia="Calibri" w:hAnsi="Arial" w:cs="Arial"/>
      <w:b/>
      <w:sz w:val="22"/>
      <w:szCs w:val="22"/>
      <w:lang w:eastAsia="en-GB"/>
    </w:rPr>
  </w:style>
  <w:style w:type="character" w:customStyle="1" w:styleId="ES-Titre2Car">
    <w:name w:val="ES-Titre2 Car"/>
    <w:link w:val="ES-Titre2"/>
    <w:locked/>
    <w:rsid w:val="0006484A"/>
    <w:rPr>
      <w:rFonts w:ascii="Arial" w:eastAsia="Calibri" w:hAnsi="Arial" w:cs="Arial"/>
      <w:b/>
      <w:i/>
      <w:caps/>
      <w:sz w:val="24"/>
      <w:szCs w:val="28"/>
      <w:lang w:val="en-US"/>
    </w:rPr>
  </w:style>
  <w:style w:type="paragraph" w:customStyle="1" w:styleId="ES-Titre2">
    <w:name w:val="ES-Titre2"/>
    <w:basedOn w:val="Normal"/>
    <w:link w:val="ES-Titre2Car"/>
    <w:qFormat/>
    <w:rsid w:val="0006484A"/>
    <w:pPr>
      <w:pageBreakBefore/>
      <w:suppressAutoHyphens w:val="0"/>
      <w:overflowPunct w:val="0"/>
      <w:autoSpaceDE w:val="0"/>
      <w:autoSpaceDN w:val="0"/>
      <w:adjustRightInd w:val="0"/>
      <w:jc w:val="center"/>
    </w:pPr>
    <w:rPr>
      <w:rFonts w:ascii="Arial" w:eastAsia="Calibri" w:hAnsi="Arial" w:cs="Arial"/>
      <w:b/>
      <w:i/>
      <w:caps/>
      <w:sz w:val="24"/>
      <w:szCs w:val="28"/>
      <w:lang w:val="en-US" w:eastAsia="en-GB"/>
    </w:rPr>
  </w:style>
  <w:style w:type="paragraph" w:customStyle="1" w:styleId="Default">
    <w:name w:val="Default"/>
    <w:rsid w:val="00C018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character" w:customStyle="1" w:styleId="SingleTxtGChar">
    <w:name w:val="_ Single Txt_G Char"/>
    <w:link w:val="SingleTxtG"/>
    <w:rsid w:val="008C66C6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6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484A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basedOn w:val="DefaultParagraphFont"/>
    <w:link w:val="H1G"/>
    <w:locked/>
    <w:rsid w:val="0006484A"/>
    <w:rPr>
      <w:b/>
      <w:sz w:val="24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6484A"/>
    <w:rPr>
      <w:sz w:val="18"/>
      <w:lang w:eastAsia="en-US"/>
    </w:rPr>
  </w:style>
  <w:style w:type="character" w:customStyle="1" w:styleId="ES-Titre3Car">
    <w:name w:val="ES-Titre 3 Car"/>
    <w:link w:val="ES-Titre3"/>
    <w:locked/>
    <w:rsid w:val="0006484A"/>
    <w:rPr>
      <w:rFonts w:ascii="Arial" w:eastAsia="Calibri" w:hAnsi="Arial" w:cs="Arial"/>
      <w:b/>
      <w:sz w:val="22"/>
      <w:szCs w:val="22"/>
    </w:rPr>
  </w:style>
  <w:style w:type="paragraph" w:customStyle="1" w:styleId="ES-Titre3">
    <w:name w:val="ES-Titre 3"/>
    <w:basedOn w:val="Normal"/>
    <w:link w:val="ES-Titre3Car"/>
    <w:qFormat/>
    <w:rsid w:val="0006484A"/>
    <w:pPr>
      <w:suppressAutoHyphens w:val="0"/>
      <w:overflowPunct w:val="0"/>
      <w:autoSpaceDE w:val="0"/>
      <w:autoSpaceDN w:val="0"/>
      <w:adjustRightInd w:val="0"/>
      <w:spacing w:line="240" w:lineRule="exact"/>
      <w:jc w:val="center"/>
    </w:pPr>
    <w:rPr>
      <w:rFonts w:ascii="Arial" w:eastAsia="Calibri" w:hAnsi="Arial" w:cs="Arial"/>
      <w:b/>
      <w:sz w:val="22"/>
      <w:szCs w:val="22"/>
      <w:lang w:eastAsia="en-GB"/>
    </w:rPr>
  </w:style>
  <w:style w:type="character" w:customStyle="1" w:styleId="ES-Titre2Car">
    <w:name w:val="ES-Titre2 Car"/>
    <w:link w:val="ES-Titre2"/>
    <w:locked/>
    <w:rsid w:val="0006484A"/>
    <w:rPr>
      <w:rFonts w:ascii="Arial" w:eastAsia="Calibri" w:hAnsi="Arial" w:cs="Arial"/>
      <w:b/>
      <w:i/>
      <w:caps/>
      <w:sz w:val="24"/>
      <w:szCs w:val="28"/>
      <w:lang w:val="en-US"/>
    </w:rPr>
  </w:style>
  <w:style w:type="paragraph" w:customStyle="1" w:styleId="ES-Titre2">
    <w:name w:val="ES-Titre2"/>
    <w:basedOn w:val="Normal"/>
    <w:link w:val="ES-Titre2Car"/>
    <w:qFormat/>
    <w:rsid w:val="0006484A"/>
    <w:pPr>
      <w:pageBreakBefore/>
      <w:suppressAutoHyphens w:val="0"/>
      <w:overflowPunct w:val="0"/>
      <w:autoSpaceDE w:val="0"/>
      <w:autoSpaceDN w:val="0"/>
      <w:adjustRightInd w:val="0"/>
      <w:jc w:val="center"/>
    </w:pPr>
    <w:rPr>
      <w:rFonts w:ascii="Arial" w:eastAsia="Calibri" w:hAnsi="Arial" w:cs="Arial"/>
      <w:b/>
      <w:i/>
      <w:caps/>
      <w:sz w:val="24"/>
      <w:szCs w:val="28"/>
      <w:lang w:val="en-US" w:eastAsia="en-GB"/>
    </w:rPr>
  </w:style>
  <w:style w:type="paragraph" w:customStyle="1" w:styleId="Default">
    <w:name w:val="Default"/>
    <w:rsid w:val="00C018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0322-092A-4D45-8B7E-533F014F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87</TotalTime>
  <Pages>9</Pages>
  <Words>2540</Words>
  <Characters>14483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Carole Marilley</dc:creator>
  <cp:lastModifiedBy>brynkina</cp:lastModifiedBy>
  <cp:revision>60</cp:revision>
  <cp:lastPrinted>2017-02-05T12:34:00Z</cp:lastPrinted>
  <dcterms:created xsi:type="dcterms:W3CDTF">2017-02-01T14:16:00Z</dcterms:created>
  <dcterms:modified xsi:type="dcterms:W3CDTF">2017-02-06T10:11:00Z</dcterms:modified>
</cp:coreProperties>
</file>