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A57D3" w:rsidTr="009E6CB7">
        <w:trPr>
          <w:cantSplit/>
          <w:trHeight w:hRule="exact" w:val="851"/>
        </w:trPr>
        <w:tc>
          <w:tcPr>
            <w:tcW w:w="1276" w:type="dxa"/>
            <w:tcBorders>
              <w:bottom w:val="single" w:sz="4" w:space="0" w:color="auto"/>
            </w:tcBorders>
            <w:vAlign w:val="bottom"/>
          </w:tcPr>
          <w:p w:rsidR="009E6CB7" w:rsidRPr="005A57D3" w:rsidRDefault="009E6CB7" w:rsidP="009E6CB7">
            <w:pPr>
              <w:spacing w:after="80"/>
            </w:pPr>
          </w:p>
        </w:tc>
        <w:tc>
          <w:tcPr>
            <w:tcW w:w="2268" w:type="dxa"/>
            <w:tcBorders>
              <w:bottom w:val="single" w:sz="4" w:space="0" w:color="auto"/>
            </w:tcBorders>
            <w:vAlign w:val="bottom"/>
          </w:tcPr>
          <w:p w:rsidR="009E6CB7" w:rsidRPr="005A57D3" w:rsidRDefault="009E6CB7" w:rsidP="009E6CB7">
            <w:pPr>
              <w:spacing w:after="80" w:line="300" w:lineRule="exact"/>
              <w:rPr>
                <w:b/>
                <w:sz w:val="24"/>
                <w:szCs w:val="24"/>
              </w:rPr>
            </w:pPr>
            <w:r w:rsidRPr="005A57D3">
              <w:rPr>
                <w:sz w:val="28"/>
                <w:szCs w:val="28"/>
              </w:rPr>
              <w:t>United Nations</w:t>
            </w:r>
          </w:p>
        </w:tc>
        <w:tc>
          <w:tcPr>
            <w:tcW w:w="6095" w:type="dxa"/>
            <w:gridSpan w:val="2"/>
            <w:tcBorders>
              <w:bottom w:val="single" w:sz="4" w:space="0" w:color="auto"/>
            </w:tcBorders>
            <w:vAlign w:val="bottom"/>
          </w:tcPr>
          <w:p w:rsidR="009E6CB7" w:rsidRPr="005A57D3" w:rsidRDefault="003A5F98" w:rsidP="001440C0">
            <w:pPr>
              <w:jc w:val="right"/>
            </w:pPr>
            <w:r w:rsidRPr="005A57D3">
              <w:rPr>
                <w:sz w:val="40"/>
              </w:rPr>
              <w:t>ECE</w:t>
            </w:r>
            <w:r w:rsidRPr="005A57D3">
              <w:t>/TRANS/201</w:t>
            </w:r>
            <w:r w:rsidR="006C1223" w:rsidRPr="005A57D3">
              <w:t>7</w:t>
            </w:r>
            <w:r w:rsidRPr="005A57D3">
              <w:t>/</w:t>
            </w:r>
            <w:r w:rsidR="001440C0">
              <w:t>10</w:t>
            </w:r>
          </w:p>
        </w:tc>
      </w:tr>
      <w:tr w:rsidR="009E6CB7" w:rsidRPr="005A57D3" w:rsidTr="009E6CB7">
        <w:trPr>
          <w:cantSplit/>
          <w:trHeight w:hRule="exact" w:val="2835"/>
        </w:trPr>
        <w:tc>
          <w:tcPr>
            <w:tcW w:w="1276" w:type="dxa"/>
            <w:tcBorders>
              <w:top w:val="single" w:sz="4" w:space="0" w:color="auto"/>
              <w:bottom w:val="single" w:sz="12" w:space="0" w:color="auto"/>
            </w:tcBorders>
          </w:tcPr>
          <w:p w:rsidR="009E6CB7" w:rsidRPr="005A57D3" w:rsidRDefault="00BC7F91" w:rsidP="009E6CB7">
            <w:pPr>
              <w:spacing w:before="120"/>
            </w:pPr>
            <w:r w:rsidRPr="00EB2F40">
              <w:rPr>
                <w:noProof/>
                <w:lang w:val="en-US"/>
              </w:rPr>
              <w:drawing>
                <wp:inline distT="0" distB="0" distL="0" distR="0" wp14:anchorId="68664B06" wp14:editId="37591BD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5A57D3" w:rsidRDefault="009E6CB7" w:rsidP="009E6CB7">
            <w:pPr>
              <w:spacing w:before="120" w:line="420" w:lineRule="exact"/>
              <w:rPr>
                <w:sz w:val="40"/>
                <w:szCs w:val="40"/>
              </w:rPr>
            </w:pPr>
            <w:r w:rsidRPr="005A57D3">
              <w:rPr>
                <w:b/>
                <w:sz w:val="40"/>
                <w:szCs w:val="40"/>
              </w:rPr>
              <w:t>Economic and Social Council</w:t>
            </w:r>
          </w:p>
        </w:tc>
        <w:tc>
          <w:tcPr>
            <w:tcW w:w="2835" w:type="dxa"/>
            <w:tcBorders>
              <w:top w:val="single" w:sz="4" w:space="0" w:color="auto"/>
              <w:bottom w:val="single" w:sz="12" w:space="0" w:color="auto"/>
            </w:tcBorders>
          </w:tcPr>
          <w:p w:rsidR="009E6CB7" w:rsidRPr="005A57D3" w:rsidRDefault="003A5F98" w:rsidP="003A5F98">
            <w:pPr>
              <w:spacing w:before="240" w:line="240" w:lineRule="exact"/>
            </w:pPr>
            <w:r w:rsidRPr="005A57D3">
              <w:t>Distr.: General</w:t>
            </w:r>
          </w:p>
          <w:p w:rsidR="003A5F98" w:rsidRPr="005A57D3" w:rsidRDefault="00F26174" w:rsidP="003A5F98">
            <w:pPr>
              <w:spacing w:line="240" w:lineRule="exact"/>
            </w:pPr>
            <w:r>
              <w:t>13</w:t>
            </w:r>
            <w:r w:rsidR="006C1223" w:rsidRPr="005A57D3">
              <w:t xml:space="preserve"> December 2016</w:t>
            </w:r>
          </w:p>
          <w:p w:rsidR="003A5F98" w:rsidRPr="005A57D3" w:rsidRDefault="003A5F98" w:rsidP="003A5F98">
            <w:pPr>
              <w:spacing w:line="240" w:lineRule="exact"/>
            </w:pPr>
          </w:p>
          <w:p w:rsidR="003A5F98" w:rsidRPr="005A57D3" w:rsidRDefault="003A5F98" w:rsidP="003A5F98">
            <w:pPr>
              <w:spacing w:line="240" w:lineRule="exact"/>
            </w:pPr>
            <w:r w:rsidRPr="005A57D3">
              <w:t>Original: English</w:t>
            </w:r>
          </w:p>
        </w:tc>
      </w:tr>
    </w:tbl>
    <w:p w:rsidR="003A5F98" w:rsidRPr="005A57D3" w:rsidRDefault="003A5F98" w:rsidP="003A5F98">
      <w:pPr>
        <w:spacing w:before="120"/>
        <w:rPr>
          <w:b/>
          <w:bCs/>
          <w:sz w:val="28"/>
          <w:szCs w:val="28"/>
        </w:rPr>
      </w:pPr>
      <w:r w:rsidRPr="005A57D3">
        <w:rPr>
          <w:b/>
          <w:bCs/>
          <w:sz w:val="28"/>
          <w:szCs w:val="28"/>
        </w:rPr>
        <w:t>Economic Commission for Europe</w:t>
      </w:r>
    </w:p>
    <w:p w:rsidR="003A5F98" w:rsidRPr="005A57D3" w:rsidRDefault="003A5F98" w:rsidP="003A5F98">
      <w:pPr>
        <w:spacing w:before="120"/>
        <w:rPr>
          <w:sz w:val="28"/>
          <w:szCs w:val="28"/>
        </w:rPr>
      </w:pPr>
      <w:r w:rsidRPr="005A57D3">
        <w:rPr>
          <w:sz w:val="28"/>
          <w:szCs w:val="28"/>
        </w:rPr>
        <w:t>Inland Transport Committee</w:t>
      </w:r>
    </w:p>
    <w:p w:rsidR="003A5F98" w:rsidRPr="00480CE7" w:rsidRDefault="006C1223" w:rsidP="003A5F98">
      <w:pPr>
        <w:spacing w:before="120"/>
        <w:rPr>
          <w:b/>
          <w:bCs/>
        </w:rPr>
      </w:pPr>
      <w:r w:rsidRPr="00480CE7">
        <w:rPr>
          <w:b/>
          <w:bCs/>
        </w:rPr>
        <w:t>Seventy-nin</w:t>
      </w:r>
      <w:r w:rsidR="003A5F98" w:rsidRPr="00480CE7">
        <w:rPr>
          <w:b/>
          <w:bCs/>
        </w:rPr>
        <w:t xml:space="preserve">th </w:t>
      </w:r>
      <w:proofErr w:type="gramStart"/>
      <w:r w:rsidR="003A5F98" w:rsidRPr="00480CE7">
        <w:rPr>
          <w:b/>
          <w:bCs/>
        </w:rPr>
        <w:t>session</w:t>
      </w:r>
      <w:proofErr w:type="gramEnd"/>
    </w:p>
    <w:p w:rsidR="003A5F98" w:rsidRPr="005A57D3" w:rsidRDefault="003A5F98" w:rsidP="003A5F98">
      <w:pPr>
        <w:rPr>
          <w:b/>
          <w:bCs/>
        </w:rPr>
      </w:pPr>
      <w:r w:rsidRPr="005A57D3">
        <w:t>Geneva, 2</w:t>
      </w:r>
      <w:r w:rsidR="006C1223" w:rsidRPr="005A57D3">
        <w:t>1–24 February 2017</w:t>
      </w:r>
      <w:r w:rsidR="008A071E" w:rsidRPr="005A57D3">
        <w:br/>
      </w:r>
      <w:r w:rsidR="008A071E" w:rsidRPr="00327FE1">
        <w:t xml:space="preserve">Item </w:t>
      </w:r>
      <w:r w:rsidR="001440C0" w:rsidRPr="00480CE7">
        <w:t xml:space="preserve">5 (b) </w:t>
      </w:r>
      <w:r w:rsidRPr="00327FE1">
        <w:t>of the provisional agenda</w:t>
      </w:r>
      <w:r w:rsidRPr="00327FE1">
        <w:br/>
      </w:r>
      <w:r w:rsidR="001440C0" w:rsidRPr="001440C0">
        <w:rPr>
          <w:b/>
          <w:bCs/>
        </w:rPr>
        <w:t>Strategic questions of a modal and thematic nature</w:t>
      </w:r>
      <w:proofErr w:type="gramStart"/>
      <w:r w:rsidR="001440C0" w:rsidRPr="001440C0">
        <w:rPr>
          <w:b/>
          <w:bCs/>
        </w:rPr>
        <w:t>:</w:t>
      </w:r>
      <w:proofErr w:type="gramEnd"/>
      <w:r w:rsidR="001440C0">
        <w:rPr>
          <w:b/>
          <w:bCs/>
        </w:rPr>
        <w:br/>
      </w:r>
      <w:r w:rsidR="001440C0" w:rsidRPr="001440C0">
        <w:rPr>
          <w:b/>
          <w:bCs/>
        </w:rPr>
        <w:t>Harmonization of vehicle regulations</w:t>
      </w:r>
      <w:r w:rsidR="001440C0" w:rsidRPr="001440C0" w:rsidDel="001440C0">
        <w:rPr>
          <w:b/>
          <w:bCs/>
          <w:highlight w:val="yellow"/>
        </w:rPr>
        <w:t xml:space="preserve"> </w:t>
      </w:r>
    </w:p>
    <w:p w:rsidR="003A5F98" w:rsidRPr="005A57D3" w:rsidRDefault="003A5F98" w:rsidP="003A5F98">
      <w:pPr>
        <w:pStyle w:val="HChG"/>
      </w:pPr>
      <w:r w:rsidRPr="005A57D3">
        <w:tab/>
      </w:r>
      <w:r w:rsidRPr="005A57D3">
        <w:tab/>
      </w:r>
      <w:r w:rsidR="002F5A1F" w:rsidRPr="005A57D3">
        <w:t>Latest Developments in Vehicle Regulations</w:t>
      </w:r>
    </w:p>
    <w:p w:rsidR="002F5A1F" w:rsidRDefault="003A5F98" w:rsidP="002F5A1F">
      <w:pPr>
        <w:pStyle w:val="H1G"/>
      </w:pPr>
      <w:r w:rsidRPr="005A57D3">
        <w:tab/>
      </w:r>
      <w:r w:rsidRPr="005A57D3">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480CE7" w:rsidRPr="004C2966" w:rsidTr="006A2391">
        <w:trPr>
          <w:trHeight w:val="481"/>
          <w:jc w:val="center"/>
        </w:trPr>
        <w:tc>
          <w:tcPr>
            <w:tcW w:w="9637" w:type="dxa"/>
            <w:shd w:val="clear" w:color="auto" w:fill="auto"/>
          </w:tcPr>
          <w:p w:rsidR="00480CE7" w:rsidRPr="004C2966" w:rsidRDefault="00480CE7" w:rsidP="0038173F">
            <w:pPr>
              <w:spacing w:before="240" w:after="120"/>
              <w:ind w:left="255"/>
              <w:rPr>
                <w:rFonts w:eastAsia="Times New Roman Bold"/>
                <w:i/>
                <w:sz w:val="24"/>
              </w:rPr>
            </w:pPr>
            <w:r w:rsidRPr="004C2966">
              <w:rPr>
                <w:rFonts w:eastAsia="Times New Roman Bold"/>
                <w:i/>
                <w:sz w:val="24"/>
              </w:rPr>
              <w:t>Summary</w:t>
            </w:r>
          </w:p>
        </w:tc>
      </w:tr>
      <w:tr w:rsidR="00F26174" w:rsidRPr="004C2966" w:rsidTr="0038173F">
        <w:trPr>
          <w:jc w:val="center"/>
        </w:trPr>
        <w:tc>
          <w:tcPr>
            <w:tcW w:w="9637" w:type="dxa"/>
            <w:shd w:val="clear" w:color="auto" w:fill="auto"/>
          </w:tcPr>
          <w:p w:rsidR="00F26174" w:rsidRPr="004C2966" w:rsidRDefault="00F26174" w:rsidP="00F26174">
            <w:pPr>
              <w:spacing w:after="120"/>
              <w:ind w:left="1134" w:right="1134"/>
              <w:jc w:val="both"/>
            </w:pPr>
            <w:r w:rsidRPr="004C2966">
              <w:tab/>
            </w:r>
            <w:r>
              <w:t xml:space="preserve">The work within the World Forum for Harmonization of Vehicle Regulations (WP.29) continued to strengthen vehicle safety and environmental protection resulting in numerous new and amended vehicle regulations and rules under the 1958, 1997 and the 1998 Agreement. </w:t>
            </w:r>
          </w:p>
        </w:tc>
      </w:tr>
      <w:tr w:rsidR="00480CE7" w:rsidRPr="004C2966" w:rsidTr="0038173F">
        <w:trPr>
          <w:jc w:val="center"/>
        </w:trPr>
        <w:tc>
          <w:tcPr>
            <w:tcW w:w="9637" w:type="dxa"/>
            <w:shd w:val="clear" w:color="auto" w:fill="auto"/>
          </w:tcPr>
          <w:p w:rsidR="00693886" w:rsidRPr="004C2966" w:rsidRDefault="00F165F7" w:rsidP="00F26174">
            <w:pPr>
              <w:spacing w:after="120"/>
              <w:ind w:left="1134" w:right="1134"/>
              <w:jc w:val="both"/>
              <w:rPr>
                <w:rFonts w:eastAsia="Times New Roman Bold"/>
              </w:rPr>
            </w:pPr>
            <w:r w:rsidRPr="004C2966">
              <w:tab/>
            </w:r>
            <w:proofErr w:type="gramStart"/>
            <w:r w:rsidR="00EE5092">
              <w:t>I</w:t>
            </w:r>
            <w:r w:rsidR="00693886">
              <w:rPr>
                <w:rFonts w:eastAsia="Calibri"/>
                <w:u w:color="000000"/>
              </w:rPr>
              <w:t>mportant topic</w:t>
            </w:r>
            <w:r w:rsidR="00EE5092">
              <w:rPr>
                <w:rFonts w:eastAsia="Calibri"/>
                <w:u w:color="000000"/>
              </w:rPr>
              <w:t>s</w:t>
            </w:r>
            <w:r w:rsidR="00693886">
              <w:rPr>
                <w:rFonts w:eastAsia="Calibri"/>
                <w:u w:color="000000"/>
              </w:rPr>
              <w:t xml:space="preserve"> w</w:t>
            </w:r>
            <w:r w:rsidR="00EE5092">
              <w:rPr>
                <w:rFonts w:eastAsia="Calibri"/>
                <w:u w:color="000000"/>
              </w:rPr>
              <w:t>ere</w:t>
            </w:r>
            <w:r w:rsidR="00693886">
              <w:rPr>
                <w:rFonts w:eastAsia="Calibri"/>
                <w:u w:color="000000"/>
              </w:rPr>
              <w:t xml:space="preserve"> related to the implementation of automated / autonomous driving function</w:t>
            </w:r>
            <w:r w:rsidR="002C46C4">
              <w:rPr>
                <w:rFonts w:eastAsia="Calibri"/>
                <w:u w:color="000000"/>
              </w:rPr>
              <w:t xml:space="preserve"> requirements</w:t>
            </w:r>
            <w:r w:rsidR="00693886">
              <w:rPr>
                <w:rFonts w:eastAsia="Calibri"/>
                <w:u w:color="000000"/>
              </w:rPr>
              <w:t xml:space="preserve"> into the regulatory framework</w:t>
            </w:r>
            <w:r w:rsidR="00F94C47">
              <w:rPr>
                <w:rFonts w:eastAsia="Calibri"/>
                <w:u w:color="000000"/>
              </w:rPr>
              <w:t xml:space="preserve"> including related elements like cyber-security and data protection</w:t>
            </w:r>
            <w:r w:rsidR="00EE5092">
              <w:rPr>
                <w:rFonts w:eastAsia="Calibri"/>
                <w:u w:color="000000"/>
              </w:rPr>
              <w:t xml:space="preserve">, the </w:t>
            </w:r>
            <w:r w:rsidR="00EE5092">
              <w:t xml:space="preserve">Revision 3 of the 1958 Agreement including the setting up of a type-approval database, </w:t>
            </w:r>
            <w:r w:rsidR="003B194B">
              <w:t xml:space="preserve">the </w:t>
            </w:r>
            <w:r w:rsidR="003B194B" w:rsidRPr="003B194B">
              <w:t>Database for the Exchange of Type Approval (DETA)</w:t>
            </w:r>
            <w:r w:rsidR="00EE5092">
              <w:t xml:space="preserve">, at UNECE, </w:t>
            </w:r>
            <w:r>
              <w:t>reinforcing implementation of the 1998 Agreement</w:t>
            </w:r>
            <w:r w:rsidR="00EE5092">
              <w:t xml:space="preserve"> and revival of</w:t>
            </w:r>
            <w:r>
              <w:t xml:space="preserve"> periodic technical inspections (PTI)</w:t>
            </w:r>
            <w:r w:rsidR="00EE5092">
              <w:t xml:space="preserve"> </w:t>
            </w:r>
            <w:r>
              <w:t xml:space="preserve">under </w:t>
            </w:r>
            <w:r w:rsidR="00EE5092">
              <w:t>the 1997 Agreement</w:t>
            </w:r>
            <w:r w:rsidR="00F94C47">
              <w:rPr>
                <w:rFonts w:eastAsia="Calibri"/>
                <w:u w:color="000000"/>
              </w:rPr>
              <w:t>.</w:t>
            </w:r>
            <w:proofErr w:type="gramEnd"/>
          </w:p>
        </w:tc>
      </w:tr>
      <w:tr w:rsidR="00480CE7" w:rsidRPr="004C2966" w:rsidTr="0038173F">
        <w:trPr>
          <w:jc w:val="center"/>
        </w:trPr>
        <w:tc>
          <w:tcPr>
            <w:tcW w:w="9637" w:type="dxa"/>
            <w:shd w:val="clear" w:color="auto" w:fill="auto"/>
          </w:tcPr>
          <w:p w:rsidR="00480CE7" w:rsidRPr="004C2966" w:rsidRDefault="00480CE7" w:rsidP="0038173F">
            <w:pPr>
              <w:spacing w:after="120"/>
              <w:ind w:left="1134" w:right="1134"/>
              <w:jc w:val="both"/>
              <w:rPr>
                <w:rFonts w:eastAsia="Times New Roman Bold"/>
              </w:rPr>
            </w:pPr>
            <w:r w:rsidRPr="004C2966">
              <w:rPr>
                <w:rFonts w:eastAsia="Calibri"/>
                <w:b/>
                <w:u w:color="000000"/>
              </w:rPr>
              <w:tab/>
            </w:r>
            <w:r w:rsidRPr="00D12C4C">
              <w:rPr>
                <w:rFonts w:eastAsia="Calibri"/>
                <w:u w:color="000000"/>
              </w:rPr>
              <w:t xml:space="preserve">The </w:t>
            </w:r>
            <w:r>
              <w:rPr>
                <w:rFonts w:eastAsia="Calibri"/>
                <w:u w:color="000000"/>
              </w:rPr>
              <w:t>Inland Transport Committee</w:t>
            </w:r>
            <w:r w:rsidRPr="004C2966">
              <w:rPr>
                <w:rFonts w:eastAsia="Calibri"/>
                <w:b/>
                <w:u w:color="000000"/>
              </w:rPr>
              <w:t xml:space="preserve"> </w:t>
            </w:r>
            <w:r w:rsidR="008B2F91" w:rsidRPr="00F26174">
              <w:rPr>
                <w:rFonts w:eastAsia="Calibri"/>
                <w:u w:color="000000"/>
              </w:rPr>
              <w:t>(ITC)</w:t>
            </w:r>
            <w:r w:rsidR="008B2F91">
              <w:rPr>
                <w:rFonts w:eastAsia="Calibri"/>
                <w:b/>
                <w:u w:color="000000"/>
              </w:rPr>
              <w:t xml:space="preserve"> </w:t>
            </w:r>
            <w:r w:rsidRPr="004C2966">
              <w:rPr>
                <w:rFonts w:eastAsia="Calibri"/>
                <w:b/>
                <w:u w:color="000000"/>
              </w:rPr>
              <w:t>is invited</w:t>
            </w:r>
            <w:r w:rsidRPr="00D12C4C">
              <w:rPr>
                <w:rFonts w:eastAsia="Calibri"/>
                <w:u w:color="000000"/>
              </w:rPr>
              <w:t xml:space="preserve"> to</w:t>
            </w:r>
            <w:r w:rsidRPr="004C2966">
              <w:rPr>
                <w:rFonts w:eastAsia="Calibri"/>
                <w:u w:color="000000"/>
              </w:rPr>
              <w:t xml:space="preserve">: </w:t>
            </w:r>
          </w:p>
        </w:tc>
      </w:tr>
      <w:tr w:rsidR="00480CE7" w:rsidRPr="004C2966" w:rsidTr="0038173F">
        <w:trPr>
          <w:jc w:val="center"/>
        </w:trPr>
        <w:tc>
          <w:tcPr>
            <w:tcW w:w="9637" w:type="dxa"/>
            <w:shd w:val="clear" w:color="auto" w:fill="auto"/>
          </w:tcPr>
          <w:p w:rsidR="00480CE7" w:rsidRPr="004C2966" w:rsidRDefault="009B3E02" w:rsidP="00F26174">
            <w:pPr>
              <w:pStyle w:val="Bullet1G"/>
              <w:rPr>
                <w:rFonts w:eastAsia="Times New Roman Bold"/>
              </w:rPr>
            </w:pPr>
            <w:r w:rsidRPr="00953926">
              <w:rPr>
                <w:rFonts w:eastAsia="Calibri"/>
                <w:b/>
                <w:u w:color="000000"/>
              </w:rPr>
              <w:t>Endorse</w:t>
            </w:r>
            <w:r>
              <w:rPr>
                <w:rFonts w:eastAsia="Calibri"/>
                <w:u w:color="000000"/>
              </w:rPr>
              <w:t xml:space="preserve"> the activities</w:t>
            </w:r>
            <w:r w:rsidR="00EE5092">
              <w:rPr>
                <w:rFonts w:eastAsia="Calibri"/>
                <w:u w:color="000000"/>
              </w:rPr>
              <w:t xml:space="preserve"> listed in this document</w:t>
            </w:r>
            <w:r w:rsidR="00480CE7">
              <w:rPr>
                <w:rFonts w:eastAsia="Calibri"/>
                <w:u w:color="000000"/>
              </w:rPr>
              <w:t>;</w:t>
            </w:r>
            <w:r w:rsidR="00480CE7" w:rsidRPr="004C2966">
              <w:rPr>
                <w:rFonts w:eastAsia="Calibri"/>
                <w:u w:color="000000"/>
              </w:rPr>
              <w:t xml:space="preserve"> </w:t>
            </w:r>
          </w:p>
        </w:tc>
      </w:tr>
      <w:tr w:rsidR="00480CE7" w:rsidRPr="004C2966" w:rsidTr="0038173F">
        <w:trPr>
          <w:jc w:val="center"/>
        </w:trPr>
        <w:tc>
          <w:tcPr>
            <w:tcW w:w="9637" w:type="dxa"/>
            <w:shd w:val="clear" w:color="auto" w:fill="auto"/>
          </w:tcPr>
          <w:p w:rsidR="00EE5092" w:rsidRPr="00EE5092" w:rsidRDefault="00EE5092" w:rsidP="00F26174">
            <w:pPr>
              <w:pStyle w:val="Bullet1G"/>
              <w:rPr>
                <w:rFonts w:eastAsia="Times New Roman Bold"/>
              </w:rPr>
            </w:pPr>
            <w:r>
              <w:rPr>
                <w:rFonts w:eastAsia="Calibri"/>
                <w:b/>
                <w:u w:color="000000"/>
              </w:rPr>
              <w:t xml:space="preserve">Reiterate </w:t>
            </w:r>
            <w:r w:rsidRPr="002C46C4">
              <w:rPr>
                <w:rFonts w:eastAsia="Calibri"/>
                <w:u w:color="000000"/>
              </w:rPr>
              <w:t>support</w:t>
            </w:r>
            <w:r w:rsidR="00953926">
              <w:rPr>
                <w:rFonts w:eastAsia="Calibri"/>
                <w:u w:color="000000"/>
              </w:rPr>
              <w:t xml:space="preserve"> f</w:t>
            </w:r>
            <w:r>
              <w:rPr>
                <w:rFonts w:eastAsia="Calibri"/>
                <w:u w:color="000000"/>
              </w:rPr>
              <w:t>or</w:t>
            </w:r>
            <w:r w:rsidR="00953926">
              <w:rPr>
                <w:rFonts w:eastAsia="Calibri"/>
                <w:u w:color="000000"/>
              </w:rPr>
              <w:t xml:space="preserve"> </w:t>
            </w:r>
            <w:r w:rsidR="002C46C4">
              <w:rPr>
                <w:rFonts w:eastAsia="Calibri"/>
                <w:u w:color="000000"/>
              </w:rPr>
              <w:t xml:space="preserve">hosting </w:t>
            </w:r>
            <w:r w:rsidR="00953926">
              <w:rPr>
                <w:rFonts w:eastAsia="Calibri"/>
                <w:u w:color="000000"/>
              </w:rPr>
              <w:t>DETA</w:t>
            </w:r>
            <w:r w:rsidR="002C46C4">
              <w:rPr>
                <w:rFonts w:eastAsia="Calibri"/>
                <w:u w:color="000000"/>
              </w:rPr>
              <w:t xml:space="preserve"> at UNECE</w:t>
            </w:r>
            <w:r>
              <w:rPr>
                <w:rFonts w:eastAsia="Calibri"/>
                <w:u w:color="000000"/>
              </w:rPr>
              <w:t>;</w:t>
            </w:r>
            <w:r w:rsidR="00953926">
              <w:rPr>
                <w:rFonts w:eastAsia="Calibri"/>
                <w:u w:color="000000"/>
              </w:rPr>
              <w:t xml:space="preserve"> </w:t>
            </w:r>
          </w:p>
          <w:p w:rsidR="00EE5092" w:rsidRPr="00EE5092" w:rsidRDefault="00EE5092" w:rsidP="00F26174">
            <w:pPr>
              <w:pStyle w:val="Bullet1G"/>
              <w:rPr>
                <w:rFonts w:eastAsia="Times New Roman Bold"/>
              </w:rPr>
            </w:pPr>
            <w:r>
              <w:rPr>
                <w:rFonts w:eastAsia="Calibri"/>
                <w:b/>
                <w:u w:color="000000"/>
              </w:rPr>
              <w:t xml:space="preserve">Request </w:t>
            </w:r>
            <w:r w:rsidRPr="00EE5092">
              <w:rPr>
                <w:rFonts w:eastAsia="Calibri"/>
                <w:u w:color="000000"/>
              </w:rPr>
              <w:t>financing</w:t>
            </w:r>
            <w:r w:rsidR="00F11D36">
              <w:rPr>
                <w:rFonts w:eastAsia="Calibri"/>
                <w:u w:color="000000"/>
              </w:rPr>
              <w:t xml:space="preserve"> of DETA</w:t>
            </w:r>
            <w:r>
              <w:rPr>
                <w:rFonts w:eastAsia="Calibri"/>
                <w:b/>
                <w:u w:color="000000"/>
              </w:rPr>
              <w:t xml:space="preserve"> </w:t>
            </w:r>
            <w:r w:rsidR="00953926">
              <w:rPr>
                <w:rFonts w:eastAsia="Calibri"/>
                <w:u w:color="000000"/>
              </w:rPr>
              <w:t xml:space="preserve">under UN </w:t>
            </w:r>
            <w:r>
              <w:rPr>
                <w:rFonts w:eastAsia="Calibri"/>
                <w:u w:color="000000"/>
              </w:rPr>
              <w:t>b</w:t>
            </w:r>
            <w:r w:rsidR="00953926">
              <w:rPr>
                <w:rFonts w:eastAsia="Calibri"/>
                <w:u w:color="000000"/>
              </w:rPr>
              <w:t xml:space="preserve">udget and </w:t>
            </w:r>
          </w:p>
          <w:p w:rsidR="00480CE7" w:rsidRPr="004C2966" w:rsidRDefault="00EE5092" w:rsidP="00F26174">
            <w:pPr>
              <w:pStyle w:val="Bullet1G"/>
              <w:rPr>
                <w:rFonts w:eastAsia="Times New Roman Bold"/>
              </w:rPr>
            </w:pPr>
            <w:r>
              <w:rPr>
                <w:rFonts w:eastAsia="Calibri"/>
                <w:b/>
                <w:u w:color="000000"/>
              </w:rPr>
              <w:t>C</w:t>
            </w:r>
            <w:r w:rsidR="00953926" w:rsidRPr="00953926">
              <w:rPr>
                <w:rFonts w:eastAsia="Calibri"/>
                <w:b/>
                <w:u w:color="000000"/>
              </w:rPr>
              <w:t>all</w:t>
            </w:r>
            <w:r w:rsidR="00953926">
              <w:rPr>
                <w:rFonts w:eastAsia="Calibri"/>
                <w:u w:color="000000"/>
              </w:rPr>
              <w:t xml:space="preserve"> on support by the member States during the </w:t>
            </w:r>
            <w:r w:rsidRPr="00FD29D2">
              <w:rPr>
                <w:rFonts w:eastAsia="SimSun"/>
              </w:rPr>
              <w:t xml:space="preserve">Programme Budgetary Implications </w:t>
            </w:r>
            <w:r>
              <w:rPr>
                <w:rFonts w:eastAsia="SimSun"/>
              </w:rPr>
              <w:t>(</w:t>
            </w:r>
            <w:r w:rsidR="00953926">
              <w:rPr>
                <w:rFonts w:eastAsia="Calibri"/>
                <w:u w:color="000000"/>
              </w:rPr>
              <w:t>PBI</w:t>
            </w:r>
            <w:r>
              <w:rPr>
                <w:rFonts w:eastAsia="Calibri"/>
                <w:u w:color="000000"/>
              </w:rPr>
              <w:t>)</w:t>
            </w:r>
            <w:r w:rsidR="00953926">
              <w:rPr>
                <w:rFonts w:eastAsia="Calibri"/>
                <w:u w:color="000000"/>
              </w:rPr>
              <w:t xml:space="preserve"> process.</w:t>
            </w:r>
          </w:p>
        </w:tc>
      </w:tr>
      <w:tr w:rsidR="00480CE7" w:rsidRPr="004C2966" w:rsidTr="0038173F">
        <w:trPr>
          <w:jc w:val="center"/>
        </w:trPr>
        <w:tc>
          <w:tcPr>
            <w:tcW w:w="9637" w:type="dxa"/>
            <w:shd w:val="clear" w:color="auto" w:fill="auto"/>
          </w:tcPr>
          <w:p w:rsidR="00480CE7" w:rsidRPr="004C2966" w:rsidRDefault="00480CE7" w:rsidP="0038173F">
            <w:pPr>
              <w:rPr>
                <w:rFonts w:eastAsia="Times New Roman Bold"/>
              </w:rPr>
            </w:pPr>
          </w:p>
        </w:tc>
      </w:tr>
    </w:tbl>
    <w:p w:rsidR="00F26174" w:rsidRDefault="00F26174">
      <w:pPr>
        <w:suppressAutoHyphens w:val="0"/>
        <w:spacing w:line="240" w:lineRule="auto"/>
      </w:pPr>
      <w:r>
        <w:br w:type="page"/>
      </w:r>
    </w:p>
    <w:p w:rsidR="00724F82" w:rsidRPr="002C46C4" w:rsidRDefault="00F26174" w:rsidP="00F26174">
      <w:pPr>
        <w:pStyle w:val="HChG"/>
      </w:pPr>
      <w:r>
        <w:lastRenderedPageBreak/>
        <w:tab/>
        <w:t>I.</w:t>
      </w:r>
      <w:r>
        <w:tab/>
      </w:r>
      <w:r w:rsidR="00724F82" w:rsidRPr="00F26174">
        <w:t>Strengthening</w:t>
      </w:r>
      <w:r w:rsidR="00724F82" w:rsidRPr="002C46C4">
        <w:t xml:space="preserve"> vehicle safety and environmental protection</w:t>
      </w:r>
    </w:p>
    <w:p w:rsidR="002F5A1F" w:rsidRPr="005A57D3" w:rsidRDefault="002F5A1F" w:rsidP="002F5A1F">
      <w:pPr>
        <w:pStyle w:val="SingleTxtG"/>
      </w:pPr>
      <w:r w:rsidRPr="005A57D3">
        <w:t>1.</w:t>
      </w:r>
      <w:r w:rsidRPr="005A57D3">
        <w:tab/>
        <w:t>In 2016</w:t>
      </w:r>
      <w:r w:rsidR="00EB2F40">
        <w:t>,</w:t>
      </w:r>
      <w:r w:rsidRPr="005A57D3">
        <w:t xml:space="preserve"> </w:t>
      </w:r>
      <w:r w:rsidR="00EB2F40" w:rsidRPr="005A57D3">
        <w:t>t</w:t>
      </w:r>
      <w:r w:rsidR="00EB2F40">
        <w:t>hree</w:t>
      </w:r>
      <w:r w:rsidR="00EB2F40" w:rsidRPr="005A57D3">
        <w:t xml:space="preserve"> </w:t>
      </w:r>
      <w:r w:rsidRPr="005A57D3">
        <w:t>new United Nations Vehicle Regulations</w:t>
      </w:r>
      <w:r w:rsidR="00F26174">
        <w:rPr>
          <w:rStyle w:val="FootnoteReference"/>
        </w:rPr>
        <w:footnoteReference w:id="2"/>
      </w:r>
      <w:proofErr w:type="gramStart"/>
      <w:r w:rsidR="00EB2F40">
        <w:t xml:space="preserve"> which </w:t>
      </w:r>
      <w:r w:rsidR="00EB2F40" w:rsidRPr="005A57D3">
        <w:t>improv</w:t>
      </w:r>
      <w:r w:rsidR="00EB2F40">
        <w:t>e</w:t>
      </w:r>
      <w:r w:rsidR="00EB2F40" w:rsidRPr="005A57D3">
        <w:t xml:space="preserve"> </w:t>
      </w:r>
      <w:r w:rsidRPr="005A57D3">
        <w:t>vehicle safety and environmental performance</w:t>
      </w:r>
      <w:proofErr w:type="gramEnd"/>
      <w:r w:rsidRPr="005A57D3">
        <w:t xml:space="preserve"> entered into force</w:t>
      </w:r>
      <w:r w:rsidR="000933DB">
        <w:t xml:space="preserve"> and </w:t>
      </w:r>
      <w:r w:rsidR="000933DB" w:rsidRPr="005A57D3">
        <w:t>five new UN Regulations were adopted</w:t>
      </w:r>
      <w:r w:rsidR="000933DB">
        <w:t>.</w:t>
      </w:r>
      <w:r w:rsidR="00CA2A13">
        <w:t xml:space="preserve"> </w:t>
      </w:r>
      <w:r w:rsidR="000933DB">
        <w:t xml:space="preserve">A listing of these new UN Regulations </w:t>
      </w:r>
      <w:proofErr w:type="gramStart"/>
      <w:r w:rsidR="000933DB">
        <w:t>is provided</w:t>
      </w:r>
      <w:proofErr w:type="gramEnd"/>
      <w:r w:rsidR="000933DB">
        <w:t xml:space="preserve"> in </w:t>
      </w:r>
      <w:r w:rsidR="00205AAD">
        <w:t>the annex</w:t>
      </w:r>
      <w:r w:rsidR="002C46C4">
        <w:t>.</w:t>
      </w:r>
    </w:p>
    <w:p w:rsidR="00362BDF" w:rsidRDefault="00724F82" w:rsidP="00952BE3">
      <w:pPr>
        <w:pStyle w:val="SingleTxtG"/>
      </w:pPr>
      <w:r>
        <w:t>2</w:t>
      </w:r>
      <w:r w:rsidR="00362BDF">
        <w:t>.</w:t>
      </w:r>
      <w:r w:rsidR="00362BDF">
        <w:tab/>
        <w:t>As a result of the simplification of UN Regulations on lighting and light signallingWP.29 adopted Resolution R.E.5 on light sources</w:t>
      </w:r>
      <w:r w:rsidR="003B194B">
        <w:t xml:space="preserve"> as a first step</w:t>
      </w:r>
      <w:r w:rsidR="00362BDF">
        <w:t xml:space="preserve">. This Resolution consolidates all requirements for light sources that </w:t>
      </w:r>
      <w:proofErr w:type="gramStart"/>
      <w:r w:rsidR="003B194B">
        <w:t xml:space="preserve">had </w:t>
      </w:r>
      <w:r w:rsidR="00362BDF">
        <w:t>previously been covered</w:t>
      </w:r>
      <w:proofErr w:type="gramEnd"/>
      <w:r w:rsidR="00362BDF">
        <w:t xml:space="preserve"> in three different UN Regulations and thus provides for a single source.</w:t>
      </w:r>
    </w:p>
    <w:p w:rsidR="002F5A1F" w:rsidRPr="005A57D3" w:rsidRDefault="00724F82" w:rsidP="00952BE3">
      <w:pPr>
        <w:pStyle w:val="SingleTxtG"/>
      </w:pPr>
      <w:r>
        <w:t>3</w:t>
      </w:r>
      <w:r w:rsidR="002F5A1F" w:rsidRPr="005A57D3">
        <w:t>.</w:t>
      </w:r>
      <w:r w:rsidR="002F5A1F" w:rsidRPr="005A57D3">
        <w:tab/>
        <w:t xml:space="preserve">Existing UN Regulations </w:t>
      </w:r>
      <w:proofErr w:type="gramStart"/>
      <w:r w:rsidR="002F5A1F" w:rsidRPr="005A57D3">
        <w:t>were also updated</w:t>
      </w:r>
      <w:proofErr w:type="gramEnd"/>
      <w:r w:rsidR="002F5A1F" w:rsidRPr="005A57D3">
        <w:t xml:space="preserve"> with eighty-nine amendments</w:t>
      </w:r>
      <w:r w:rsidR="00E002CF">
        <w:t xml:space="preserve"> which </w:t>
      </w:r>
      <w:r w:rsidR="002F5A1F" w:rsidRPr="005A57D3">
        <w:t xml:space="preserve">adapt the </w:t>
      </w:r>
      <w:r w:rsidR="00952BE3">
        <w:t>R</w:t>
      </w:r>
      <w:r w:rsidR="002F5A1F" w:rsidRPr="005A57D3">
        <w:t xml:space="preserve">egulations to recent technological innovations and </w:t>
      </w:r>
      <w:r w:rsidR="00952BE3">
        <w:t xml:space="preserve">which </w:t>
      </w:r>
      <w:r w:rsidR="00E002CF" w:rsidRPr="005A57D3">
        <w:t>introduc</w:t>
      </w:r>
      <w:r w:rsidR="00E002CF">
        <w:t>e</w:t>
      </w:r>
      <w:r w:rsidR="00E002CF" w:rsidRPr="005A57D3">
        <w:t xml:space="preserve"> </w:t>
      </w:r>
      <w:r w:rsidR="002F5A1F" w:rsidRPr="005A57D3">
        <w:t xml:space="preserve">more </w:t>
      </w:r>
      <w:r w:rsidR="00B3325D">
        <w:t>stringent requirements</w:t>
      </w:r>
      <w:r w:rsidR="002F5A1F" w:rsidRPr="005A57D3">
        <w:t xml:space="preserve"> aimed at increasing both the safety and environmental performance of vehicles. Among these, WP.29 adopted in June 2016</w:t>
      </w:r>
      <w:r w:rsidR="00952BE3">
        <w:t>,</w:t>
      </w:r>
      <w:r w:rsidR="002F5A1F" w:rsidRPr="005A57D3">
        <w:t xml:space="preserve"> an amendment to UN Regulation No. 127 Enhanced Child Restraint Systems </w:t>
      </w:r>
      <w:r w:rsidR="003B194B">
        <w:t>(</w:t>
      </w:r>
      <w:r w:rsidR="002F5A1F" w:rsidRPr="005A57D3">
        <w:t>ECRS)</w:t>
      </w:r>
      <w:r w:rsidR="003B194B">
        <w:t>,</w:t>
      </w:r>
      <w:r w:rsidR="002F5A1F" w:rsidRPr="005A57D3">
        <w:t xml:space="preserve"> of the 1958 Agreement, which introduces the concept of non-integral ECRS allowing for the use of in-vehicle restraint systems (safety belts) together with an ECRS by safeguarding enhanced protection for the child.</w:t>
      </w:r>
    </w:p>
    <w:p w:rsidR="00724F82" w:rsidRDefault="00724F82" w:rsidP="002F5A1F">
      <w:pPr>
        <w:pStyle w:val="SingleTxtG"/>
      </w:pPr>
      <w:r>
        <w:t>4</w:t>
      </w:r>
      <w:r w:rsidRPr="005A57D3">
        <w:t>.</w:t>
      </w:r>
      <w:r w:rsidRPr="005A57D3">
        <w:tab/>
        <w:t xml:space="preserve">In November 2016, WP.29 concluded several years of work on </w:t>
      </w:r>
      <w:r>
        <w:t>two</w:t>
      </w:r>
      <w:r w:rsidRPr="005A57D3">
        <w:t xml:space="preserve"> new </w:t>
      </w:r>
      <w:r>
        <w:t xml:space="preserve">and one amendment to </w:t>
      </w:r>
      <w:r w:rsidRPr="005A57D3">
        <w:t>Global Technical Regulations (</w:t>
      </w:r>
      <w:r w:rsidR="00B3325D">
        <w:t>GTR</w:t>
      </w:r>
      <w:r w:rsidRPr="005A57D3">
        <w:t>)</w:t>
      </w:r>
      <w:r>
        <w:t xml:space="preserve"> by their adoption. A listing of these </w:t>
      </w:r>
      <w:r w:rsidR="003B194B">
        <w:t xml:space="preserve">GTRs </w:t>
      </w:r>
      <w:proofErr w:type="gramStart"/>
      <w:r>
        <w:t>is provided</w:t>
      </w:r>
      <w:proofErr w:type="gramEnd"/>
      <w:r>
        <w:t xml:space="preserve"> in </w:t>
      </w:r>
      <w:r w:rsidR="00205AAD">
        <w:t>the a</w:t>
      </w:r>
      <w:r w:rsidR="002C46C4">
        <w:t>nnex</w:t>
      </w:r>
      <w:r>
        <w:t>.</w:t>
      </w:r>
    </w:p>
    <w:p w:rsidR="00724F82" w:rsidRPr="00724F82" w:rsidRDefault="00D04DF3" w:rsidP="002C46C4">
      <w:pPr>
        <w:pStyle w:val="HChG"/>
      </w:pPr>
      <w:r>
        <w:tab/>
        <w:t>II.</w:t>
      </w:r>
      <w:r>
        <w:tab/>
      </w:r>
      <w:r w:rsidR="00724F82" w:rsidRPr="00724F82">
        <w:t>Towards automated / autonomous vehicles</w:t>
      </w:r>
    </w:p>
    <w:p w:rsidR="002F5A1F" w:rsidRPr="005A57D3" w:rsidRDefault="00731518" w:rsidP="002F5A1F">
      <w:pPr>
        <w:pStyle w:val="SingleTxtG"/>
      </w:pPr>
      <w:r w:rsidRPr="005A57D3">
        <w:t>5</w:t>
      </w:r>
      <w:r w:rsidR="002F5A1F" w:rsidRPr="005A57D3">
        <w:t>.</w:t>
      </w:r>
      <w:r w:rsidR="002F5A1F" w:rsidRPr="005A57D3">
        <w:tab/>
        <w:t xml:space="preserve">Also in 2016, WP.29 continued its activities to develop performance requirements for intelligent vehicle systems and driver assistance systems for automated vehicles and </w:t>
      </w:r>
      <w:proofErr w:type="gramStart"/>
      <w:r w:rsidR="003B194B" w:rsidRPr="005A57D3">
        <w:t xml:space="preserve">to </w:t>
      </w:r>
      <w:r w:rsidR="002F5A1F" w:rsidRPr="005A57D3">
        <w:t>thus pave</w:t>
      </w:r>
      <w:proofErr w:type="gramEnd"/>
      <w:r w:rsidR="002F5A1F" w:rsidRPr="005A57D3">
        <w:t xml:space="preserve"> the way for future autonomous vehicles. The WP.29 Informal Working Group on ITS/Autonomous Driving (ITS/AD) focused its activities on:</w:t>
      </w:r>
    </w:p>
    <w:p w:rsidR="002F5A1F" w:rsidRPr="005A57D3" w:rsidRDefault="00952BE3" w:rsidP="00731518">
      <w:pPr>
        <w:pStyle w:val="Bullet1G"/>
      </w:pPr>
      <w:r>
        <w:t>P</w:t>
      </w:r>
      <w:r w:rsidR="002F5A1F" w:rsidRPr="005A57D3">
        <w:t>repar</w:t>
      </w:r>
      <w:r>
        <w:t>ing</w:t>
      </w:r>
      <w:r w:rsidR="002F5A1F" w:rsidRPr="005A57D3">
        <w:t xml:space="preserve"> a proposal with </w:t>
      </w:r>
      <w:r>
        <w:t xml:space="preserve">a </w:t>
      </w:r>
      <w:r w:rsidR="002F5A1F" w:rsidRPr="005A57D3">
        <w:t xml:space="preserve">harmonized definition of Automated Driving Technologies; </w:t>
      </w:r>
    </w:p>
    <w:p w:rsidR="002F5A1F" w:rsidRPr="005A57D3" w:rsidRDefault="00952BE3" w:rsidP="00731518">
      <w:pPr>
        <w:pStyle w:val="Bullet1G"/>
      </w:pPr>
      <w:r>
        <w:t>D</w:t>
      </w:r>
      <w:r w:rsidR="002F5A1F" w:rsidRPr="005A57D3">
        <w:t>etermin</w:t>
      </w:r>
      <w:r>
        <w:t>ing</w:t>
      </w:r>
      <w:r w:rsidR="002F5A1F" w:rsidRPr="005A57D3">
        <w:t xml:space="preserve"> items to be addressed </w:t>
      </w:r>
      <w:r w:rsidR="00E002CF">
        <w:t xml:space="preserve">when </w:t>
      </w:r>
      <w:r w:rsidR="002F5A1F" w:rsidRPr="005A57D3">
        <w:t>establish</w:t>
      </w:r>
      <w:r w:rsidR="00E002CF">
        <w:t>ing</w:t>
      </w:r>
      <w:r w:rsidR="002F5A1F" w:rsidRPr="005A57D3">
        <w:t xml:space="preserve"> internationally harmonized regulations on Automated Driving Technologies </w:t>
      </w:r>
      <w:r w:rsidR="00E002CF">
        <w:t xml:space="preserve">that </w:t>
      </w:r>
      <w:r w:rsidR="002F5A1F" w:rsidRPr="005A57D3">
        <w:t>enabl</w:t>
      </w:r>
      <w:r>
        <w:t>e</w:t>
      </w:r>
      <w:r w:rsidR="002F5A1F" w:rsidRPr="005A57D3">
        <w:t xml:space="preserve"> drivers to benefit from a higher degree of automation of the driving task</w:t>
      </w:r>
      <w:r w:rsidR="00E002CF">
        <w:t>;</w:t>
      </w:r>
      <w:r w:rsidR="002F5A1F" w:rsidRPr="005A57D3">
        <w:t xml:space="preserve"> and</w:t>
      </w:r>
    </w:p>
    <w:p w:rsidR="002F5A1F" w:rsidRPr="005A57D3" w:rsidRDefault="00952BE3" w:rsidP="00731518">
      <w:pPr>
        <w:pStyle w:val="Bullet1G"/>
      </w:pPr>
      <w:proofErr w:type="gramStart"/>
      <w:r>
        <w:t>P</w:t>
      </w:r>
      <w:r w:rsidR="002F5A1F" w:rsidRPr="005A57D3">
        <w:t>repar</w:t>
      </w:r>
      <w:r>
        <w:t>ing</w:t>
      </w:r>
      <w:r w:rsidR="002F5A1F" w:rsidRPr="005A57D3">
        <w:t xml:space="preserve"> a proposal on harmonised general guidelines for e-Security and e-Safety in motor vehicles.</w:t>
      </w:r>
      <w:proofErr w:type="gramEnd"/>
    </w:p>
    <w:p w:rsidR="00724F82" w:rsidRDefault="00731518" w:rsidP="002F5A1F">
      <w:pPr>
        <w:pStyle w:val="SingleTxtG"/>
      </w:pPr>
      <w:r w:rsidRPr="005A57D3">
        <w:t>6</w:t>
      </w:r>
      <w:r w:rsidR="002F5A1F" w:rsidRPr="005A57D3">
        <w:t xml:space="preserve">. </w:t>
      </w:r>
      <w:r w:rsidR="002F5A1F" w:rsidRPr="005A57D3">
        <w:tab/>
      </w:r>
      <w:r w:rsidR="006C4FF8">
        <w:t xml:space="preserve">A </w:t>
      </w:r>
      <w:r w:rsidR="002F5A1F" w:rsidRPr="005A57D3">
        <w:t xml:space="preserve">subsidiary body </w:t>
      </w:r>
      <w:r w:rsidR="00952BE3">
        <w:t>of</w:t>
      </w:r>
      <w:r w:rsidR="00952BE3" w:rsidRPr="005A57D3">
        <w:t xml:space="preserve"> </w:t>
      </w:r>
      <w:r w:rsidR="002F5A1F" w:rsidRPr="005A57D3">
        <w:t xml:space="preserve">WP.29, </w:t>
      </w:r>
      <w:r w:rsidR="00F54435" w:rsidRPr="005A57D3">
        <w:t xml:space="preserve">the Working Party on Brakes and Running </w:t>
      </w:r>
      <w:proofErr w:type="gramStart"/>
      <w:r w:rsidR="00F54435" w:rsidRPr="005A57D3">
        <w:t xml:space="preserve">Gear </w:t>
      </w:r>
      <w:r w:rsidR="006C4FF8">
        <w:t>which</w:t>
      </w:r>
      <w:proofErr w:type="gramEnd"/>
      <w:r w:rsidR="006C4FF8">
        <w:t xml:space="preserve"> </w:t>
      </w:r>
      <w:r w:rsidR="006C4FF8" w:rsidRPr="005A57D3">
        <w:t>deal</w:t>
      </w:r>
      <w:r w:rsidR="006C4FF8">
        <w:t>s</w:t>
      </w:r>
      <w:r w:rsidR="006C4FF8" w:rsidRPr="005A57D3">
        <w:t xml:space="preserve"> </w:t>
      </w:r>
      <w:r w:rsidR="002F5A1F" w:rsidRPr="005A57D3">
        <w:t>with active safety elements, finalized its work on the first amendments to Regulation No. 79 (Steering equipment)</w:t>
      </w:r>
      <w:r w:rsidR="003B194B">
        <w:t>.</w:t>
      </w:r>
      <w:r w:rsidR="002F5A1F" w:rsidRPr="005A57D3">
        <w:t xml:space="preserve"> </w:t>
      </w:r>
      <w:r w:rsidR="003B194B">
        <w:t>T</w:t>
      </w:r>
      <w:r w:rsidR="006C4FF8">
        <w:t xml:space="preserve">hese include </w:t>
      </w:r>
      <w:r w:rsidR="002F5A1F" w:rsidRPr="005A57D3">
        <w:t>provisions for Automatically Commended Steering Functions (ACSF) with safety requirements and the corresponding testing procedures for Lane Keeping Systems, Corrective Steering Functions and Remote Controlled Parking. These amendments are the first elements towards automated vehicle regulations.</w:t>
      </w:r>
    </w:p>
    <w:p w:rsidR="00724F82" w:rsidRPr="00724F82" w:rsidRDefault="00F26174" w:rsidP="002C46C4">
      <w:pPr>
        <w:pStyle w:val="HChG"/>
      </w:pPr>
      <w:r>
        <w:lastRenderedPageBreak/>
        <w:tab/>
        <w:t>III.</w:t>
      </w:r>
      <w:r>
        <w:tab/>
      </w:r>
      <w:r w:rsidR="00724F82" w:rsidRPr="00724F82">
        <w:t>The 1958 Agreement update and type-approval database, DETA</w:t>
      </w:r>
    </w:p>
    <w:p w:rsidR="002F5A1F" w:rsidRPr="005A57D3" w:rsidRDefault="006D1107" w:rsidP="002F5A1F">
      <w:pPr>
        <w:pStyle w:val="SingleTxtG"/>
      </w:pPr>
      <w:r>
        <w:t>7</w:t>
      </w:r>
      <w:r w:rsidR="002F5A1F" w:rsidRPr="005A57D3">
        <w:t>.</w:t>
      </w:r>
      <w:r w:rsidR="002F5A1F" w:rsidRPr="005A57D3">
        <w:tab/>
        <w:t xml:space="preserve">The discussions on the Revision 3 of the 1958 Agreement on type approval for vehicles, parts and components in the World Forum </w:t>
      </w:r>
      <w:proofErr w:type="gramStart"/>
      <w:r w:rsidR="002F5A1F" w:rsidRPr="005A57D3">
        <w:t>had been finali</w:t>
      </w:r>
      <w:r w:rsidR="006C4FF8">
        <w:t>z</w:t>
      </w:r>
      <w:r w:rsidR="002F5A1F" w:rsidRPr="005A57D3">
        <w:t>ed</w:t>
      </w:r>
      <w:proofErr w:type="gramEnd"/>
      <w:r w:rsidR="002F5A1F" w:rsidRPr="005A57D3">
        <w:t xml:space="preserve"> and </w:t>
      </w:r>
      <w:r w:rsidR="006C4FF8" w:rsidRPr="00470C3E">
        <w:t>the Cont</w:t>
      </w:r>
      <w:r w:rsidR="004C3569">
        <w:t>r</w:t>
      </w:r>
      <w:r w:rsidR="006C4FF8" w:rsidRPr="00470C3E">
        <w:t xml:space="preserve">acting Parties </w:t>
      </w:r>
      <w:r w:rsidR="006C4FF8">
        <w:t xml:space="preserve">reached </w:t>
      </w:r>
      <w:r w:rsidR="002F5A1F" w:rsidRPr="005A57D3">
        <w:t xml:space="preserve">consensus at the June session of WP.29. This future amendment aims at </w:t>
      </w:r>
      <w:r w:rsidR="002F5A1F" w:rsidRPr="005A57D3">
        <w:rPr>
          <w:szCs w:val="24"/>
        </w:rPr>
        <w:t>fostering the broader participation of countries from emerging economies and regional economic integration organizations in the activities of the World Forum and at increasing the number of Contracting Parties to the Agreement</w:t>
      </w:r>
      <w:r w:rsidR="002F5A1F" w:rsidRPr="005A57D3">
        <w:t>.</w:t>
      </w:r>
    </w:p>
    <w:p w:rsidR="002F5A1F" w:rsidRPr="005A57D3" w:rsidRDefault="006D1107" w:rsidP="002F5A1F">
      <w:pPr>
        <w:pStyle w:val="SingleTxtG"/>
      </w:pPr>
      <w:r>
        <w:t>8</w:t>
      </w:r>
      <w:r w:rsidR="002F5A1F" w:rsidRPr="005A57D3">
        <w:t>.</w:t>
      </w:r>
      <w:r w:rsidR="002F5A1F" w:rsidRPr="005A57D3">
        <w:tab/>
        <w:t>Thus, the main objectives of Revision 3 to the 1958 Agreement:</w:t>
      </w:r>
    </w:p>
    <w:p w:rsidR="002F5A1F" w:rsidRPr="005A57D3" w:rsidRDefault="002F5A1F" w:rsidP="002F5A1F">
      <w:pPr>
        <w:pStyle w:val="SingleTxtG"/>
        <w:ind w:firstLine="567"/>
      </w:pPr>
      <w:r w:rsidRPr="005A57D3">
        <w:t>(a)</w:t>
      </w:r>
      <w:r w:rsidRPr="005A57D3">
        <w:tab/>
      </w:r>
      <w:r w:rsidR="00327FE1">
        <w:t>I</w:t>
      </w:r>
      <w:r w:rsidRPr="005A57D3">
        <w:t xml:space="preserve">nsert new provisions for the </w:t>
      </w:r>
      <w:r w:rsidR="00C07B42" w:rsidRPr="00C07B42">
        <w:t>International Vehicle Type Approval system (IWVTA)</w:t>
      </w:r>
      <w:proofErr w:type="gramStart"/>
      <w:r w:rsidR="00327FE1">
        <w:t>;</w:t>
      </w:r>
      <w:proofErr w:type="gramEnd"/>
    </w:p>
    <w:p w:rsidR="002F5A1F" w:rsidRPr="005A57D3" w:rsidRDefault="002F5A1F" w:rsidP="002F5A1F">
      <w:pPr>
        <w:pStyle w:val="SingleTxtG"/>
        <w:ind w:firstLine="567"/>
      </w:pPr>
      <w:r w:rsidRPr="005A57D3">
        <w:t>(b)</w:t>
      </w:r>
      <w:r w:rsidRPr="005A57D3">
        <w:tab/>
      </w:r>
      <w:r w:rsidR="00327FE1">
        <w:t>A</w:t>
      </w:r>
      <w:r w:rsidRPr="005A57D3">
        <w:t xml:space="preserve">llow the Contracting Parties to grant type approvals according to </w:t>
      </w:r>
      <w:r w:rsidR="006C4FF8">
        <w:t xml:space="preserve">previous </w:t>
      </w:r>
      <w:r w:rsidRPr="005A57D3">
        <w:t>versions of UN Regulations annexed to the 1958 Agreement</w:t>
      </w:r>
      <w:proofErr w:type="gramStart"/>
      <w:r w:rsidR="00327FE1">
        <w:t>;</w:t>
      </w:r>
      <w:proofErr w:type="gramEnd"/>
    </w:p>
    <w:p w:rsidR="002F5A1F" w:rsidRPr="005A57D3" w:rsidRDefault="002F5A1F" w:rsidP="002F5A1F">
      <w:pPr>
        <w:pStyle w:val="SingleTxtG"/>
        <w:ind w:firstLine="567"/>
      </w:pPr>
      <w:r w:rsidRPr="005A57D3">
        <w:t>(c)</w:t>
      </w:r>
      <w:r w:rsidRPr="005A57D3">
        <w:tab/>
      </w:r>
      <w:r w:rsidR="00327FE1">
        <w:t>E</w:t>
      </w:r>
      <w:r w:rsidRPr="005A57D3">
        <w:t xml:space="preserve">stablish at UNECE an electronic </w:t>
      </w:r>
      <w:r w:rsidR="00CE539E">
        <w:t>d</w:t>
      </w:r>
      <w:r w:rsidR="00CE539E" w:rsidRPr="005A57D3">
        <w:t xml:space="preserve">atabase </w:t>
      </w:r>
      <w:r w:rsidR="008B2F91">
        <w:t xml:space="preserve">entitled the </w:t>
      </w:r>
      <w:r w:rsidR="008B2F91" w:rsidRPr="003B194B">
        <w:t>Database for the Exchange of Type Approval (DETA)</w:t>
      </w:r>
      <w:r w:rsidR="004C3569">
        <w:t xml:space="preserve"> </w:t>
      </w:r>
      <w:r w:rsidRPr="005A57D3">
        <w:t xml:space="preserve">for the </w:t>
      </w:r>
      <w:r w:rsidR="008B2F91">
        <w:t>e</w:t>
      </w:r>
      <w:r w:rsidRPr="005A57D3">
        <w:t xml:space="preserve">xchange of </w:t>
      </w:r>
      <w:r w:rsidR="008B2F91">
        <w:t>t</w:t>
      </w:r>
      <w:r w:rsidR="008B2F91" w:rsidRPr="005A57D3">
        <w:t xml:space="preserve">ype </w:t>
      </w:r>
      <w:r w:rsidR="008B2F91">
        <w:t>a</w:t>
      </w:r>
      <w:r w:rsidR="008B2F91" w:rsidRPr="005A57D3">
        <w:t xml:space="preserve">pproval </w:t>
      </w:r>
      <w:r w:rsidRPr="005A57D3">
        <w:t>documentation between all the Contracting Parties to the Agreement</w:t>
      </w:r>
      <w:r w:rsidR="003918CF" w:rsidRPr="005A57D3">
        <w:t xml:space="preserve"> (see para.</w:t>
      </w:r>
      <w:r w:rsidR="00934F00" w:rsidRPr="005A57D3">
        <w:t xml:space="preserve"> 11</w:t>
      </w:r>
      <w:r w:rsidRPr="005A57D3">
        <w:t xml:space="preserve"> below)</w:t>
      </w:r>
      <w:r w:rsidR="00327FE1">
        <w:t>;</w:t>
      </w:r>
    </w:p>
    <w:p w:rsidR="002F5A1F" w:rsidRPr="005A57D3" w:rsidRDefault="002F5A1F" w:rsidP="002F5A1F">
      <w:pPr>
        <w:pStyle w:val="SingleTxtG"/>
        <w:ind w:firstLine="567"/>
      </w:pPr>
      <w:r w:rsidRPr="005A57D3">
        <w:t>(d)</w:t>
      </w:r>
      <w:r w:rsidRPr="005A57D3">
        <w:tab/>
      </w:r>
      <w:r w:rsidR="00327FE1">
        <w:t>M</w:t>
      </w:r>
      <w:r w:rsidRPr="005A57D3">
        <w:t>odify the voting conditions for the adoption of new UN Regulations or their amendments to existing UN Regulations (i.e. current the two</w:t>
      </w:r>
      <w:r w:rsidR="0060250B">
        <w:t>-</w:t>
      </w:r>
      <w:r w:rsidRPr="005A57D3">
        <w:t xml:space="preserve">thirds </w:t>
      </w:r>
      <w:r w:rsidRPr="00327FE1">
        <w:t>majority)</w:t>
      </w:r>
      <w:r w:rsidR="00327FE1" w:rsidRPr="00327FE1">
        <w:t>;</w:t>
      </w:r>
      <w:r w:rsidRPr="00E76895">
        <w:t xml:space="preserve"> and</w:t>
      </w:r>
    </w:p>
    <w:p w:rsidR="002F5A1F" w:rsidRPr="005A57D3" w:rsidRDefault="002F5A1F" w:rsidP="002F5A1F">
      <w:pPr>
        <w:pStyle w:val="SingleTxtG"/>
        <w:ind w:firstLine="567"/>
      </w:pPr>
      <w:r w:rsidRPr="005A57D3">
        <w:t>(e)</w:t>
      </w:r>
      <w:r w:rsidRPr="005A57D3">
        <w:tab/>
      </w:r>
      <w:r w:rsidR="00E76895">
        <w:t>R</w:t>
      </w:r>
      <w:r w:rsidRPr="005A57D3">
        <w:t xml:space="preserve">eview and strengthen the current provisions with the aim to improve the </w:t>
      </w:r>
      <w:r w:rsidR="00EB4390">
        <w:t xml:space="preserve">operation </w:t>
      </w:r>
      <w:r w:rsidRPr="005A57D3">
        <w:t>and reliability of the type approval procedures and the conditions for their mutual recognition (i.e. quality assurance assessment, certification and confo</w:t>
      </w:r>
      <w:r w:rsidR="00F26174">
        <w:t>rmity of production procedures,</w:t>
      </w:r>
      <w:r w:rsidR="004C3569" w:rsidRPr="005A57D3">
        <w:t xml:space="preserve"> </w:t>
      </w:r>
      <w:r w:rsidRPr="005A57D3">
        <w:t>tasks, responsibilities and competences of involved parties and aspects related to enforcement such as ensuring market surveillance and safeguard measures).</w:t>
      </w:r>
    </w:p>
    <w:p w:rsidR="002F5A1F" w:rsidRDefault="006D1107" w:rsidP="002F5A1F">
      <w:pPr>
        <w:pStyle w:val="SingleTxtG"/>
      </w:pPr>
      <w:r>
        <w:t>9</w:t>
      </w:r>
      <w:r w:rsidR="003918CF" w:rsidRPr="005A57D3">
        <w:t>.</w:t>
      </w:r>
      <w:r w:rsidR="003918CF" w:rsidRPr="005A57D3">
        <w:tab/>
      </w:r>
      <w:r w:rsidR="002F5A1F" w:rsidRPr="005A57D3">
        <w:t xml:space="preserve">The entry into force of Revision 3 of the 1958 Agreement </w:t>
      </w:r>
      <w:proofErr w:type="gramStart"/>
      <w:r w:rsidR="002F5A1F" w:rsidRPr="005A57D3">
        <w:t>is expected</w:t>
      </w:r>
      <w:proofErr w:type="gramEnd"/>
      <w:r w:rsidR="002F5A1F" w:rsidRPr="005A57D3">
        <w:t xml:space="preserve"> in August 2017.</w:t>
      </w:r>
    </w:p>
    <w:p w:rsidR="00CF4CB8" w:rsidRDefault="006D1107" w:rsidP="002F5A1F">
      <w:pPr>
        <w:pStyle w:val="SingleTxtG"/>
      </w:pPr>
      <w:r>
        <w:t>10.</w:t>
      </w:r>
      <w:r>
        <w:tab/>
      </w:r>
      <w:r w:rsidR="00CF4CB8">
        <w:t xml:space="preserve">DETA as an online accessible </w:t>
      </w:r>
      <w:proofErr w:type="gramStart"/>
      <w:r w:rsidR="00CF4CB8">
        <w:t>database,</w:t>
      </w:r>
      <w:proofErr w:type="gramEnd"/>
      <w:r w:rsidR="00CF4CB8">
        <w:t xml:space="preserve"> will provide access to all type approvals related to whole vehicles, their parts and components</w:t>
      </w:r>
      <w:r w:rsidR="0003748B">
        <w:t>,</w:t>
      </w:r>
      <w:r w:rsidR="00CF4CB8">
        <w:t xml:space="preserve"> </w:t>
      </w:r>
      <w:r w:rsidR="0003748B">
        <w:t>a</w:t>
      </w:r>
      <w:r w:rsidR="00CF4CB8">
        <w:t xml:space="preserve">nd </w:t>
      </w:r>
      <w:r w:rsidR="008B2F91">
        <w:t xml:space="preserve">will </w:t>
      </w:r>
      <w:r w:rsidR="00CF4CB8">
        <w:t>th</w:t>
      </w:r>
      <w:r w:rsidR="0003748B">
        <w:t>u</w:t>
      </w:r>
      <w:r w:rsidR="00CF4CB8">
        <w:t xml:space="preserve">s be the information back-bone for the IWVTA regime. Furthermore, with the introduction of the Unique Identifier, which is the basis for the simplification process of UN Regulations, the only link between the product and its type approval </w:t>
      </w:r>
      <w:proofErr w:type="gramStart"/>
      <w:r w:rsidR="00CF4CB8">
        <w:t>would be established</w:t>
      </w:r>
      <w:proofErr w:type="gramEnd"/>
      <w:r w:rsidR="00CF4CB8">
        <w:t xml:space="preserve"> through</w:t>
      </w:r>
      <w:r w:rsidR="00D743B4">
        <w:t xml:space="preserve"> the information kept by</w:t>
      </w:r>
      <w:r w:rsidR="00CF4CB8">
        <w:t xml:space="preserve"> DETA.</w:t>
      </w:r>
      <w:r w:rsidR="000E081C">
        <w:t xml:space="preserve"> </w:t>
      </w:r>
      <w:proofErr w:type="gramStart"/>
      <w:r w:rsidR="000E081C">
        <w:t>With the Declaration of Conformance (</w:t>
      </w:r>
      <w:proofErr w:type="spellStart"/>
      <w:r w:rsidR="000E081C">
        <w:t>DoC</w:t>
      </w:r>
      <w:proofErr w:type="spellEnd"/>
      <w:r w:rsidR="000E081C">
        <w:t xml:space="preserve">) document, generated by DETA, </w:t>
      </w:r>
      <w:r w:rsidR="008B2F91">
        <w:t>establishing a</w:t>
      </w:r>
      <w:r w:rsidR="000E081C">
        <w:t xml:space="preserve"> clear link between the individual vehicle and the related type-approvals.</w:t>
      </w:r>
      <w:proofErr w:type="gramEnd"/>
      <w:r w:rsidR="000E081C">
        <w:t xml:space="preserve"> </w:t>
      </w:r>
      <w:proofErr w:type="spellStart"/>
      <w:r w:rsidR="000E081C">
        <w:t>DoC</w:t>
      </w:r>
      <w:proofErr w:type="spellEnd"/>
      <w:r w:rsidR="000E081C">
        <w:t xml:space="preserve"> documents are the prerequisite for a first registration of vehicles</w:t>
      </w:r>
      <w:r w:rsidR="0003748B" w:rsidRPr="0003748B">
        <w:t xml:space="preserve"> </w:t>
      </w:r>
      <w:r w:rsidR="0003748B">
        <w:t>in the majority of UNECE member States</w:t>
      </w:r>
      <w:r w:rsidR="000E081C">
        <w:t xml:space="preserve">. Furthermore, with the direct link to individual vehicles, DETA could easily identify those vehicles affected by irregularities, e.g. related to their emissions. </w:t>
      </w:r>
      <w:r w:rsidR="000E081C">
        <w:rPr>
          <w:rFonts w:eastAsia="SimSun"/>
        </w:rPr>
        <w:t>This underlines</w:t>
      </w:r>
      <w:r w:rsidR="000E081C" w:rsidRPr="00FD29D2">
        <w:rPr>
          <w:rFonts w:eastAsia="SimSun"/>
        </w:rPr>
        <w:t xml:space="preserve"> the need</w:t>
      </w:r>
      <w:r w:rsidR="0003748B">
        <w:rPr>
          <w:rFonts w:eastAsia="SimSun"/>
        </w:rPr>
        <w:t xml:space="preserve"> and value</w:t>
      </w:r>
      <w:r w:rsidR="000E081C" w:rsidRPr="00FD29D2">
        <w:rPr>
          <w:rFonts w:eastAsia="SimSun"/>
        </w:rPr>
        <w:t xml:space="preserve"> to provid</w:t>
      </w:r>
      <w:r w:rsidR="0003748B">
        <w:rPr>
          <w:rFonts w:eastAsia="SimSun"/>
        </w:rPr>
        <w:t>ing</w:t>
      </w:r>
      <w:r w:rsidR="000E081C" w:rsidRPr="00FD29D2">
        <w:rPr>
          <w:rFonts w:eastAsia="SimSun"/>
        </w:rPr>
        <w:t xml:space="preserve"> DETA to the Contracting Parties</w:t>
      </w:r>
      <w:r w:rsidR="0003748B" w:rsidRPr="0003748B">
        <w:rPr>
          <w:rFonts w:eastAsia="SimSun"/>
        </w:rPr>
        <w:t xml:space="preserve"> </w:t>
      </w:r>
      <w:r w:rsidR="0003748B">
        <w:rPr>
          <w:rFonts w:eastAsia="SimSun"/>
        </w:rPr>
        <w:t>by</w:t>
      </w:r>
      <w:r w:rsidR="0003748B" w:rsidRPr="00FD29D2">
        <w:rPr>
          <w:rFonts w:eastAsia="SimSun"/>
        </w:rPr>
        <w:t xml:space="preserve"> UNECE</w:t>
      </w:r>
      <w:r w:rsidR="000E081C" w:rsidRPr="00FD29D2">
        <w:rPr>
          <w:rFonts w:eastAsia="SimSun"/>
        </w:rPr>
        <w:t>.</w:t>
      </w:r>
      <w:r w:rsidR="004C3569">
        <w:rPr>
          <w:rFonts w:eastAsia="SimSun"/>
        </w:rPr>
        <w:t xml:space="preserve"> It also shows a direct link to the 2030 Agenda, as well as to the operationalization of the Paris Agreement reached in December 2015. </w:t>
      </w:r>
    </w:p>
    <w:p w:rsidR="000560A4" w:rsidRPr="005A57D3" w:rsidRDefault="00CF4CB8" w:rsidP="002F5A1F">
      <w:pPr>
        <w:pStyle w:val="SingleTxtG"/>
      </w:pPr>
      <w:r>
        <w:t>11.</w:t>
      </w:r>
      <w:r>
        <w:tab/>
      </w:r>
      <w:r w:rsidR="006D1107">
        <w:t xml:space="preserve">In preparation for hosting DETA at UNECE, the </w:t>
      </w:r>
      <w:r w:rsidR="00B3325D">
        <w:t>s</w:t>
      </w:r>
      <w:r w:rsidR="006D1107">
        <w:t>ecretariat has elaborated several financing options including Public-Private-Partnership, extra-budgetary funding or fee-based models</w:t>
      </w:r>
      <w:r w:rsidR="0003748B">
        <w:t>.</w:t>
      </w:r>
      <w:r w:rsidR="006D1107">
        <w:t xml:space="preserve"> </w:t>
      </w:r>
      <w:r w:rsidR="0003748B">
        <w:t>M</w:t>
      </w:r>
      <w:r w:rsidR="006D1107">
        <w:t xml:space="preserve">ember </w:t>
      </w:r>
      <w:r w:rsidR="008B2F91">
        <w:t>States</w:t>
      </w:r>
      <w:r w:rsidR="0003748B">
        <w:t xml:space="preserve"> however</w:t>
      </w:r>
      <w:r w:rsidR="006D1107">
        <w:t xml:space="preserve"> opted for financing </w:t>
      </w:r>
      <w:r w:rsidR="0003748B">
        <w:t xml:space="preserve">this project </w:t>
      </w:r>
      <w:r w:rsidR="006D1107">
        <w:t>under the regular UNECE budget.</w:t>
      </w:r>
    </w:p>
    <w:p w:rsidR="00362BDF" w:rsidRPr="00FD29D2" w:rsidRDefault="003918CF" w:rsidP="00BA34FD">
      <w:pPr>
        <w:pStyle w:val="SingleTxtG"/>
        <w:rPr>
          <w:rFonts w:eastAsia="SimSun"/>
        </w:rPr>
      </w:pPr>
      <w:r w:rsidRPr="005A57D3">
        <w:t>1</w:t>
      </w:r>
      <w:r w:rsidR="00CF4CB8">
        <w:t>2</w:t>
      </w:r>
      <w:r w:rsidR="002F5A1F" w:rsidRPr="005A57D3">
        <w:t>.</w:t>
      </w:r>
      <w:r w:rsidR="002F5A1F" w:rsidRPr="005A57D3">
        <w:tab/>
        <w:t xml:space="preserve">Following the decision by ITC </w:t>
      </w:r>
      <w:r w:rsidR="006C2BCE">
        <w:t xml:space="preserve">to </w:t>
      </w:r>
      <w:r w:rsidR="006C2BCE" w:rsidRPr="005A57D3">
        <w:t>financ</w:t>
      </w:r>
      <w:r w:rsidR="006C2BCE">
        <w:t>e</w:t>
      </w:r>
      <w:r w:rsidR="006C2BCE" w:rsidRPr="005A57D3">
        <w:t xml:space="preserve"> </w:t>
      </w:r>
      <w:r w:rsidR="002F5A1F" w:rsidRPr="005A57D3">
        <w:t xml:space="preserve">the hosting of DETA </w:t>
      </w:r>
      <w:r w:rsidR="00EB4390">
        <w:t xml:space="preserve">in </w:t>
      </w:r>
      <w:r w:rsidR="002F5A1F" w:rsidRPr="005A57D3">
        <w:t xml:space="preserve">the regular </w:t>
      </w:r>
      <w:r w:rsidR="006C2BCE" w:rsidRPr="006C2BCE">
        <w:t xml:space="preserve">UNECE </w:t>
      </w:r>
      <w:r w:rsidR="002F5A1F" w:rsidRPr="005A57D3">
        <w:t>budget</w:t>
      </w:r>
      <w:r w:rsidR="006C2BCE">
        <w:t xml:space="preserve"> (</w:t>
      </w:r>
      <w:r w:rsidR="00E76895" w:rsidRPr="00E76895">
        <w:t>ECE/TRANS/254</w:t>
      </w:r>
      <w:r w:rsidR="006C2BCE">
        <w:t xml:space="preserve">, para. </w:t>
      </w:r>
      <w:r w:rsidR="00E76895">
        <w:t>65</w:t>
      </w:r>
      <w:r w:rsidR="006C2BCE">
        <w:t>)</w:t>
      </w:r>
      <w:r w:rsidR="002F5A1F" w:rsidRPr="005A57D3">
        <w:t xml:space="preserve">, the Sustainable Transport Division initiated this </w:t>
      </w:r>
      <w:r w:rsidR="00EB4390">
        <w:t>budget</w:t>
      </w:r>
      <w:r w:rsidR="0060250B">
        <w:t>-</w:t>
      </w:r>
      <w:r w:rsidR="002F5A1F" w:rsidRPr="005A57D3">
        <w:t>related process</w:t>
      </w:r>
      <w:r w:rsidR="00BA34FD">
        <w:t>.</w:t>
      </w:r>
      <w:r w:rsidR="002F5A1F" w:rsidRPr="005A57D3">
        <w:t xml:space="preserve"> </w:t>
      </w:r>
      <w:r w:rsidR="00BA34FD">
        <w:t>However,</w:t>
      </w:r>
      <w:r w:rsidR="00362BDF" w:rsidRPr="00FD29D2">
        <w:rPr>
          <w:rFonts w:eastAsia="SimSun"/>
        </w:rPr>
        <w:t xml:space="preserve"> due to the upcoming budget cuts, the establishment and hosting of DETA </w:t>
      </w:r>
      <w:proofErr w:type="gramStart"/>
      <w:r w:rsidR="00B94A8D">
        <w:rPr>
          <w:rFonts w:eastAsia="SimSun"/>
        </w:rPr>
        <w:t>has not been found</w:t>
      </w:r>
      <w:proofErr w:type="gramEnd"/>
      <w:r w:rsidR="00B94A8D">
        <w:rPr>
          <w:rFonts w:eastAsia="SimSun"/>
        </w:rPr>
        <w:t xml:space="preserve"> feasible to</w:t>
      </w:r>
      <w:r w:rsidR="00362BDF" w:rsidRPr="00FD29D2">
        <w:rPr>
          <w:rFonts w:eastAsia="SimSun"/>
        </w:rPr>
        <w:t xml:space="preserve"> be financed from the UNECE biennial Regular Budget. </w:t>
      </w:r>
    </w:p>
    <w:p w:rsidR="00362BDF" w:rsidRPr="00FD29D2" w:rsidRDefault="00362BDF" w:rsidP="00362BDF">
      <w:pPr>
        <w:spacing w:after="120"/>
        <w:ind w:left="1134" w:right="1134"/>
        <w:jc w:val="both"/>
        <w:rPr>
          <w:rFonts w:eastAsia="SimSun"/>
        </w:rPr>
      </w:pPr>
      <w:r>
        <w:rPr>
          <w:rFonts w:eastAsia="SimSun"/>
        </w:rPr>
        <w:lastRenderedPageBreak/>
        <w:t>13</w:t>
      </w:r>
      <w:r w:rsidRPr="00FD29D2">
        <w:rPr>
          <w:rFonts w:eastAsia="SimSun"/>
        </w:rPr>
        <w:t>.</w:t>
      </w:r>
      <w:r w:rsidRPr="00FD29D2">
        <w:rPr>
          <w:rFonts w:eastAsia="SimSun"/>
        </w:rPr>
        <w:tab/>
      </w:r>
      <w:r w:rsidR="00BA34FD">
        <w:rPr>
          <w:rFonts w:eastAsia="SimSun"/>
        </w:rPr>
        <w:t xml:space="preserve">As </w:t>
      </w:r>
      <w:r w:rsidRPr="00FD29D2">
        <w:rPr>
          <w:rFonts w:eastAsia="SimSun"/>
        </w:rPr>
        <w:t>an alternative</w:t>
      </w:r>
      <w:r w:rsidR="00CF4CB8">
        <w:rPr>
          <w:rFonts w:eastAsia="SimSun"/>
        </w:rPr>
        <w:t>,</w:t>
      </w:r>
      <w:r w:rsidR="00BA34FD">
        <w:rPr>
          <w:rFonts w:eastAsia="SimSun"/>
        </w:rPr>
        <w:t xml:space="preserve"> interim</w:t>
      </w:r>
      <w:r w:rsidRPr="00FD29D2">
        <w:rPr>
          <w:rFonts w:eastAsia="SimSun"/>
        </w:rPr>
        <w:t xml:space="preserve"> option</w:t>
      </w:r>
      <w:r w:rsidR="00CF4CB8">
        <w:rPr>
          <w:rFonts w:eastAsia="SimSun"/>
        </w:rPr>
        <w:t>,</w:t>
      </w:r>
      <w:r w:rsidRPr="00FD29D2">
        <w:rPr>
          <w:rFonts w:eastAsia="SimSun"/>
        </w:rPr>
        <w:t xml:space="preserve"> </w:t>
      </w:r>
      <w:r w:rsidR="00BA34FD">
        <w:rPr>
          <w:rFonts w:eastAsia="SimSun"/>
        </w:rPr>
        <w:t xml:space="preserve">it </w:t>
      </w:r>
      <w:proofErr w:type="gramStart"/>
      <w:r w:rsidR="00BA34FD">
        <w:rPr>
          <w:rFonts w:eastAsia="SimSun"/>
        </w:rPr>
        <w:t xml:space="preserve">is </w:t>
      </w:r>
      <w:r w:rsidR="00BA34FD" w:rsidRPr="00FD29D2">
        <w:rPr>
          <w:rFonts w:eastAsia="SimSun"/>
        </w:rPr>
        <w:t>proposed</w:t>
      </w:r>
      <w:proofErr w:type="gramEnd"/>
      <w:r w:rsidR="00BA34FD" w:rsidRPr="00FD29D2">
        <w:rPr>
          <w:rFonts w:eastAsia="SimSun"/>
        </w:rPr>
        <w:t xml:space="preserve"> </w:t>
      </w:r>
      <w:r w:rsidR="00BA34FD">
        <w:rPr>
          <w:rFonts w:eastAsia="SimSun"/>
        </w:rPr>
        <w:t>to</w:t>
      </w:r>
      <w:r w:rsidRPr="00FD29D2">
        <w:rPr>
          <w:rFonts w:eastAsia="SimSun"/>
        </w:rPr>
        <w:t xml:space="preserve"> submit</w:t>
      </w:r>
      <w:r w:rsidR="00BA34FD">
        <w:rPr>
          <w:rFonts w:eastAsia="SimSun"/>
        </w:rPr>
        <w:t xml:space="preserve"> </w:t>
      </w:r>
      <w:r w:rsidR="00D743B4">
        <w:rPr>
          <w:rFonts w:eastAsia="SimSun"/>
        </w:rPr>
        <w:t>the financing request</w:t>
      </w:r>
      <w:r w:rsidR="00BA34FD">
        <w:rPr>
          <w:rFonts w:eastAsia="SimSun"/>
        </w:rPr>
        <w:t xml:space="preserve"> under</w:t>
      </w:r>
      <w:r w:rsidRPr="00FD29D2">
        <w:rPr>
          <w:rFonts w:eastAsia="SimSun"/>
        </w:rPr>
        <w:t xml:space="preserve"> Programme Budgetary Implications (PBI)</w:t>
      </w:r>
      <w:r w:rsidR="001F3892">
        <w:rPr>
          <w:rFonts w:eastAsia="SimSun"/>
        </w:rPr>
        <w:t xml:space="preserve"> for additional regular budget</w:t>
      </w:r>
      <w:r w:rsidRPr="00FD29D2">
        <w:rPr>
          <w:rFonts w:eastAsia="SimSun"/>
        </w:rPr>
        <w:t xml:space="preserve"> </w:t>
      </w:r>
      <w:r w:rsidR="00BA34FD">
        <w:rPr>
          <w:rFonts w:eastAsia="SimSun"/>
        </w:rPr>
        <w:t xml:space="preserve">based </w:t>
      </w:r>
      <w:r w:rsidRPr="00FD29D2">
        <w:rPr>
          <w:rFonts w:eastAsia="SimSun"/>
        </w:rPr>
        <w:t xml:space="preserve">on the decision for establishing DETA under the UNECE auspices. </w:t>
      </w:r>
      <w:r>
        <w:rPr>
          <w:rFonts w:eastAsia="SimSun"/>
        </w:rPr>
        <w:t>This</w:t>
      </w:r>
      <w:r w:rsidR="006D1107">
        <w:rPr>
          <w:rFonts w:eastAsia="SimSun"/>
        </w:rPr>
        <w:t xml:space="preserve"> PBI</w:t>
      </w:r>
      <w:r w:rsidRPr="00FD29D2">
        <w:rPr>
          <w:rFonts w:eastAsia="SimSun"/>
        </w:rPr>
        <w:t xml:space="preserve"> process would require</w:t>
      </w:r>
      <w:r w:rsidR="008B2F91">
        <w:rPr>
          <w:rFonts w:eastAsia="SimSun"/>
        </w:rPr>
        <w:t xml:space="preserve"> a</w:t>
      </w:r>
      <w:r w:rsidRPr="00FD29D2">
        <w:rPr>
          <w:rFonts w:eastAsia="SimSun"/>
        </w:rPr>
        <w:t xml:space="preserve"> firm commitment from the Contracting Parties, since the decision-making process on budgetary issues is lengthy and depends on </w:t>
      </w:r>
      <w:r w:rsidR="001F3892">
        <w:rPr>
          <w:rFonts w:eastAsia="SimSun"/>
        </w:rPr>
        <w:t xml:space="preserve">support by </w:t>
      </w:r>
      <w:r w:rsidRPr="00FD29D2">
        <w:rPr>
          <w:rFonts w:eastAsia="SimSun"/>
        </w:rPr>
        <w:t xml:space="preserve">the </w:t>
      </w:r>
      <w:r w:rsidR="00B3325D">
        <w:rPr>
          <w:rFonts w:eastAsia="SimSun"/>
        </w:rPr>
        <w:t>m</w:t>
      </w:r>
      <w:r w:rsidRPr="00FD29D2">
        <w:rPr>
          <w:rFonts w:eastAsia="SimSun"/>
        </w:rPr>
        <w:t xml:space="preserve">ember States </w:t>
      </w:r>
      <w:proofErr w:type="gramStart"/>
      <w:r w:rsidRPr="00FD29D2">
        <w:rPr>
          <w:rFonts w:eastAsia="SimSun"/>
        </w:rPr>
        <w:t>both in Geneva and New</w:t>
      </w:r>
      <w:proofErr w:type="gramEnd"/>
      <w:r w:rsidRPr="00FD29D2">
        <w:rPr>
          <w:rFonts w:eastAsia="SimSun"/>
        </w:rPr>
        <w:t xml:space="preserve"> York.</w:t>
      </w:r>
    </w:p>
    <w:p w:rsidR="00362BDF" w:rsidRPr="005A57D3" w:rsidRDefault="00362BDF" w:rsidP="00362BDF">
      <w:pPr>
        <w:pStyle w:val="SingleTxtG"/>
      </w:pPr>
      <w:r>
        <w:rPr>
          <w:rFonts w:eastAsia="SimSun"/>
        </w:rPr>
        <w:t>1</w:t>
      </w:r>
      <w:r w:rsidR="00D743B4">
        <w:rPr>
          <w:rFonts w:eastAsia="SimSun"/>
        </w:rPr>
        <w:t>4</w:t>
      </w:r>
      <w:r w:rsidRPr="00FD29D2">
        <w:rPr>
          <w:rFonts w:eastAsia="SimSun"/>
        </w:rPr>
        <w:t>.</w:t>
      </w:r>
      <w:r w:rsidRPr="00FD29D2">
        <w:rPr>
          <w:rFonts w:eastAsia="SimSun"/>
        </w:rPr>
        <w:tab/>
        <w:t>WP.29</w:t>
      </w:r>
      <w:r w:rsidR="0003748B">
        <w:rPr>
          <w:rFonts w:eastAsia="SimSun"/>
        </w:rPr>
        <w:t>, at its 170</w:t>
      </w:r>
      <w:r w:rsidR="0003748B" w:rsidRPr="0003748B">
        <w:rPr>
          <w:rFonts w:eastAsia="SimSun"/>
          <w:vertAlign w:val="superscript"/>
        </w:rPr>
        <w:t>th</w:t>
      </w:r>
      <w:r w:rsidR="0003748B">
        <w:rPr>
          <w:rFonts w:eastAsia="SimSun"/>
        </w:rPr>
        <w:t xml:space="preserve"> session, </w:t>
      </w:r>
      <w:r w:rsidRPr="00FD29D2">
        <w:rPr>
          <w:rFonts w:eastAsia="SimSun"/>
        </w:rPr>
        <w:t xml:space="preserve">reaffirmed its decision that DETA </w:t>
      </w:r>
      <w:proofErr w:type="gramStart"/>
      <w:r w:rsidRPr="00FD29D2">
        <w:rPr>
          <w:rFonts w:eastAsia="SimSun"/>
        </w:rPr>
        <w:t>should be hosted</w:t>
      </w:r>
      <w:proofErr w:type="gramEnd"/>
      <w:r w:rsidRPr="00FD29D2">
        <w:rPr>
          <w:rFonts w:eastAsia="SimSun"/>
        </w:rPr>
        <w:t xml:space="preserve"> by </w:t>
      </w:r>
      <w:r w:rsidR="0003748B">
        <w:rPr>
          <w:rFonts w:eastAsia="SimSun"/>
        </w:rPr>
        <w:t>UNECE</w:t>
      </w:r>
      <w:r w:rsidRPr="00FD29D2">
        <w:rPr>
          <w:rFonts w:eastAsia="SimSun"/>
        </w:rPr>
        <w:t xml:space="preserve">. It requested the </w:t>
      </w:r>
      <w:r w:rsidR="00B3325D">
        <w:rPr>
          <w:rFonts w:eastAsia="SimSun"/>
        </w:rPr>
        <w:t>s</w:t>
      </w:r>
      <w:r w:rsidRPr="00FD29D2">
        <w:rPr>
          <w:rFonts w:eastAsia="SimSun"/>
        </w:rPr>
        <w:t xml:space="preserve">ecretariat to initiate the necessary steps for securing adequate </w:t>
      </w:r>
      <w:r w:rsidR="0003748B">
        <w:rPr>
          <w:rFonts w:eastAsia="SimSun"/>
        </w:rPr>
        <w:t xml:space="preserve">additional </w:t>
      </w:r>
      <w:r w:rsidRPr="00FD29D2">
        <w:rPr>
          <w:rFonts w:eastAsia="SimSun"/>
        </w:rPr>
        <w:t>resources from the United Nations Regular Budget for this new activity.</w:t>
      </w:r>
    </w:p>
    <w:p w:rsidR="00724F82" w:rsidRPr="00724F82" w:rsidRDefault="00B94A8D" w:rsidP="002C46C4">
      <w:pPr>
        <w:pStyle w:val="HChG"/>
      </w:pPr>
      <w:r>
        <w:tab/>
        <w:t>IV.</w:t>
      </w:r>
      <w:r w:rsidR="002C46C4">
        <w:tab/>
      </w:r>
      <w:r w:rsidR="00724F82" w:rsidRPr="00724F82">
        <w:t>Reinforce implementation of the 1998 Agreement</w:t>
      </w:r>
    </w:p>
    <w:p w:rsidR="00965CDA" w:rsidRDefault="00362BDF" w:rsidP="002F5A1F">
      <w:pPr>
        <w:pStyle w:val="SingleTxtG"/>
      </w:pPr>
      <w:r w:rsidRPr="005A57D3">
        <w:t>1</w:t>
      </w:r>
      <w:r w:rsidR="00D743B4">
        <w:t>5</w:t>
      </w:r>
      <w:r w:rsidR="002F5A1F" w:rsidRPr="005A57D3">
        <w:t>.</w:t>
      </w:r>
      <w:r w:rsidR="002F5A1F" w:rsidRPr="005A57D3">
        <w:tab/>
        <w:t xml:space="preserve">Discussions on a reinforcement of the implementation of the 1998 Agreement concluded </w:t>
      </w:r>
      <w:r w:rsidR="008B2F91">
        <w:t>with</w:t>
      </w:r>
      <w:r w:rsidR="008B2F91" w:rsidRPr="005A57D3">
        <w:t xml:space="preserve"> </w:t>
      </w:r>
      <w:r w:rsidR="002F5A1F" w:rsidRPr="005A57D3">
        <w:t xml:space="preserve">the establishment of a Special Resolution S.R.2 that </w:t>
      </w:r>
      <w:proofErr w:type="gramStart"/>
      <w:r w:rsidR="002F5A1F" w:rsidRPr="005A57D3">
        <w:t>was adopted</w:t>
      </w:r>
      <w:proofErr w:type="gramEnd"/>
      <w:r w:rsidR="002F5A1F" w:rsidRPr="005A57D3">
        <w:t xml:space="preserve"> at the June 2016 session of WP.29. This </w:t>
      </w:r>
      <w:r w:rsidR="0060250B">
        <w:t>R</w:t>
      </w:r>
      <w:r w:rsidR="002F5A1F" w:rsidRPr="005A57D3">
        <w:t xml:space="preserve">esolution provides a </w:t>
      </w:r>
      <w:proofErr w:type="gramStart"/>
      <w:r w:rsidR="002F5A1F" w:rsidRPr="005A57D3">
        <w:t>more strategic</w:t>
      </w:r>
      <w:proofErr w:type="gramEnd"/>
      <w:r w:rsidR="002F5A1F" w:rsidRPr="005A57D3">
        <w:t xml:space="preserve"> approach </w:t>
      </w:r>
      <w:r w:rsidR="0060250B">
        <w:t>for</w:t>
      </w:r>
      <w:r w:rsidR="0060250B" w:rsidRPr="005A57D3">
        <w:t xml:space="preserve"> </w:t>
      </w:r>
      <w:r w:rsidR="002F5A1F" w:rsidRPr="005A57D3">
        <w:t xml:space="preserve">the work performed under the 1998 Agreement and also aims </w:t>
      </w:r>
      <w:r w:rsidR="006C2BCE">
        <w:t>to</w:t>
      </w:r>
      <w:r w:rsidR="006C2BCE" w:rsidRPr="005A57D3">
        <w:t xml:space="preserve"> </w:t>
      </w:r>
      <w:r w:rsidR="002F5A1F" w:rsidRPr="005A57D3">
        <w:t xml:space="preserve">reach higher transparency. </w:t>
      </w:r>
      <w:r w:rsidR="0060250B">
        <w:t>T</w:t>
      </w:r>
      <w:r w:rsidR="002F5A1F" w:rsidRPr="005A57D3">
        <w:t xml:space="preserve">he secretariat has already initiated </w:t>
      </w:r>
      <w:r w:rsidR="006C2BCE">
        <w:t xml:space="preserve">the </w:t>
      </w:r>
      <w:r w:rsidR="002F5A1F" w:rsidRPr="005A57D3">
        <w:t xml:space="preserve">first steps by making the WP.29 website more user-friendly and proposing amendments to the WP.29 Rules of Procedures that will ease the process for attending sessions of the World Forum for </w:t>
      </w:r>
      <w:r w:rsidR="007942C8" w:rsidRPr="005A57D3">
        <w:t>non-governmental organizations</w:t>
      </w:r>
      <w:r w:rsidR="002F5A1F" w:rsidRPr="005A57D3">
        <w:t>, academia and civil society.</w:t>
      </w:r>
    </w:p>
    <w:p w:rsidR="00724F82" w:rsidRDefault="00B94A8D" w:rsidP="002C46C4">
      <w:pPr>
        <w:pStyle w:val="HChG"/>
      </w:pPr>
      <w:r>
        <w:tab/>
        <w:t>V.</w:t>
      </w:r>
      <w:r>
        <w:tab/>
      </w:r>
      <w:r w:rsidR="000560A4" w:rsidRPr="000560A4">
        <w:t>Revival of Periodic Technical Inspection</w:t>
      </w:r>
      <w:r w:rsidR="008B2F91">
        <w:t xml:space="preserve"> (</w:t>
      </w:r>
      <w:r w:rsidR="000560A4" w:rsidRPr="000560A4">
        <w:t>PTI</w:t>
      </w:r>
      <w:r w:rsidR="008B2F91">
        <w:t>)</w:t>
      </w:r>
      <w:r w:rsidR="000560A4" w:rsidRPr="000560A4">
        <w:t xml:space="preserve"> </w:t>
      </w:r>
    </w:p>
    <w:p w:rsidR="000560A4" w:rsidRDefault="006D1107" w:rsidP="002F5A1F">
      <w:pPr>
        <w:pStyle w:val="SingleTxtG"/>
        <w:rPr>
          <w:rFonts w:eastAsia="SimSun"/>
        </w:rPr>
      </w:pPr>
      <w:r w:rsidRPr="006D1107">
        <w:t>1</w:t>
      </w:r>
      <w:r w:rsidR="00D743B4">
        <w:t>6</w:t>
      </w:r>
      <w:r>
        <w:t>.</w:t>
      </w:r>
      <w:r>
        <w:tab/>
        <w:t>Updates to the Rules under the 1997 Agreement have been prepared and include an extension of the scope to motor</w:t>
      </w:r>
      <w:r w:rsidR="005234E2">
        <w:t xml:space="preserve"> </w:t>
      </w:r>
      <w:r>
        <w:t xml:space="preserve">vehicles below 3.5 </w:t>
      </w:r>
      <w:r w:rsidR="005234E2">
        <w:t xml:space="preserve">tonnes, passenger cars and light vans, as well as the introduction of test requirements for electronic controlled safety relevant systems as well as clear assessment of defects related to their gravity. For alignment with </w:t>
      </w:r>
      <w:r w:rsidR="005234E2" w:rsidRPr="00FD29D2">
        <w:rPr>
          <w:rFonts w:eastAsia="SimSun"/>
        </w:rPr>
        <w:t>dates of entry into force of similar requirements in other regulatory frameworks</w:t>
      </w:r>
      <w:r w:rsidR="005234E2">
        <w:rPr>
          <w:rFonts w:eastAsia="SimSun"/>
        </w:rPr>
        <w:t xml:space="preserve">, an adoption of these amendments </w:t>
      </w:r>
      <w:proofErr w:type="gramStart"/>
      <w:r w:rsidR="005234E2">
        <w:rPr>
          <w:rFonts w:eastAsia="SimSun"/>
        </w:rPr>
        <w:t>was envisaged</w:t>
      </w:r>
      <w:proofErr w:type="gramEnd"/>
      <w:r w:rsidR="005234E2">
        <w:rPr>
          <w:rFonts w:eastAsia="SimSun"/>
        </w:rPr>
        <w:t xml:space="preserve"> for the coming WP.29 session in 2017.</w:t>
      </w:r>
    </w:p>
    <w:p w:rsidR="003C45F8" w:rsidRDefault="005234E2" w:rsidP="002F5A1F">
      <w:pPr>
        <w:pStyle w:val="SingleTxtG"/>
        <w:rPr>
          <w:rFonts w:eastAsia="SimSun"/>
        </w:rPr>
      </w:pPr>
      <w:r>
        <w:rPr>
          <w:rFonts w:eastAsia="SimSun"/>
        </w:rPr>
        <w:t>1</w:t>
      </w:r>
      <w:r w:rsidR="00D743B4">
        <w:rPr>
          <w:rFonts w:eastAsia="SimSun"/>
        </w:rPr>
        <w:t>7</w:t>
      </w:r>
      <w:r>
        <w:rPr>
          <w:rFonts w:eastAsia="SimSun"/>
        </w:rPr>
        <w:t>.</w:t>
      </w:r>
      <w:r>
        <w:rPr>
          <w:rFonts w:eastAsia="SimSun"/>
        </w:rPr>
        <w:tab/>
        <w:t xml:space="preserve">Further provisions for strengthening the quality and performance of PTI systems including requirements for test equipment, skills and training of personnel performing PTI as well as the supervision of PTI stations </w:t>
      </w:r>
      <w:proofErr w:type="gramStart"/>
      <w:r>
        <w:rPr>
          <w:rFonts w:eastAsia="SimSun"/>
        </w:rPr>
        <w:t>were elaborated</w:t>
      </w:r>
      <w:proofErr w:type="gramEnd"/>
      <w:r>
        <w:rPr>
          <w:rFonts w:eastAsia="SimSun"/>
        </w:rPr>
        <w:t xml:space="preserve"> by the experts of the IWG on PTI</w:t>
      </w:r>
      <w:r w:rsidR="00B3325D">
        <w:rPr>
          <w:rFonts w:eastAsia="SimSun"/>
        </w:rPr>
        <w:t>.</w:t>
      </w:r>
    </w:p>
    <w:p w:rsidR="003C45F8" w:rsidRDefault="00B94A8D" w:rsidP="002C46C4">
      <w:pPr>
        <w:pStyle w:val="HChG"/>
        <w:rPr>
          <w:rFonts w:eastAsia="SimSun"/>
        </w:rPr>
      </w:pPr>
      <w:r>
        <w:rPr>
          <w:rFonts w:eastAsia="SimSun"/>
        </w:rPr>
        <w:tab/>
        <w:t>VI.</w:t>
      </w:r>
      <w:r>
        <w:rPr>
          <w:rFonts w:eastAsia="SimSun"/>
        </w:rPr>
        <w:tab/>
      </w:r>
      <w:r w:rsidR="003C45F8" w:rsidRPr="003C45F8">
        <w:rPr>
          <w:rFonts w:eastAsia="SimSun"/>
        </w:rPr>
        <w:t xml:space="preserve">Safe vehicles as a basis for road safety – a </w:t>
      </w:r>
      <w:r w:rsidR="004C3569">
        <w:rPr>
          <w:rFonts w:eastAsia="SimSun"/>
        </w:rPr>
        <w:t xml:space="preserve">proposed </w:t>
      </w:r>
      <w:r w:rsidR="003C45F8" w:rsidRPr="003C45F8">
        <w:rPr>
          <w:rFonts w:eastAsia="SimSun"/>
        </w:rPr>
        <w:t>voluntary commitment of the automotive industry</w:t>
      </w:r>
    </w:p>
    <w:p w:rsidR="00362BDF" w:rsidRDefault="003C45F8" w:rsidP="009A7641">
      <w:pPr>
        <w:pStyle w:val="SingleTxtG"/>
      </w:pPr>
      <w:r>
        <w:rPr>
          <w:rFonts w:eastAsia="SimSun"/>
        </w:rPr>
        <w:t>1</w:t>
      </w:r>
      <w:r w:rsidR="00D743B4">
        <w:rPr>
          <w:rFonts w:eastAsia="SimSun"/>
        </w:rPr>
        <w:t>8</w:t>
      </w:r>
      <w:r>
        <w:rPr>
          <w:rFonts w:eastAsia="SimSun"/>
        </w:rPr>
        <w:t>.</w:t>
      </w:r>
      <w:r>
        <w:rPr>
          <w:rFonts w:eastAsia="SimSun"/>
        </w:rPr>
        <w:tab/>
        <w:t xml:space="preserve">As a combined initiative of the UNECE and the Secretary General's Special Envoy for Road safety, a set of minimum UN vehicle safety regulations </w:t>
      </w:r>
      <w:proofErr w:type="gramStart"/>
      <w:r>
        <w:rPr>
          <w:rFonts w:eastAsia="SimSun"/>
        </w:rPr>
        <w:t>have been identified</w:t>
      </w:r>
      <w:proofErr w:type="gramEnd"/>
      <w:r>
        <w:rPr>
          <w:rFonts w:eastAsia="SimSun"/>
        </w:rPr>
        <w:t xml:space="preserve">. These regulations provide the basis for a </w:t>
      </w:r>
      <w:r w:rsidR="004C3569">
        <w:rPr>
          <w:rFonts w:eastAsia="SimSun"/>
        </w:rPr>
        <w:t xml:space="preserve">proposed </w:t>
      </w:r>
      <w:r>
        <w:rPr>
          <w:rFonts w:eastAsia="SimSun"/>
        </w:rPr>
        <w:t xml:space="preserve">voluntary commitment by the automotive industry and would provide for the sales of new vehicles at an acceptable safety level and thus pave the way for enhancing road safety to reach the goal set out </w:t>
      </w:r>
      <w:r w:rsidR="00F11D36">
        <w:rPr>
          <w:rFonts w:eastAsia="SimSun"/>
        </w:rPr>
        <w:t>in</w:t>
      </w:r>
      <w:r w:rsidR="008B2F91">
        <w:rPr>
          <w:rFonts w:eastAsia="SimSun"/>
        </w:rPr>
        <w:t xml:space="preserve"> number three of the</w:t>
      </w:r>
      <w:r>
        <w:rPr>
          <w:rFonts w:eastAsia="SimSun"/>
        </w:rPr>
        <w:t xml:space="preserve"> </w:t>
      </w:r>
      <w:r w:rsidR="008B2F91">
        <w:rPr>
          <w:rFonts w:eastAsia="SimSun"/>
        </w:rPr>
        <w:t>Sustainable Development Goals</w:t>
      </w:r>
      <w:r>
        <w:rPr>
          <w:rFonts w:eastAsia="SimSun"/>
        </w:rPr>
        <w:t>.</w:t>
      </w:r>
      <w:r w:rsidR="00362BDF">
        <w:br w:type="page"/>
      </w:r>
    </w:p>
    <w:p w:rsidR="000933DB" w:rsidRDefault="002C46C4" w:rsidP="00F72BE2">
      <w:pPr>
        <w:pStyle w:val="HChG"/>
        <w:spacing w:before="320" w:after="200"/>
      </w:pPr>
      <w:r w:rsidRPr="00CA2A13">
        <w:lastRenderedPageBreak/>
        <w:t>Annex</w:t>
      </w:r>
      <w:r w:rsidR="00205AAD">
        <w:t xml:space="preserve"> </w:t>
      </w:r>
    </w:p>
    <w:p w:rsidR="000933DB" w:rsidRDefault="00F72BE2" w:rsidP="00F72BE2">
      <w:pPr>
        <w:pStyle w:val="HChG"/>
        <w:spacing w:before="320" w:after="200"/>
      </w:pPr>
      <w:r>
        <w:tab/>
        <w:t>I</w:t>
      </w:r>
      <w:r w:rsidR="00CA2A13">
        <w:t>.</w:t>
      </w:r>
      <w:r w:rsidR="00CA2A13">
        <w:tab/>
      </w:r>
      <w:r w:rsidR="000933DB">
        <w:t>List of new Vehicle regulation</w:t>
      </w:r>
      <w:r>
        <w:t>s entered into force in 2016</w:t>
      </w:r>
    </w:p>
    <w:p w:rsidR="000933DB" w:rsidRPr="005A57D3" w:rsidRDefault="000933DB" w:rsidP="00F72BE2">
      <w:pPr>
        <w:pStyle w:val="Bullet1G"/>
        <w:spacing w:after="80"/>
      </w:pPr>
      <w:r w:rsidRPr="005A57D3">
        <w:t>UN Regulation No. 136 on electric powered two wheelers, Electric Vehicles of Category L (EV-L), adopted at the June 2015 session of the World Forum for Harmonization of Vehicle Regulations (</w:t>
      </w:r>
      <w:bookmarkStart w:id="0" w:name="hit31"/>
      <w:bookmarkEnd w:id="0"/>
      <w:r w:rsidRPr="005A57D3">
        <w:t>WP.</w:t>
      </w:r>
      <w:bookmarkStart w:id="1" w:name="hit32"/>
      <w:bookmarkEnd w:id="1"/>
      <w:r w:rsidRPr="005A57D3">
        <w:t xml:space="preserve">29), provides the safety performance requirements </w:t>
      </w:r>
      <w:r>
        <w:t xml:space="preserve">of the </w:t>
      </w:r>
      <w:r w:rsidRPr="00470C3E">
        <w:t>electric energy storage systems</w:t>
      </w:r>
      <w:r w:rsidRPr="005A57D3">
        <w:t xml:space="preserve"> </w:t>
      </w:r>
      <w:r>
        <w:t xml:space="preserve">in </w:t>
      </w:r>
      <w:r w:rsidRPr="005A57D3">
        <w:t>EV-L;</w:t>
      </w:r>
    </w:p>
    <w:p w:rsidR="000933DB" w:rsidRPr="005A57D3" w:rsidRDefault="000933DB" w:rsidP="00F72BE2">
      <w:pPr>
        <w:pStyle w:val="Bullet1G"/>
        <w:spacing w:after="80"/>
      </w:pPr>
      <w:r w:rsidRPr="005A57D3">
        <w:t>UN Regulation No. 137 on Frontal Impact with focus on Restraint Systems (FIRS), adopted at the November 2015 session of WP.29, results in more stringent safety performance requirements for vehicles in a frontal impact with 100 per cent overlap with the crash barrier</w:t>
      </w:r>
      <w:r>
        <w:t>;</w:t>
      </w:r>
    </w:p>
    <w:p w:rsidR="000933DB" w:rsidRPr="005A57D3" w:rsidRDefault="000933DB" w:rsidP="00F72BE2">
      <w:pPr>
        <w:pStyle w:val="Bullet1G"/>
      </w:pPr>
      <w:r w:rsidRPr="005A57D3">
        <w:t xml:space="preserve">UN Regulation No. 138 on Quiet Road Transport Vehicles (QRTV) adopted at the March 2016 session of WP.29, provides for specific sound emissions of </w:t>
      </w:r>
      <w:proofErr w:type="gramStart"/>
      <w:r w:rsidRPr="005A57D3">
        <w:t>electric or hybrid vehicles when stationary</w:t>
      </w:r>
      <w:proofErr w:type="gramEnd"/>
      <w:r w:rsidRPr="005A57D3">
        <w:t xml:space="preserve"> or moving at low speeds. </w:t>
      </w:r>
    </w:p>
    <w:p w:rsidR="000933DB" w:rsidRPr="005A57D3" w:rsidRDefault="00F72BE2" w:rsidP="00F72BE2">
      <w:pPr>
        <w:pStyle w:val="HChG"/>
        <w:spacing w:before="320" w:after="200"/>
      </w:pPr>
      <w:r>
        <w:tab/>
        <w:t>II</w:t>
      </w:r>
      <w:r w:rsidR="000933DB" w:rsidRPr="005A57D3">
        <w:t>.</w:t>
      </w:r>
      <w:r w:rsidR="000933DB" w:rsidRPr="005A57D3">
        <w:tab/>
      </w:r>
      <w:r w:rsidR="000933DB">
        <w:t xml:space="preserve">List of new </w:t>
      </w:r>
      <w:r w:rsidR="000933DB" w:rsidRPr="00CA2A13">
        <w:t>Vehicle</w:t>
      </w:r>
      <w:r w:rsidR="000933DB">
        <w:t xml:space="preserve"> Regulations adopted in </w:t>
      </w:r>
      <w:r>
        <w:t>2016</w:t>
      </w:r>
    </w:p>
    <w:p w:rsidR="000933DB" w:rsidRPr="005A57D3" w:rsidRDefault="000933DB" w:rsidP="00F72BE2">
      <w:pPr>
        <w:pStyle w:val="SingleTxtG"/>
        <w:numPr>
          <w:ilvl w:val="0"/>
          <w:numId w:val="19"/>
        </w:numPr>
        <w:spacing w:after="80"/>
      </w:pPr>
      <w:r w:rsidRPr="005A57D3">
        <w:t>UN Regulation on Brake Assist Systems (BAS), adopted at the June 2016 session of WP.29, provides the enhanced performance requirements for braking systems in cases of emergency braking situations;</w:t>
      </w:r>
    </w:p>
    <w:p w:rsidR="000933DB" w:rsidRPr="005A57D3" w:rsidRDefault="000933DB" w:rsidP="00F72BE2">
      <w:pPr>
        <w:pStyle w:val="SingleTxtG"/>
        <w:numPr>
          <w:ilvl w:val="0"/>
          <w:numId w:val="19"/>
        </w:numPr>
        <w:spacing w:after="80"/>
      </w:pPr>
      <w:r w:rsidRPr="005A57D3">
        <w:t>UN Regulation on Electronic Stability Control (ESC), adopted at the June 2016 session of WP.29, decouples the requirements for ESC from the basic braking requirements for light duty vehicles covered by UN Regulation No. 13H;</w:t>
      </w:r>
    </w:p>
    <w:p w:rsidR="000933DB" w:rsidRPr="005A57D3" w:rsidRDefault="000933DB" w:rsidP="00F72BE2">
      <w:pPr>
        <w:pStyle w:val="SingleTxtG"/>
        <w:numPr>
          <w:ilvl w:val="0"/>
          <w:numId w:val="19"/>
        </w:numPr>
        <w:spacing w:after="80"/>
      </w:pPr>
      <w:r w:rsidRPr="005A57D3">
        <w:t xml:space="preserve">UN Regulation on Tyre Pressure Monitoring Systems (TPMS), adopted at the June 2016 session of WP.29, provides the principal performance requirements for TPMS </w:t>
      </w:r>
      <w:r>
        <w:t xml:space="preserve">to </w:t>
      </w:r>
      <w:r w:rsidRPr="005A57D3">
        <w:t>enhanc</w:t>
      </w:r>
      <w:r>
        <w:t>e</w:t>
      </w:r>
      <w:r w:rsidRPr="005A57D3">
        <w:t xml:space="preserve"> road safety </w:t>
      </w:r>
      <w:r>
        <w:t xml:space="preserve">and </w:t>
      </w:r>
      <w:r w:rsidRPr="005A57D3">
        <w:t>reduc</w:t>
      </w:r>
      <w:r>
        <w:t>ing</w:t>
      </w:r>
      <w:r w:rsidRPr="005A57D3">
        <w:t xml:space="preserve"> CO</w:t>
      </w:r>
      <w:r w:rsidRPr="005A57D3">
        <w:rPr>
          <w:vertAlign w:val="subscript"/>
        </w:rPr>
        <w:t xml:space="preserve">2 </w:t>
      </w:r>
      <w:r w:rsidRPr="005A57D3">
        <w:t xml:space="preserve">emissions </w:t>
      </w:r>
      <w:r>
        <w:t xml:space="preserve">from </w:t>
      </w:r>
      <w:r w:rsidRPr="005A57D3">
        <w:t>light duty vehicles;</w:t>
      </w:r>
    </w:p>
    <w:p w:rsidR="000933DB" w:rsidRDefault="000933DB" w:rsidP="000933DB">
      <w:pPr>
        <w:pStyle w:val="SingleTxtG"/>
        <w:numPr>
          <w:ilvl w:val="0"/>
          <w:numId w:val="19"/>
        </w:numPr>
      </w:pPr>
      <w:r w:rsidRPr="005A57D3">
        <w:t>UN Regulation on Heavy Duty Dual-Fuel Engine Retrofit Systems (HDDF-ERS), adopted at the November 2016 session of WP.29, establishes the performance requirements for these retrofit systems</w:t>
      </w:r>
      <w:r>
        <w:t xml:space="preserve"> in </w:t>
      </w:r>
      <w:r w:rsidRPr="005A57D3">
        <w:t>the shift towards cleaner road transport vehicles using LPG (Liquefied Petroleum Gas), CNG (Compressed Natural Gas) or LNG (Liquefied Natural Gas) as alternative fuel</w:t>
      </w:r>
      <w:r>
        <w:t>s</w:t>
      </w:r>
      <w:r w:rsidRPr="005A57D3">
        <w:t xml:space="preserve"> to diesel.</w:t>
      </w:r>
    </w:p>
    <w:p w:rsidR="000933DB" w:rsidRDefault="00F72BE2" w:rsidP="00F72BE2">
      <w:pPr>
        <w:pStyle w:val="HChG"/>
        <w:spacing w:before="320" w:after="200"/>
      </w:pPr>
      <w:r>
        <w:tab/>
        <w:t>III</w:t>
      </w:r>
      <w:r w:rsidR="00CA2A13">
        <w:t>.</w:t>
      </w:r>
      <w:r w:rsidR="00CA2A13">
        <w:tab/>
      </w:r>
      <w:r w:rsidR="000933DB">
        <w:t xml:space="preserve">List of new </w:t>
      </w:r>
      <w:r w:rsidR="000933DB" w:rsidRPr="00CA2A13">
        <w:t>Global</w:t>
      </w:r>
      <w:r w:rsidR="000933DB">
        <w:t xml:space="preserve"> Technical Regulations adopted and entered into force in </w:t>
      </w:r>
      <w:r>
        <w:t>2016</w:t>
      </w:r>
    </w:p>
    <w:p w:rsidR="000933DB" w:rsidRPr="005A57D3" w:rsidRDefault="000933DB" w:rsidP="00F72BE2">
      <w:pPr>
        <w:pStyle w:val="SingleTxtG"/>
        <w:numPr>
          <w:ilvl w:val="0"/>
          <w:numId w:val="19"/>
        </w:numPr>
        <w:spacing w:after="80"/>
      </w:pPr>
      <w:r w:rsidRPr="005A57D3">
        <w:t>Global Technical Regulation No. 17 on crankcase emissions for powered two- and three wheeled vehicles, adopted at the November 2016 session of WP.29 establishes harmonized test procedures allowing measure</w:t>
      </w:r>
      <w:r>
        <w:t>ment of</w:t>
      </w:r>
      <w:r w:rsidRPr="005A57D3">
        <w:t xml:space="preserve"> the crankcase and evaporative emissions and</w:t>
      </w:r>
      <w:r>
        <w:t>,</w:t>
      </w:r>
      <w:r w:rsidRPr="005A57D3">
        <w:t xml:space="preserve"> subsequently</w:t>
      </w:r>
      <w:r>
        <w:t>,</w:t>
      </w:r>
      <w:r w:rsidRPr="005A57D3">
        <w:t xml:space="preserve"> to reduc</w:t>
      </w:r>
      <w:r>
        <w:t>e</w:t>
      </w:r>
      <w:r w:rsidRPr="005A57D3">
        <w:t xml:space="preserve"> the emission of unburned fuel which </w:t>
      </w:r>
      <w:r>
        <w:t>is</w:t>
      </w:r>
      <w:r w:rsidRPr="005A57D3">
        <w:t xml:space="preserve"> of </w:t>
      </w:r>
      <w:r>
        <w:t xml:space="preserve">a </w:t>
      </w:r>
      <w:r w:rsidRPr="005A57D3">
        <w:t>toxic nature;</w:t>
      </w:r>
    </w:p>
    <w:p w:rsidR="000933DB" w:rsidRPr="005A57D3" w:rsidRDefault="000933DB" w:rsidP="00F72BE2">
      <w:pPr>
        <w:pStyle w:val="SingleTxtG"/>
        <w:numPr>
          <w:ilvl w:val="0"/>
          <w:numId w:val="19"/>
        </w:numPr>
        <w:spacing w:after="80"/>
      </w:pPr>
      <w:r w:rsidRPr="005A57D3">
        <w:t xml:space="preserve">Global Technical Regulation No. 18 on on-board diagnosis systems for powered two- and three wheeled vehicles, adopted at the November 2016 session of WP.29 establishes functional On-Board Diagnostic (OBD) requirements </w:t>
      </w:r>
      <w:r>
        <w:t xml:space="preserve">for </w:t>
      </w:r>
      <w:r w:rsidRPr="005A57D3">
        <w:t xml:space="preserve">the </w:t>
      </w:r>
      <w:r>
        <w:t>‘</w:t>
      </w:r>
      <w:r w:rsidRPr="005A57D3">
        <w:t>infra-structure</w:t>
      </w:r>
      <w:r>
        <w:t>’</w:t>
      </w:r>
      <w:r w:rsidRPr="005A57D3">
        <w:t xml:space="preserve"> on-board of a motor vehicle in the scope of this </w:t>
      </w:r>
      <w:r>
        <w:t>GTR (</w:t>
      </w:r>
      <w:r w:rsidRPr="005A57D3">
        <w:t>determines inter alia hardware and software design in a technology neutral way and harmonized requirements to conduct the environmental verification test procedure</w:t>
      </w:r>
      <w:r>
        <w:t>);</w:t>
      </w:r>
      <w:r w:rsidRPr="005A57D3">
        <w:t xml:space="preserve"> and</w:t>
      </w:r>
    </w:p>
    <w:p w:rsidR="000933DB" w:rsidRPr="005A57D3" w:rsidRDefault="00B3325D" w:rsidP="00F72BE2">
      <w:pPr>
        <w:pStyle w:val="SingleTxtG"/>
        <w:numPr>
          <w:ilvl w:val="0"/>
          <w:numId w:val="19"/>
        </w:numPr>
        <w:spacing w:after="80"/>
      </w:pPr>
      <w:proofErr w:type="gramStart"/>
      <w:r w:rsidRPr="005A57D3">
        <w:t>Amendments</w:t>
      </w:r>
      <w:r w:rsidR="000933DB" w:rsidRPr="005A57D3">
        <w:t xml:space="preserve"> t</w:t>
      </w:r>
      <w:bookmarkStart w:id="2" w:name="_GoBack"/>
      <w:bookmarkEnd w:id="2"/>
      <w:r w:rsidR="000933DB" w:rsidRPr="005A57D3">
        <w:t>o the Global Technical Regulations No. 16 (tyres).</w:t>
      </w:r>
      <w:proofErr w:type="gramEnd"/>
    </w:p>
    <w:p w:rsidR="00F507EC" w:rsidRPr="005A57D3" w:rsidRDefault="002F5A1F" w:rsidP="00F72BE2">
      <w:pPr>
        <w:pStyle w:val="SingleTxtG"/>
        <w:spacing w:after="0"/>
        <w:jc w:val="center"/>
      </w:pPr>
      <w:r w:rsidRPr="005A57D3">
        <w:rPr>
          <w:u w:val="single"/>
        </w:rPr>
        <w:tab/>
      </w:r>
      <w:r w:rsidRPr="005A57D3">
        <w:rPr>
          <w:u w:val="single"/>
        </w:rPr>
        <w:tab/>
      </w:r>
      <w:r w:rsidRPr="005A57D3">
        <w:rPr>
          <w:u w:val="single"/>
        </w:rPr>
        <w:tab/>
      </w:r>
    </w:p>
    <w:sectPr w:rsidR="00F507EC" w:rsidRPr="005A57D3" w:rsidSect="009A7641">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D7" w:rsidRDefault="00370CD7"/>
  </w:endnote>
  <w:endnote w:type="continuationSeparator" w:id="0">
    <w:p w:rsidR="00370CD7" w:rsidRDefault="00370CD7"/>
  </w:endnote>
  <w:endnote w:type="continuationNotice" w:id="1">
    <w:p w:rsidR="00370CD7" w:rsidRDefault="00370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F72BE2">
      <w:rPr>
        <w:b/>
        <w:noProof/>
        <w:sz w:val="18"/>
      </w:rPr>
      <w:t>6</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F72BE2">
      <w:rPr>
        <w:b/>
        <w:noProof/>
        <w:sz w:val="18"/>
      </w:rPr>
      <w:t>5</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D7" w:rsidRPr="000B175B" w:rsidRDefault="00370CD7" w:rsidP="000B175B">
      <w:pPr>
        <w:tabs>
          <w:tab w:val="right" w:pos="2155"/>
        </w:tabs>
        <w:spacing w:after="80"/>
        <w:ind w:left="680"/>
        <w:rPr>
          <w:u w:val="single"/>
        </w:rPr>
      </w:pPr>
      <w:r>
        <w:rPr>
          <w:u w:val="single"/>
        </w:rPr>
        <w:tab/>
      </w:r>
    </w:p>
  </w:footnote>
  <w:footnote w:type="continuationSeparator" w:id="0">
    <w:p w:rsidR="00370CD7" w:rsidRPr="00FC68B7" w:rsidRDefault="00370CD7" w:rsidP="00FC68B7">
      <w:pPr>
        <w:tabs>
          <w:tab w:val="left" w:pos="2155"/>
        </w:tabs>
        <w:spacing w:after="80"/>
        <w:ind w:left="680"/>
        <w:rPr>
          <w:u w:val="single"/>
        </w:rPr>
      </w:pPr>
      <w:r>
        <w:rPr>
          <w:u w:val="single"/>
        </w:rPr>
        <w:tab/>
      </w:r>
    </w:p>
  </w:footnote>
  <w:footnote w:type="continuationNotice" w:id="1">
    <w:p w:rsidR="00370CD7" w:rsidRDefault="00370CD7"/>
  </w:footnote>
  <w:footnote w:id="2">
    <w:p w:rsidR="00F26174" w:rsidRPr="00F26174" w:rsidRDefault="00F26174" w:rsidP="00F26174">
      <w:pPr>
        <w:pStyle w:val="FootnoteText"/>
        <w:widowControl w:val="0"/>
        <w:tabs>
          <w:tab w:val="clear" w:pos="1021"/>
          <w:tab w:val="right" w:pos="1020"/>
        </w:tabs>
        <w:rPr>
          <w:lang w:val="en-US"/>
        </w:rPr>
      </w:pPr>
      <w:r>
        <w:tab/>
      </w:r>
      <w:r>
        <w:rPr>
          <w:rStyle w:val="FootnoteReference"/>
        </w:rPr>
        <w:footnoteRef/>
      </w:r>
      <w:r>
        <w:tab/>
      </w:r>
      <w:proofErr w:type="gramStart"/>
      <w:r>
        <w:t>A</w:t>
      </w:r>
      <w:r w:rsidRPr="00EB2F40">
        <w:t>nnexed to the 1958 Agreement</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pPr>
      <w:pStyle w:val="Header"/>
    </w:pPr>
    <w:r>
      <w:t>ECE/TRANS/2017</w:t>
    </w:r>
    <w:r w:rsidR="006F1285">
      <w:t>/</w:t>
    </w:r>
    <w:r w:rsidR="001440C0">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rsidP="003A5F98">
    <w:pPr>
      <w:pStyle w:val="Header"/>
      <w:jc w:val="right"/>
    </w:pPr>
    <w:r>
      <w:t>ECE/TRANS/2017</w:t>
    </w:r>
    <w:r w:rsidR="006F1285">
      <w:t>/</w:t>
    </w:r>
    <w:r w:rsidR="001440C0">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CB40CF4"/>
    <w:multiLevelType w:val="hybridMultilevel"/>
    <w:tmpl w:val="33D25C0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B72ADC"/>
    <w:multiLevelType w:val="hybridMultilevel"/>
    <w:tmpl w:val="DF509E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8B6FF6"/>
    <w:multiLevelType w:val="hybridMultilevel"/>
    <w:tmpl w:val="4D5E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F6CFF"/>
    <w:multiLevelType w:val="hybridMultilevel"/>
    <w:tmpl w:val="9F18006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55527910"/>
    <w:multiLevelType w:val="hybridMultilevel"/>
    <w:tmpl w:val="7E309474"/>
    <w:lvl w:ilvl="0" w:tplc="9C2239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2"/>
  </w:num>
  <w:num w:numId="18">
    <w:abstractNumId w:val="23"/>
  </w:num>
  <w:num w:numId="19">
    <w:abstractNumId w:val="11"/>
  </w:num>
  <w:num w:numId="20">
    <w:abstractNumId w:val="12"/>
  </w:num>
  <w:num w:numId="21">
    <w:abstractNumId w:val="20"/>
  </w:num>
  <w:num w:numId="22">
    <w:abstractNumId w:val="16"/>
  </w:num>
  <w:num w:numId="23">
    <w:abstractNumId w:val="19"/>
  </w:num>
  <w:num w:numId="2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3748B"/>
    <w:rsid w:val="00050F6B"/>
    <w:rsid w:val="000560A4"/>
    <w:rsid w:val="000678CD"/>
    <w:rsid w:val="00072C8C"/>
    <w:rsid w:val="00081CE0"/>
    <w:rsid w:val="00084D30"/>
    <w:rsid w:val="00090320"/>
    <w:rsid w:val="000931C0"/>
    <w:rsid w:val="000933DB"/>
    <w:rsid w:val="000A2E09"/>
    <w:rsid w:val="000A330C"/>
    <w:rsid w:val="000B175B"/>
    <w:rsid w:val="000B3800"/>
    <w:rsid w:val="000B3A0F"/>
    <w:rsid w:val="000E0415"/>
    <w:rsid w:val="000E081C"/>
    <w:rsid w:val="000E7DED"/>
    <w:rsid w:val="000F7715"/>
    <w:rsid w:val="001342FA"/>
    <w:rsid w:val="001440C0"/>
    <w:rsid w:val="00156B99"/>
    <w:rsid w:val="00161977"/>
    <w:rsid w:val="00166124"/>
    <w:rsid w:val="00184DDA"/>
    <w:rsid w:val="001900CD"/>
    <w:rsid w:val="001A0452"/>
    <w:rsid w:val="001B4B04"/>
    <w:rsid w:val="001B5875"/>
    <w:rsid w:val="001C4B9C"/>
    <w:rsid w:val="001C6663"/>
    <w:rsid w:val="001C7895"/>
    <w:rsid w:val="001D26DF"/>
    <w:rsid w:val="001F1599"/>
    <w:rsid w:val="001F19C4"/>
    <w:rsid w:val="001F3892"/>
    <w:rsid w:val="002043F0"/>
    <w:rsid w:val="00205AAD"/>
    <w:rsid w:val="00211E0B"/>
    <w:rsid w:val="00232575"/>
    <w:rsid w:val="00247258"/>
    <w:rsid w:val="00257CAC"/>
    <w:rsid w:val="0027237A"/>
    <w:rsid w:val="002974E9"/>
    <w:rsid w:val="002A7F94"/>
    <w:rsid w:val="002B109A"/>
    <w:rsid w:val="002C46C4"/>
    <w:rsid w:val="002C6D45"/>
    <w:rsid w:val="002D6E53"/>
    <w:rsid w:val="002F046D"/>
    <w:rsid w:val="002F5A1F"/>
    <w:rsid w:val="00301764"/>
    <w:rsid w:val="003229D8"/>
    <w:rsid w:val="00327FE1"/>
    <w:rsid w:val="00336C97"/>
    <w:rsid w:val="00337F88"/>
    <w:rsid w:val="00342432"/>
    <w:rsid w:val="0035223F"/>
    <w:rsid w:val="00352D4B"/>
    <w:rsid w:val="0035638C"/>
    <w:rsid w:val="00362BDF"/>
    <w:rsid w:val="003672C4"/>
    <w:rsid w:val="00370CD7"/>
    <w:rsid w:val="0038173F"/>
    <w:rsid w:val="003918CF"/>
    <w:rsid w:val="003A46BB"/>
    <w:rsid w:val="003A4EC7"/>
    <w:rsid w:val="003A5F98"/>
    <w:rsid w:val="003A7295"/>
    <w:rsid w:val="003B194B"/>
    <w:rsid w:val="003B1F60"/>
    <w:rsid w:val="003C2CC4"/>
    <w:rsid w:val="003C45F8"/>
    <w:rsid w:val="003D4B23"/>
    <w:rsid w:val="003E278A"/>
    <w:rsid w:val="003E6E0A"/>
    <w:rsid w:val="00413520"/>
    <w:rsid w:val="004325CB"/>
    <w:rsid w:val="00440A07"/>
    <w:rsid w:val="00443868"/>
    <w:rsid w:val="00462880"/>
    <w:rsid w:val="00472764"/>
    <w:rsid w:val="00476F24"/>
    <w:rsid w:val="00480CE7"/>
    <w:rsid w:val="00486E37"/>
    <w:rsid w:val="004C3569"/>
    <w:rsid w:val="004C55B0"/>
    <w:rsid w:val="004F6BA0"/>
    <w:rsid w:val="00503BEA"/>
    <w:rsid w:val="00511975"/>
    <w:rsid w:val="005234E2"/>
    <w:rsid w:val="00533616"/>
    <w:rsid w:val="00535ABA"/>
    <w:rsid w:val="0053768B"/>
    <w:rsid w:val="005420F2"/>
    <w:rsid w:val="0054285C"/>
    <w:rsid w:val="00584173"/>
    <w:rsid w:val="00595520"/>
    <w:rsid w:val="005A44B9"/>
    <w:rsid w:val="005A57D3"/>
    <w:rsid w:val="005A665C"/>
    <w:rsid w:val="005B1BA0"/>
    <w:rsid w:val="005B3DB3"/>
    <w:rsid w:val="005D15CA"/>
    <w:rsid w:val="005F3066"/>
    <w:rsid w:val="005F3E61"/>
    <w:rsid w:val="0060250B"/>
    <w:rsid w:val="00604DDD"/>
    <w:rsid w:val="006115CC"/>
    <w:rsid w:val="00611FC4"/>
    <w:rsid w:val="006176FB"/>
    <w:rsid w:val="006200AB"/>
    <w:rsid w:val="00630FCB"/>
    <w:rsid w:val="00640B26"/>
    <w:rsid w:val="006770B2"/>
    <w:rsid w:val="00693886"/>
    <w:rsid w:val="006940E1"/>
    <w:rsid w:val="006A2391"/>
    <w:rsid w:val="006A3C72"/>
    <w:rsid w:val="006A7392"/>
    <w:rsid w:val="006B03A1"/>
    <w:rsid w:val="006B67D9"/>
    <w:rsid w:val="006C1223"/>
    <w:rsid w:val="006C2BCE"/>
    <w:rsid w:val="006C4FF8"/>
    <w:rsid w:val="006C5535"/>
    <w:rsid w:val="006D0589"/>
    <w:rsid w:val="006D1107"/>
    <w:rsid w:val="006D601F"/>
    <w:rsid w:val="006E564B"/>
    <w:rsid w:val="006E7154"/>
    <w:rsid w:val="006F1285"/>
    <w:rsid w:val="006F411D"/>
    <w:rsid w:val="006F7327"/>
    <w:rsid w:val="007003CD"/>
    <w:rsid w:val="00705990"/>
    <w:rsid w:val="0070701E"/>
    <w:rsid w:val="00724F82"/>
    <w:rsid w:val="0072632A"/>
    <w:rsid w:val="00731518"/>
    <w:rsid w:val="007358E8"/>
    <w:rsid w:val="00736ECE"/>
    <w:rsid w:val="0074408F"/>
    <w:rsid w:val="0074533B"/>
    <w:rsid w:val="00763A07"/>
    <w:rsid w:val="007643BC"/>
    <w:rsid w:val="007942C8"/>
    <w:rsid w:val="007959FE"/>
    <w:rsid w:val="007A0CF1"/>
    <w:rsid w:val="007B6BA5"/>
    <w:rsid w:val="007C3390"/>
    <w:rsid w:val="007C42D8"/>
    <w:rsid w:val="007C4F4B"/>
    <w:rsid w:val="007D7362"/>
    <w:rsid w:val="007E707D"/>
    <w:rsid w:val="007F29C6"/>
    <w:rsid w:val="007F33C7"/>
    <w:rsid w:val="007F5CE2"/>
    <w:rsid w:val="007F6611"/>
    <w:rsid w:val="00810BAC"/>
    <w:rsid w:val="008175E9"/>
    <w:rsid w:val="008242D7"/>
    <w:rsid w:val="0082577B"/>
    <w:rsid w:val="00866893"/>
    <w:rsid w:val="00866F02"/>
    <w:rsid w:val="00867D18"/>
    <w:rsid w:val="008704D3"/>
    <w:rsid w:val="00871F9A"/>
    <w:rsid w:val="00871FD5"/>
    <w:rsid w:val="0088172E"/>
    <w:rsid w:val="00881EFA"/>
    <w:rsid w:val="008879CB"/>
    <w:rsid w:val="008979B1"/>
    <w:rsid w:val="008A071E"/>
    <w:rsid w:val="008A6B25"/>
    <w:rsid w:val="008A6C4F"/>
    <w:rsid w:val="008B2F91"/>
    <w:rsid w:val="008B389E"/>
    <w:rsid w:val="008D045E"/>
    <w:rsid w:val="008D3F25"/>
    <w:rsid w:val="008D4D82"/>
    <w:rsid w:val="008E0E46"/>
    <w:rsid w:val="008E7116"/>
    <w:rsid w:val="008F143B"/>
    <w:rsid w:val="008F35CF"/>
    <w:rsid w:val="008F3882"/>
    <w:rsid w:val="008F4B7C"/>
    <w:rsid w:val="0091499D"/>
    <w:rsid w:val="00926E47"/>
    <w:rsid w:val="00934F00"/>
    <w:rsid w:val="00947162"/>
    <w:rsid w:val="00947BC6"/>
    <w:rsid w:val="00952BE3"/>
    <w:rsid w:val="00953926"/>
    <w:rsid w:val="009610D0"/>
    <w:rsid w:val="0096375C"/>
    <w:rsid w:val="00965CDA"/>
    <w:rsid w:val="009662E6"/>
    <w:rsid w:val="0097095E"/>
    <w:rsid w:val="009729AF"/>
    <w:rsid w:val="0098592B"/>
    <w:rsid w:val="00985FC4"/>
    <w:rsid w:val="00986CD8"/>
    <w:rsid w:val="00990766"/>
    <w:rsid w:val="00991261"/>
    <w:rsid w:val="009964C4"/>
    <w:rsid w:val="009A7641"/>
    <w:rsid w:val="009A7B81"/>
    <w:rsid w:val="009B3E02"/>
    <w:rsid w:val="009C6B23"/>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325D"/>
    <w:rsid w:val="00B37B15"/>
    <w:rsid w:val="00B45C02"/>
    <w:rsid w:val="00B72A1E"/>
    <w:rsid w:val="00B81E12"/>
    <w:rsid w:val="00B8468D"/>
    <w:rsid w:val="00B94A8D"/>
    <w:rsid w:val="00BA339B"/>
    <w:rsid w:val="00BA34FD"/>
    <w:rsid w:val="00BB3C4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B42"/>
    <w:rsid w:val="00C10F41"/>
    <w:rsid w:val="00C463DD"/>
    <w:rsid w:val="00C61571"/>
    <w:rsid w:val="00C62B50"/>
    <w:rsid w:val="00C6427A"/>
    <w:rsid w:val="00C745C3"/>
    <w:rsid w:val="00CA24A4"/>
    <w:rsid w:val="00CA2A13"/>
    <w:rsid w:val="00CB33F3"/>
    <w:rsid w:val="00CB348D"/>
    <w:rsid w:val="00CD46F5"/>
    <w:rsid w:val="00CE4A8F"/>
    <w:rsid w:val="00CE539E"/>
    <w:rsid w:val="00CF071D"/>
    <w:rsid w:val="00CF3879"/>
    <w:rsid w:val="00CF4CB8"/>
    <w:rsid w:val="00D04DF3"/>
    <w:rsid w:val="00D15B04"/>
    <w:rsid w:val="00D2031B"/>
    <w:rsid w:val="00D21A45"/>
    <w:rsid w:val="00D255E4"/>
    <w:rsid w:val="00D25FE2"/>
    <w:rsid w:val="00D37DA9"/>
    <w:rsid w:val="00D406A7"/>
    <w:rsid w:val="00D43252"/>
    <w:rsid w:val="00D44D86"/>
    <w:rsid w:val="00D50B7D"/>
    <w:rsid w:val="00D52012"/>
    <w:rsid w:val="00D704E5"/>
    <w:rsid w:val="00D72727"/>
    <w:rsid w:val="00D743B4"/>
    <w:rsid w:val="00D955D4"/>
    <w:rsid w:val="00D978C6"/>
    <w:rsid w:val="00DA0956"/>
    <w:rsid w:val="00DA357F"/>
    <w:rsid w:val="00DA3E12"/>
    <w:rsid w:val="00DC18AD"/>
    <w:rsid w:val="00DD0DAE"/>
    <w:rsid w:val="00DF7CAE"/>
    <w:rsid w:val="00E002CF"/>
    <w:rsid w:val="00E423C0"/>
    <w:rsid w:val="00E437D6"/>
    <w:rsid w:val="00E6414C"/>
    <w:rsid w:val="00E7260F"/>
    <w:rsid w:val="00E76895"/>
    <w:rsid w:val="00E8702D"/>
    <w:rsid w:val="00E916A9"/>
    <w:rsid w:val="00E916DE"/>
    <w:rsid w:val="00E925AD"/>
    <w:rsid w:val="00E96630"/>
    <w:rsid w:val="00EB2F40"/>
    <w:rsid w:val="00EB4390"/>
    <w:rsid w:val="00ED18DC"/>
    <w:rsid w:val="00ED6201"/>
    <w:rsid w:val="00ED7A2A"/>
    <w:rsid w:val="00EE13A2"/>
    <w:rsid w:val="00EE5092"/>
    <w:rsid w:val="00EF1D7F"/>
    <w:rsid w:val="00F0137E"/>
    <w:rsid w:val="00F05593"/>
    <w:rsid w:val="00F11D36"/>
    <w:rsid w:val="00F165F7"/>
    <w:rsid w:val="00F21786"/>
    <w:rsid w:val="00F26174"/>
    <w:rsid w:val="00F3742B"/>
    <w:rsid w:val="00F41FDB"/>
    <w:rsid w:val="00F507EC"/>
    <w:rsid w:val="00F54435"/>
    <w:rsid w:val="00F56D63"/>
    <w:rsid w:val="00F609A9"/>
    <w:rsid w:val="00F72BE2"/>
    <w:rsid w:val="00F80C99"/>
    <w:rsid w:val="00F867EC"/>
    <w:rsid w:val="00F91B2B"/>
    <w:rsid w:val="00F94C47"/>
    <w:rsid w:val="00FC03CD"/>
    <w:rsid w:val="00FC0646"/>
    <w:rsid w:val="00FC43A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2F5A1F"/>
    <w:rPr>
      <w:lang w:eastAsia="en-US"/>
    </w:rPr>
  </w:style>
  <w:style w:type="character" w:styleId="CommentReference">
    <w:name w:val="annotation reference"/>
    <w:basedOn w:val="DefaultParagraphFont"/>
    <w:semiHidden/>
    <w:unhideWhenUsed/>
    <w:rsid w:val="00E002CF"/>
    <w:rPr>
      <w:sz w:val="16"/>
      <w:szCs w:val="16"/>
    </w:rPr>
  </w:style>
  <w:style w:type="paragraph" w:styleId="CommentText">
    <w:name w:val="annotation text"/>
    <w:basedOn w:val="Normal"/>
    <w:link w:val="CommentTextChar"/>
    <w:unhideWhenUsed/>
    <w:rsid w:val="00E002CF"/>
    <w:pPr>
      <w:spacing w:line="240" w:lineRule="auto"/>
    </w:pPr>
  </w:style>
  <w:style w:type="character" w:customStyle="1" w:styleId="CommentTextChar">
    <w:name w:val="Comment Text Char"/>
    <w:basedOn w:val="DefaultParagraphFont"/>
    <w:link w:val="CommentText"/>
    <w:semiHidden/>
    <w:rsid w:val="00E002CF"/>
    <w:rPr>
      <w:lang w:eastAsia="en-US"/>
    </w:rPr>
  </w:style>
  <w:style w:type="paragraph" w:styleId="CommentSubject">
    <w:name w:val="annotation subject"/>
    <w:basedOn w:val="CommentText"/>
    <w:next w:val="CommentText"/>
    <w:link w:val="CommentSubjectChar"/>
    <w:semiHidden/>
    <w:unhideWhenUsed/>
    <w:rsid w:val="00E002CF"/>
    <w:rPr>
      <w:b/>
      <w:bCs/>
    </w:rPr>
  </w:style>
  <w:style w:type="character" w:customStyle="1" w:styleId="CommentSubjectChar">
    <w:name w:val="Comment Subject Char"/>
    <w:basedOn w:val="CommentTextChar"/>
    <w:link w:val="CommentSubject"/>
    <w:semiHidden/>
    <w:rsid w:val="00E002CF"/>
    <w:rPr>
      <w:b/>
      <w:bCs/>
      <w:lang w:eastAsia="en-US"/>
    </w:rPr>
  </w:style>
  <w:style w:type="paragraph" w:styleId="ListParagraph">
    <w:name w:val="List Paragraph"/>
    <w:basedOn w:val="Normal"/>
    <w:uiPriority w:val="34"/>
    <w:qFormat/>
    <w:rsid w:val="00093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2F5A1F"/>
    <w:rPr>
      <w:lang w:eastAsia="en-US"/>
    </w:rPr>
  </w:style>
  <w:style w:type="character" w:styleId="CommentReference">
    <w:name w:val="annotation reference"/>
    <w:basedOn w:val="DefaultParagraphFont"/>
    <w:semiHidden/>
    <w:unhideWhenUsed/>
    <w:rsid w:val="00E002CF"/>
    <w:rPr>
      <w:sz w:val="16"/>
      <w:szCs w:val="16"/>
    </w:rPr>
  </w:style>
  <w:style w:type="paragraph" w:styleId="CommentText">
    <w:name w:val="annotation text"/>
    <w:basedOn w:val="Normal"/>
    <w:link w:val="CommentTextChar"/>
    <w:unhideWhenUsed/>
    <w:rsid w:val="00E002CF"/>
    <w:pPr>
      <w:spacing w:line="240" w:lineRule="auto"/>
    </w:pPr>
  </w:style>
  <w:style w:type="character" w:customStyle="1" w:styleId="CommentTextChar">
    <w:name w:val="Comment Text Char"/>
    <w:basedOn w:val="DefaultParagraphFont"/>
    <w:link w:val="CommentText"/>
    <w:semiHidden/>
    <w:rsid w:val="00E002CF"/>
    <w:rPr>
      <w:lang w:eastAsia="en-US"/>
    </w:rPr>
  </w:style>
  <w:style w:type="paragraph" w:styleId="CommentSubject">
    <w:name w:val="annotation subject"/>
    <w:basedOn w:val="CommentText"/>
    <w:next w:val="CommentText"/>
    <w:link w:val="CommentSubjectChar"/>
    <w:semiHidden/>
    <w:unhideWhenUsed/>
    <w:rsid w:val="00E002CF"/>
    <w:rPr>
      <w:b/>
      <w:bCs/>
    </w:rPr>
  </w:style>
  <w:style w:type="character" w:customStyle="1" w:styleId="CommentSubjectChar">
    <w:name w:val="Comment Subject Char"/>
    <w:basedOn w:val="CommentTextChar"/>
    <w:link w:val="CommentSubject"/>
    <w:semiHidden/>
    <w:rsid w:val="00E002CF"/>
    <w:rPr>
      <w:b/>
      <w:bCs/>
      <w:lang w:eastAsia="en-US"/>
    </w:rPr>
  </w:style>
  <w:style w:type="paragraph" w:styleId="ListParagraph">
    <w:name w:val="List Paragraph"/>
    <w:basedOn w:val="Normal"/>
    <w:uiPriority w:val="34"/>
    <w:qFormat/>
    <w:rsid w:val="0009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92743">
      <w:bodyDiv w:val="1"/>
      <w:marLeft w:val="0"/>
      <w:marRight w:val="0"/>
      <w:marTop w:val="0"/>
      <w:marBottom w:val="0"/>
      <w:divBdr>
        <w:top w:val="none" w:sz="0" w:space="0" w:color="auto"/>
        <w:left w:val="none" w:sz="0" w:space="0" w:color="auto"/>
        <w:bottom w:val="none" w:sz="0" w:space="0" w:color="auto"/>
        <w:right w:val="none" w:sz="0" w:space="0" w:color="auto"/>
      </w:divBdr>
    </w:div>
    <w:div w:id="21171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AAA9-488C-47A4-9506-1C27D770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19</TotalTime>
  <Pages>5</Pages>
  <Words>1982</Words>
  <Characters>11401</Characters>
  <Application>Microsoft Office Word</Application>
  <DocSecurity>0</DocSecurity>
  <Lines>190</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9</cp:revision>
  <cp:lastPrinted>2016-12-12T10:13:00Z</cp:lastPrinted>
  <dcterms:created xsi:type="dcterms:W3CDTF">2016-12-12T17:03:00Z</dcterms:created>
  <dcterms:modified xsi:type="dcterms:W3CDTF">2016-12-12T17:22:00Z</dcterms:modified>
</cp:coreProperties>
</file>