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977"/>
      </w:tblGrid>
      <w:tr w:rsidR="00726856" w:rsidTr="0072685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26856" w:rsidRDefault="00726856" w:rsidP="00AA067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26856" w:rsidRPr="00B97172" w:rsidRDefault="00726856" w:rsidP="00AA0679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bottom"/>
          </w:tcPr>
          <w:p w:rsidR="00726856" w:rsidRPr="00D47EEA" w:rsidRDefault="00F538FC" w:rsidP="00F538FC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INF.34</w:t>
            </w:r>
          </w:p>
        </w:tc>
      </w:tr>
      <w:tr w:rsidR="00F538FC" w:rsidTr="00F538FC">
        <w:trPr>
          <w:cantSplit/>
          <w:trHeight w:hRule="exact" w:val="3832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538FC" w:rsidRDefault="00F538FC" w:rsidP="00F538FC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F538FC" w:rsidRDefault="00F538FC" w:rsidP="00F538F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F538FC" w:rsidRDefault="00F538FC" w:rsidP="00F538FC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F538FC" w:rsidRDefault="00F538FC" w:rsidP="00F538FC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F538FC" w:rsidRDefault="00F538FC" w:rsidP="00F538FC">
            <w:pPr>
              <w:spacing w:before="12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Thirty</w:t>
            </w:r>
            <w:proofErr w:type="spellEnd"/>
            <w:r>
              <w:rPr>
                <w:b/>
                <w:lang w:val="fr-FR"/>
              </w:rPr>
              <w:t>-first session</w:t>
            </w:r>
          </w:p>
          <w:p w:rsidR="00F538FC" w:rsidRPr="00522773" w:rsidRDefault="00F538FC" w:rsidP="00F538FC">
            <w:r>
              <w:rPr>
                <w:lang w:val="fr-FR"/>
              </w:rPr>
              <w:t>Geneva, 28-31 August 2017</w:t>
            </w:r>
            <w:r>
              <w:br/>
            </w:r>
            <w:r w:rsidRPr="00522773">
              <w:t xml:space="preserve">Item </w:t>
            </w:r>
            <w:r>
              <w:t xml:space="preserve">4 </w:t>
            </w:r>
            <w:r>
              <w:t>(</w:t>
            </w:r>
            <w:r>
              <w:t>b</w:t>
            </w:r>
            <w:r>
              <w:t xml:space="preserve">) </w:t>
            </w:r>
            <w:r w:rsidRPr="00522773">
              <w:t>of the provisional agenda</w:t>
            </w:r>
          </w:p>
          <w:p w:rsidR="00F538FC" w:rsidRPr="004671C1" w:rsidRDefault="00F538FC" w:rsidP="00F538FC">
            <w:pPr>
              <w:rPr>
                <w:b/>
              </w:rPr>
            </w:pPr>
            <w:r w:rsidRPr="004671C1">
              <w:rPr>
                <w:b/>
              </w:rPr>
              <w:t>Proposals for amendments to the Regulations annexed to ADN:</w:t>
            </w:r>
          </w:p>
          <w:p w:rsidR="00F538FC" w:rsidRPr="004671C1" w:rsidRDefault="00F538FC" w:rsidP="00F538FC">
            <w:pPr>
              <w:rPr>
                <w:b/>
                <w:bCs/>
              </w:rPr>
            </w:pPr>
            <w:r>
              <w:rPr>
                <w:b/>
              </w:rPr>
              <w:t>w</w:t>
            </w:r>
            <w:r w:rsidRPr="004671C1">
              <w:rPr>
                <w:b/>
              </w:rPr>
              <w:t>ork o</w:t>
            </w:r>
            <w:r>
              <w:rPr>
                <w:b/>
              </w:rPr>
              <w:t>f the RID/ADR/ADN Joint Meeting</w:t>
            </w:r>
          </w:p>
          <w:p w:rsidR="00F538FC" w:rsidRPr="00D773DF" w:rsidRDefault="00F538FC" w:rsidP="00F538FC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</w:rPr>
              <w:t>i</w:t>
            </w:r>
            <w:r w:rsidRPr="00EA1D69">
              <w:rPr>
                <w:b/>
              </w:rPr>
              <w:t>nterpretation of the Regulations annexed to ADN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F538FC" w:rsidRDefault="00F538FC" w:rsidP="00AA0679">
            <w:pPr>
              <w:suppressAutoHyphens w:val="0"/>
            </w:pPr>
          </w:p>
          <w:p w:rsidR="00F538FC" w:rsidRDefault="00F538FC" w:rsidP="00AA0679">
            <w:pPr>
              <w:suppressAutoHyphens w:val="0"/>
            </w:pPr>
          </w:p>
          <w:p w:rsidR="00F538FC" w:rsidRDefault="00F538FC" w:rsidP="00AA0679">
            <w:pPr>
              <w:suppressAutoHyphens w:val="0"/>
            </w:pPr>
            <w:r>
              <w:t>English</w:t>
            </w:r>
          </w:p>
          <w:p w:rsidR="00F538FC" w:rsidRDefault="00F538FC" w:rsidP="00AA0679">
            <w:pPr>
              <w:suppressAutoHyphens w:val="0"/>
            </w:pPr>
          </w:p>
          <w:p w:rsidR="00F538FC" w:rsidRPr="00F538FC" w:rsidRDefault="00F538FC" w:rsidP="00AA0679">
            <w:pPr>
              <w:suppressAutoHyphens w:val="0"/>
            </w:pPr>
            <w:r w:rsidRPr="00F538FC">
              <w:t>30 August 2017</w:t>
            </w:r>
          </w:p>
          <w:p w:rsidR="00F538FC" w:rsidRDefault="00F538FC" w:rsidP="00AA0679">
            <w:pPr>
              <w:suppressAutoHyphens w:val="0"/>
            </w:pPr>
          </w:p>
          <w:p w:rsidR="00F538FC" w:rsidRDefault="00F538FC" w:rsidP="00AA0679">
            <w:pPr>
              <w:suppressAutoHyphens w:val="0"/>
            </w:pPr>
          </w:p>
        </w:tc>
      </w:tr>
    </w:tbl>
    <w:p w:rsidR="00726856" w:rsidRPr="00726856" w:rsidRDefault="00726856" w:rsidP="00F538FC">
      <w:pPr>
        <w:pStyle w:val="HChG"/>
      </w:pPr>
      <w:r>
        <w:tab/>
      </w:r>
      <w:r w:rsidR="00F538FC">
        <w:tab/>
      </w:r>
      <w:r w:rsidRPr="00726856">
        <w:t xml:space="preserve">Proposal for </w:t>
      </w:r>
      <w:r w:rsidRPr="00F538FC">
        <w:t>amendment</w:t>
      </w:r>
      <w:r w:rsidRPr="00726856">
        <w:t xml:space="preserve"> </w:t>
      </w:r>
      <w:r>
        <w:t>UN2057 (</w:t>
      </w:r>
      <w:proofErr w:type="spellStart"/>
      <w:r>
        <w:t>Tripropylene</w:t>
      </w:r>
      <w:proofErr w:type="spellEnd"/>
      <w:r>
        <w:t xml:space="preserve">) under </w:t>
      </w:r>
      <w:r w:rsidRPr="00726856">
        <w:t>Table C</w:t>
      </w:r>
    </w:p>
    <w:p w:rsidR="00726856" w:rsidRPr="00904652" w:rsidRDefault="00726856" w:rsidP="00726856">
      <w:pPr>
        <w:pStyle w:val="H1G"/>
        <w:rPr>
          <w:szCs w:val="24"/>
        </w:rPr>
      </w:pPr>
      <w:r>
        <w:rPr>
          <w:szCs w:val="24"/>
        </w:rPr>
        <w:tab/>
      </w:r>
      <w:r w:rsidRPr="00904652">
        <w:rPr>
          <w:szCs w:val="24"/>
        </w:rPr>
        <w:t>I.</w:t>
      </w:r>
      <w:r w:rsidRPr="00904652">
        <w:rPr>
          <w:szCs w:val="24"/>
        </w:rPr>
        <w:tab/>
        <w:t>Introduction</w:t>
      </w:r>
    </w:p>
    <w:p w:rsidR="001B2A4F" w:rsidRDefault="001B2A4F" w:rsidP="001B2A4F">
      <w:pPr>
        <w:pStyle w:val="SingleTxtG"/>
      </w:pPr>
      <w:r>
        <w:t>1.</w:t>
      </w:r>
      <w:r>
        <w:tab/>
      </w:r>
      <w:r w:rsidRPr="003E14B2">
        <w:t>At the 29</w:t>
      </w:r>
      <w:r w:rsidRPr="003E14B2">
        <w:rPr>
          <w:vertAlign w:val="superscript"/>
        </w:rPr>
        <w:t>th</w:t>
      </w:r>
      <w:r w:rsidRPr="003E14B2">
        <w:t xml:space="preserve"> session of the ADN Safety Committee (August 2016), CEFIC submitted for consideration document </w:t>
      </w:r>
      <w:r w:rsidRPr="003E14B2">
        <w:rPr>
          <w:snapToGrid w:val="0"/>
          <w:lang w:eastAsia="fr-FR" w:bidi="fr-FR"/>
        </w:rPr>
        <w:t>CCNR-ZKR/ADN/WP.15/AC.2/29/INF.</w:t>
      </w:r>
      <w:r w:rsidRPr="00D150DD">
        <w:rPr>
          <w:snapToGrid w:val="0"/>
          <w:color w:val="FF0000"/>
          <w:lang w:eastAsia="fr-FR" w:bidi="fr-FR"/>
        </w:rPr>
        <w:t>PP</w:t>
      </w:r>
      <w:r w:rsidRPr="00D150DD">
        <w:rPr>
          <w:color w:val="FF0000"/>
        </w:rPr>
        <w:t xml:space="preserve">, </w:t>
      </w:r>
      <w:r w:rsidRPr="003E14B2">
        <w:t xml:space="preserve">containing a proposal by ExxonMobil Chemical Company </w:t>
      </w:r>
      <w:r w:rsidR="0037709E" w:rsidRPr="003E14B2">
        <w:t>to amend UN2057 (</w:t>
      </w:r>
      <w:proofErr w:type="spellStart"/>
      <w:r w:rsidR="0037709E" w:rsidRPr="003E14B2">
        <w:t>Tripropylene</w:t>
      </w:r>
      <w:proofErr w:type="spellEnd"/>
      <w:r w:rsidR="0037709E" w:rsidRPr="003E14B2">
        <w:t>) PG</w:t>
      </w:r>
      <w:r w:rsidR="003737DF">
        <w:t xml:space="preserve"> II &amp; </w:t>
      </w:r>
      <w:r w:rsidR="0037709E" w:rsidRPr="003E14B2">
        <w:t>I</w:t>
      </w:r>
      <w:r w:rsidR="00D150DD">
        <w:t>I</w:t>
      </w:r>
      <w:r w:rsidR="0037709E" w:rsidRPr="003E14B2">
        <w:t>I entry under Table C.</w:t>
      </w:r>
    </w:p>
    <w:p w:rsidR="008B3D63" w:rsidRDefault="001B2A4F" w:rsidP="001B2A4F">
      <w:pPr>
        <w:pStyle w:val="SingleTxtG"/>
      </w:pPr>
      <w:r>
        <w:t>2.</w:t>
      </w:r>
      <w:r>
        <w:tab/>
        <w:t xml:space="preserve">The proposal intended to </w:t>
      </w:r>
      <w:r w:rsidR="008B3D63">
        <w:t xml:space="preserve">update current classification of </w:t>
      </w:r>
      <w:r w:rsidR="008B3D63" w:rsidRPr="003E14B2">
        <w:t>UN2057 (</w:t>
      </w:r>
      <w:proofErr w:type="spellStart"/>
      <w:r w:rsidR="008B3D63" w:rsidRPr="003E14B2">
        <w:t>Tripropylene</w:t>
      </w:r>
      <w:proofErr w:type="spellEnd"/>
      <w:r w:rsidR="008B3D63" w:rsidRPr="003E14B2">
        <w:t>) PG I</w:t>
      </w:r>
      <w:r w:rsidR="00760DA5">
        <w:t>I &amp; I</w:t>
      </w:r>
      <w:r w:rsidR="00D150DD">
        <w:t>I</w:t>
      </w:r>
      <w:r w:rsidR="008B3D63" w:rsidRPr="003E14B2">
        <w:t xml:space="preserve">I </w:t>
      </w:r>
      <w:r w:rsidR="008B3D63">
        <w:t xml:space="preserve">in Table C of ADN based upon the European CLP Regulation on Classification, Labelling and Packaging of chemical substances and mixture. </w:t>
      </w:r>
    </w:p>
    <w:p w:rsidR="00F538FC" w:rsidRDefault="008B3D63" w:rsidP="008B3D63">
      <w:pPr>
        <w:pStyle w:val="SingleTxtG"/>
      </w:pPr>
      <w:r w:rsidRPr="008B3D63">
        <w:t xml:space="preserve">According to the COMMISSION REGULATION (EU) No 286/2011 and the industry-aligned environmental classification under GHS, </w:t>
      </w:r>
      <w:proofErr w:type="spellStart"/>
      <w:r w:rsidRPr="008B3D63">
        <w:t>Tripropylene</w:t>
      </w:r>
      <w:proofErr w:type="spellEnd"/>
      <w:r w:rsidRPr="008B3D63">
        <w:t xml:space="preserve"> – with a Vapour pressure at 50ºC of 5 </w:t>
      </w:r>
      <w:proofErr w:type="spellStart"/>
      <w:r w:rsidRPr="008B3D63">
        <w:t>kPa</w:t>
      </w:r>
      <w:proofErr w:type="spellEnd"/>
      <w:r w:rsidRPr="008B3D63">
        <w:t xml:space="preserve"> -  is classified as aquatic toxicity acute category 1, and this requires to be assigned to group “N1” and not “N3” (as it is in the current version of the code). </w:t>
      </w:r>
      <w:proofErr w:type="gramStart"/>
      <w:r w:rsidRPr="008B3D63">
        <w:t>Therefore</w:t>
      </w:r>
      <w:proofErr w:type="gramEnd"/>
      <w:r w:rsidRPr="008B3D63">
        <w:t xml:space="preserve"> it is required to use a tank vessel type C22.</w:t>
      </w:r>
    </w:p>
    <w:p w:rsidR="00F538FC" w:rsidRDefault="00F538FC">
      <w:pPr>
        <w:suppressAutoHyphens w:val="0"/>
        <w:spacing w:after="160" w:line="259" w:lineRule="auto"/>
      </w:pPr>
      <w:r>
        <w:br w:type="page"/>
      </w:r>
    </w:p>
    <w:p w:rsidR="008B3D63" w:rsidRDefault="008B3D63" w:rsidP="00F538FC">
      <w:pPr>
        <w:tabs>
          <w:tab w:val="left" w:pos="1701"/>
        </w:tabs>
        <w:spacing w:before="240" w:after="240"/>
        <w:ind w:left="1134" w:right="1134"/>
        <w:jc w:val="both"/>
        <w:rPr>
          <w:b/>
        </w:rPr>
      </w:pPr>
      <w:r>
        <w:lastRenderedPageBreak/>
        <w:t xml:space="preserve">The following amendments </w:t>
      </w:r>
      <w:proofErr w:type="gramStart"/>
      <w:r>
        <w:t>should be made</w:t>
      </w:r>
      <w:proofErr w:type="gramEnd"/>
      <w:r>
        <w:t xml:space="preserve"> to Table C:</w:t>
      </w:r>
    </w:p>
    <w:tbl>
      <w:tblPr>
        <w:tblW w:w="5152" w:type="pct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868"/>
        <w:gridCol w:w="372"/>
        <w:gridCol w:w="620"/>
        <w:gridCol w:w="249"/>
        <w:gridCol w:w="493"/>
        <w:gridCol w:w="366"/>
        <w:gridCol w:w="372"/>
        <w:gridCol w:w="370"/>
        <w:gridCol w:w="493"/>
        <w:gridCol w:w="491"/>
        <w:gridCol w:w="491"/>
        <w:gridCol w:w="368"/>
        <w:gridCol w:w="368"/>
        <w:gridCol w:w="368"/>
        <w:gridCol w:w="493"/>
        <w:gridCol w:w="368"/>
        <w:gridCol w:w="368"/>
        <w:gridCol w:w="493"/>
        <w:gridCol w:w="570"/>
        <w:gridCol w:w="565"/>
      </w:tblGrid>
      <w:tr w:rsidR="00FA1D2B" w:rsidRPr="0072499B" w:rsidTr="003737DF">
        <w:trPr>
          <w:cantSplit/>
          <w:trHeight w:val="494"/>
        </w:trPr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UN Nr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Name and description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Class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Classification</w:t>
            </w:r>
          </w:p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Code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PG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Dangers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Type of tank vessel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Cargo tank design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Cargo tank type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Cargo tank equipment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 xml:space="preserve">Opening Pressure of the high-velocity    vent valve in </w:t>
            </w:r>
            <w:proofErr w:type="spellStart"/>
            <w:r w:rsidRPr="0072499B">
              <w:rPr>
                <w:sz w:val="10"/>
                <w:szCs w:val="10"/>
              </w:rPr>
              <w:t>kPa</w:t>
            </w:r>
            <w:proofErr w:type="spellEnd"/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Maximum degree of filling %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Relative density at 20ºC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Type of sampling devices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Pump room below deck permitted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 xml:space="preserve">Temperature class 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Explosion group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Anti-explosion protection required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Equipment required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Number of cones/blue lights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Additional requirements/ Remarks</w:t>
            </w:r>
          </w:p>
        </w:tc>
      </w:tr>
      <w:tr w:rsidR="00FA1D2B" w:rsidRPr="0072499B" w:rsidTr="00FA1D2B">
        <w:trPr>
          <w:cantSplit/>
          <w:trHeight w:val="256"/>
        </w:trPr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(1)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(2)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(3a)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(3b)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(4)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(5)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(6)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(7)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(8)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(9)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(10)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(11)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(12)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(13)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(14)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(15)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(16)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(17)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(18)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(19)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jc w:val="center"/>
              <w:rPr>
                <w:sz w:val="10"/>
                <w:szCs w:val="10"/>
              </w:rPr>
            </w:pPr>
          </w:p>
        </w:tc>
      </w:tr>
      <w:tr w:rsidR="00FA1D2B" w:rsidRPr="0072499B" w:rsidTr="00FA1D2B">
        <w:trPr>
          <w:cantSplit/>
          <w:trHeight w:val="387"/>
        </w:trPr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2057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TRIPROPYLENE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3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F1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72499B" w:rsidRDefault="00FA1D2B" w:rsidP="003737DF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II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0F3129" w:rsidRDefault="00FA1D2B" w:rsidP="002E56E6">
            <w:pPr>
              <w:spacing w:before="40" w:after="120"/>
              <w:ind w:right="113"/>
              <w:rPr>
                <w:sz w:val="10"/>
                <w:szCs w:val="10"/>
                <w:highlight w:val="yellow"/>
              </w:rPr>
            </w:pPr>
            <w:r w:rsidRPr="000F3129">
              <w:rPr>
                <w:sz w:val="10"/>
                <w:szCs w:val="10"/>
                <w:highlight w:val="yellow"/>
              </w:rPr>
              <w:t>Change “3 +N3” into “3 + N1”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0F3129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  <w:highlight w:val="yellow"/>
              </w:rPr>
            </w:pPr>
            <w:r w:rsidRPr="000F3129">
              <w:rPr>
                <w:sz w:val="10"/>
                <w:szCs w:val="10"/>
                <w:highlight w:val="yellow"/>
              </w:rPr>
              <w:t>Change “N” into “C”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0F3129" w:rsidRDefault="00FA1D2B" w:rsidP="002E56E6">
            <w:pPr>
              <w:spacing w:before="40" w:after="120"/>
              <w:ind w:right="113"/>
              <w:jc w:val="center"/>
              <w:rPr>
                <w:sz w:val="10"/>
                <w:szCs w:val="10"/>
                <w:highlight w:val="yellow"/>
              </w:rPr>
            </w:pPr>
            <w:r w:rsidRPr="000F3129">
              <w:rPr>
                <w:sz w:val="10"/>
                <w:szCs w:val="10"/>
                <w:highlight w:val="yellow"/>
              </w:rPr>
              <w:t>2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D2B" w:rsidRPr="000F3129" w:rsidRDefault="00FA1D2B" w:rsidP="002E56E6">
            <w:pPr>
              <w:spacing w:before="40" w:after="120"/>
              <w:ind w:right="113"/>
              <w:rPr>
                <w:sz w:val="10"/>
                <w:szCs w:val="10"/>
                <w:highlight w:val="yellow"/>
              </w:rPr>
            </w:pPr>
            <w:r w:rsidRPr="000F3129">
              <w:rPr>
                <w:sz w:val="10"/>
                <w:szCs w:val="10"/>
                <w:highlight w:val="yellow"/>
              </w:rPr>
              <w:t>“3” into “2”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97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3737DF" w:rsidP="002E56E6">
            <w:pPr>
              <w:spacing w:before="40" w:after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0.74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  <w:highlight w:val="cyan"/>
              </w:rPr>
              <w:t>2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yes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T3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 xml:space="preserve">IIB </w:t>
            </w:r>
            <w:r w:rsidRPr="0072499B">
              <w:rPr>
                <w:sz w:val="10"/>
                <w:szCs w:val="10"/>
                <w:vertAlign w:val="superscript"/>
              </w:rPr>
              <w:t>4)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yes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PP, EX, A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41625D" w:rsidP="002E56E6">
            <w:pPr>
              <w:spacing w:before="40" w:after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D2B" w:rsidRPr="0072499B" w:rsidRDefault="00FA1D2B" w:rsidP="002E56E6">
            <w:pPr>
              <w:spacing w:before="40" w:after="120"/>
              <w:rPr>
                <w:sz w:val="10"/>
                <w:szCs w:val="10"/>
              </w:rPr>
            </w:pPr>
          </w:p>
        </w:tc>
      </w:tr>
      <w:tr w:rsidR="003737DF" w:rsidRPr="0072499B" w:rsidTr="00FA1D2B">
        <w:trPr>
          <w:cantSplit/>
          <w:trHeight w:val="387"/>
        </w:trPr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2057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TRIPROPYLENE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3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F1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ind w:right="113"/>
              <w:jc w:val="center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III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0F3129" w:rsidRDefault="003737DF" w:rsidP="003737DF">
            <w:pPr>
              <w:spacing w:before="40" w:after="120"/>
              <w:ind w:right="113"/>
              <w:rPr>
                <w:sz w:val="10"/>
                <w:szCs w:val="10"/>
                <w:highlight w:val="yellow"/>
              </w:rPr>
            </w:pPr>
            <w:r w:rsidRPr="000F3129">
              <w:rPr>
                <w:sz w:val="10"/>
                <w:szCs w:val="10"/>
                <w:highlight w:val="yellow"/>
              </w:rPr>
              <w:t>Change “3 +N3” into “3 + N1”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0F3129" w:rsidRDefault="003737DF" w:rsidP="003737DF">
            <w:pPr>
              <w:spacing w:before="40" w:after="120"/>
              <w:ind w:right="113"/>
              <w:jc w:val="center"/>
              <w:rPr>
                <w:sz w:val="10"/>
                <w:szCs w:val="10"/>
                <w:highlight w:val="yellow"/>
              </w:rPr>
            </w:pPr>
            <w:r w:rsidRPr="000F3129">
              <w:rPr>
                <w:sz w:val="10"/>
                <w:szCs w:val="10"/>
                <w:highlight w:val="yellow"/>
              </w:rPr>
              <w:t>Change “N” into “C”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0F3129" w:rsidRDefault="003737DF" w:rsidP="003737DF">
            <w:pPr>
              <w:spacing w:before="40" w:after="120"/>
              <w:ind w:right="113"/>
              <w:jc w:val="center"/>
              <w:rPr>
                <w:sz w:val="10"/>
                <w:szCs w:val="10"/>
                <w:highlight w:val="yellow"/>
              </w:rPr>
            </w:pPr>
            <w:r w:rsidRPr="000F3129">
              <w:rPr>
                <w:sz w:val="10"/>
                <w:szCs w:val="10"/>
                <w:highlight w:val="yellow"/>
              </w:rPr>
              <w:t>“3” into “2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0F3129" w:rsidRDefault="003737DF" w:rsidP="003737DF">
            <w:pPr>
              <w:spacing w:before="40" w:after="120"/>
              <w:ind w:right="113"/>
              <w:rPr>
                <w:sz w:val="10"/>
                <w:szCs w:val="10"/>
                <w:highlight w:val="yellow"/>
              </w:rPr>
            </w:pPr>
            <w:r w:rsidRPr="000F3129">
              <w:rPr>
                <w:sz w:val="10"/>
                <w:szCs w:val="10"/>
                <w:highlight w:val="yellow"/>
              </w:rPr>
              <w:t>“3” into “2”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rPr>
                <w:sz w:val="10"/>
                <w:szCs w:val="1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rPr>
                <w:sz w:val="10"/>
                <w:szCs w:val="1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97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0.73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  <w:highlight w:val="cyan"/>
              </w:rPr>
              <w:t>2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yes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T3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 xml:space="preserve">IIB </w:t>
            </w:r>
            <w:r w:rsidRPr="0072499B">
              <w:rPr>
                <w:sz w:val="10"/>
                <w:szCs w:val="10"/>
                <w:vertAlign w:val="superscript"/>
              </w:rPr>
              <w:t>4)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yes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PP, EX, A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rPr>
                <w:sz w:val="10"/>
                <w:szCs w:val="10"/>
              </w:rPr>
            </w:pPr>
            <w:r w:rsidRPr="0072499B">
              <w:rPr>
                <w:sz w:val="10"/>
                <w:szCs w:val="10"/>
              </w:rPr>
              <w:t>0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7DF" w:rsidRPr="0072499B" w:rsidRDefault="003737DF" w:rsidP="003737DF">
            <w:pPr>
              <w:spacing w:before="40" w:after="120"/>
              <w:rPr>
                <w:sz w:val="10"/>
                <w:szCs w:val="10"/>
              </w:rPr>
            </w:pPr>
          </w:p>
        </w:tc>
      </w:tr>
    </w:tbl>
    <w:p w:rsidR="00FA1D2B" w:rsidRPr="00405DA4" w:rsidRDefault="00FA1D2B" w:rsidP="00FA1D2B">
      <w:pPr>
        <w:rPr>
          <w:sz w:val="12"/>
          <w:szCs w:val="12"/>
        </w:rPr>
      </w:pPr>
    </w:p>
    <w:p w:rsidR="000E1873" w:rsidRDefault="001B2A4F" w:rsidP="001B2A4F">
      <w:pPr>
        <w:pStyle w:val="SingleTxtG"/>
      </w:pPr>
      <w:r>
        <w:t>3.</w:t>
      </w:r>
      <w:r>
        <w:tab/>
      </w:r>
      <w:r w:rsidR="000E1873">
        <w:t xml:space="preserve">At the 29th session, </w:t>
      </w:r>
      <w:r w:rsidR="000E1873" w:rsidRPr="00FA1D2B">
        <w:t>t</w:t>
      </w:r>
      <w:r w:rsidR="008B3D63" w:rsidRPr="00FA1D2B">
        <w:t>he Safety Committee accepted the INF-Paper</w:t>
      </w:r>
      <w:r w:rsidRPr="00FA1D2B">
        <w:t xml:space="preserve"> </w:t>
      </w:r>
      <w:r w:rsidR="008B3D63" w:rsidRPr="00FA1D2B">
        <w:t>and</w:t>
      </w:r>
      <w:r w:rsidR="008B3D63">
        <w:t xml:space="preserve"> </w:t>
      </w:r>
      <w:r w:rsidR="000E1873">
        <w:t xml:space="preserve">the CEFIC representative agreed to submit the WP to the next Committee in August for being adopted in the next ADN 2019. </w:t>
      </w:r>
    </w:p>
    <w:p w:rsidR="00FA1D2B" w:rsidRPr="00FA1D2B" w:rsidRDefault="001B2A4F" w:rsidP="00FA1D2B">
      <w:pPr>
        <w:pStyle w:val="SingleTxtG"/>
      </w:pPr>
      <w:r>
        <w:t>4.</w:t>
      </w:r>
      <w:r>
        <w:tab/>
      </w:r>
      <w:r w:rsidR="000E1873">
        <w:t xml:space="preserve">Meanwhile, a Multilateral Agreement </w:t>
      </w:r>
      <w:r w:rsidR="00FA1D2B">
        <w:t>or Special Authorization</w:t>
      </w:r>
      <w:r w:rsidR="000E1873">
        <w:t xml:space="preserve"> </w:t>
      </w:r>
      <w:r w:rsidR="00FA1D2B" w:rsidRPr="00FA1D2B">
        <w:t>(ADN/M 021)</w:t>
      </w:r>
      <w:r w:rsidR="00FA1D2B">
        <w:rPr>
          <w:rFonts w:ascii="Verdana" w:hAnsi="Verdana"/>
          <w:b/>
        </w:rPr>
        <w:t xml:space="preserve"> </w:t>
      </w:r>
      <w:r w:rsidR="000E1873" w:rsidRPr="00FA1D2B">
        <w:t xml:space="preserve">has been requested and submitted to the Chairman of German delegation to be discussed with the Dutch, French and Belgium delegations </w:t>
      </w:r>
      <w:r w:rsidR="00FA1D2B" w:rsidRPr="00FA1D2B">
        <w:t>with</w:t>
      </w:r>
      <w:r w:rsidR="00084EA3">
        <w:t xml:space="preserve"> the aim to carriage UN 2057 </w:t>
      </w:r>
      <w:proofErr w:type="spellStart"/>
      <w:r w:rsidR="00084EA3">
        <w:t>tri</w:t>
      </w:r>
      <w:r w:rsidR="00FA1D2B" w:rsidRPr="00FA1D2B">
        <w:t>propylene</w:t>
      </w:r>
      <w:proofErr w:type="spellEnd"/>
      <w:r w:rsidR="00FA1D2B" w:rsidRPr="00FA1D2B">
        <w:t xml:space="preserve"> </w:t>
      </w:r>
      <w:bookmarkStart w:id="0" w:name="_GoBack"/>
      <w:bookmarkEnd w:id="0"/>
      <w:r w:rsidR="00FA1D2B" w:rsidRPr="00FA1D2B">
        <w:t xml:space="preserve">PG </w:t>
      </w:r>
      <w:r w:rsidR="002C552E">
        <w:t xml:space="preserve">II &amp; </w:t>
      </w:r>
      <w:r w:rsidR="00FA1D2B" w:rsidRPr="00FA1D2B">
        <w:t>III under hazard “N1” if this substance presents a higher environmental hazard, “N1” instead of “N3”, that deviates from the one given in column 5 of Tabl</w:t>
      </w:r>
      <w:r w:rsidR="00937748">
        <w:t>e C in sub-section 3.2.3.2 of ADN</w:t>
      </w:r>
      <w:r w:rsidR="00FA1D2B" w:rsidRPr="00FA1D2B">
        <w:t xml:space="preserve">, just also including hazard “N1” in the transport document. </w:t>
      </w:r>
    </w:p>
    <w:p w:rsidR="00FA1D2B" w:rsidRPr="00FA1D2B" w:rsidRDefault="00FA1D2B" w:rsidP="00FA1D2B">
      <w:pPr>
        <w:pStyle w:val="SingleTxtG"/>
      </w:pPr>
      <w:r w:rsidRPr="00FA1D2B">
        <w:t>In this case, by derogation from columns (6) and (8) of Table C in sub-section 3.2.3.2 of ADN, the substance shall be carried in a type C tank vessel, cargo tank type “2”.</w:t>
      </w:r>
    </w:p>
    <w:p w:rsidR="00FA1D2B" w:rsidRPr="00FA1D2B" w:rsidRDefault="00FA1D2B" w:rsidP="00FA1D2B">
      <w:pPr>
        <w:pStyle w:val="SingleTxtG"/>
      </w:pPr>
      <w:r w:rsidRPr="00FA1D2B">
        <w:t>And, for carriage in accordance with ADN, the following shall be included in the transport document:</w:t>
      </w:r>
    </w:p>
    <w:p w:rsidR="00FA1D2B" w:rsidRPr="00FA1D2B" w:rsidRDefault="00FA1D2B" w:rsidP="00FA1D2B">
      <w:pPr>
        <w:spacing w:line="360" w:lineRule="auto"/>
        <w:ind w:left="1440"/>
        <w:rPr>
          <w:i/>
        </w:rPr>
      </w:pPr>
      <w:r w:rsidRPr="00FA1D2B">
        <w:rPr>
          <w:i/>
        </w:rPr>
        <w:t>“Carriage agreed under the terms of Multilateral Agreement ADN/M 021”</w:t>
      </w:r>
    </w:p>
    <w:p w:rsidR="00FA1D2B" w:rsidRDefault="00FA1D2B" w:rsidP="00FA1D2B">
      <w:pPr>
        <w:spacing w:line="360" w:lineRule="auto"/>
        <w:ind w:left="1134"/>
      </w:pPr>
      <w:r w:rsidRPr="00FA1D2B">
        <w:t xml:space="preserve">This Agreement shall be valid until 31 December 2018 for carriage on the territories of the </w:t>
      </w:r>
    </w:p>
    <w:p w:rsidR="00FA1D2B" w:rsidRPr="00FA1D2B" w:rsidRDefault="00FA1D2B" w:rsidP="00FA1D2B">
      <w:pPr>
        <w:spacing w:line="360" w:lineRule="auto"/>
        <w:ind w:left="1134"/>
      </w:pPr>
      <w:r w:rsidRPr="00FA1D2B">
        <w:t xml:space="preserve">ADN Contracting Parties signatory to this Agreement. </w:t>
      </w:r>
    </w:p>
    <w:p w:rsidR="001B2A4F" w:rsidRPr="00F538FC" w:rsidRDefault="00F538FC" w:rsidP="00F538FC">
      <w:pPr>
        <w:pStyle w:val="SingleTxtG"/>
        <w:spacing w:before="240" w:after="0"/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726856" w:rsidRPr="00405DA4" w:rsidRDefault="00726856" w:rsidP="00726856">
      <w:pPr>
        <w:rPr>
          <w:sz w:val="12"/>
          <w:szCs w:val="12"/>
        </w:rPr>
      </w:pPr>
    </w:p>
    <w:p w:rsidR="009E6C30" w:rsidRDefault="009E6C30"/>
    <w:sectPr w:rsidR="009E6C30" w:rsidSect="000F3129">
      <w:headerReference w:type="even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FC" w:rsidRDefault="00F538FC" w:rsidP="00F538FC">
      <w:pPr>
        <w:spacing w:line="240" w:lineRule="auto"/>
      </w:pPr>
      <w:r>
        <w:separator/>
      </w:r>
    </w:p>
  </w:endnote>
  <w:endnote w:type="continuationSeparator" w:id="0">
    <w:p w:rsidR="00F538FC" w:rsidRDefault="00F538FC" w:rsidP="00F5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FC" w:rsidRDefault="00F538FC" w:rsidP="00F538FC">
      <w:pPr>
        <w:spacing w:line="240" w:lineRule="auto"/>
      </w:pPr>
      <w:r>
        <w:separator/>
      </w:r>
    </w:p>
  </w:footnote>
  <w:footnote w:type="continuationSeparator" w:id="0">
    <w:p w:rsidR="00F538FC" w:rsidRDefault="00F538FC" w:rsidP="00F5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29" w:rsidRDefault="000F3129">
    <w:pPr>
      <w:pStyle w:val="Header"/>
    </w:pPr>
    <w:r>
      <w:t>INF.34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56"/>
    <w:rsid w:val="00084EA3"/>
    <w:rsid w:val="000E1873"/>
    <w:rsid w:val="000F3129"/>
    <w:rsid w:val="001B2A4F"/>
    <w:rsid w:val="002C552E"/>
    <w:rsid w:val="0031384A"/>
    <w:rsid w:val="003737DF"/>
    <w:rsid w:val="0037709E"/>
    <w:rsid w:val="003E14B2"/>
    <w:rsid w:val="0041625D"/>
    <w:rsid w:val="006B29C5"/>
    <w:rsid w:val="00726856"/>
    <w:rsid w:val="00760DA5"/>
    <w:rsid w:val="008B3D63"/>
    <w:rsid w:val="00937748"/>
    <w:rsid w:val="00973AE8"/>
    <w:rsid w:val="009D30AA"/>
    <w:rsid w:val="009E6C30"/>
    <w:rsid w:val="00A84512"/>
    <w:rsid w:val="00BC3EEB"/>
    <w:rsid w:val="00D150DD"/>
    <w:rsid w:val="00D850A7"/>
    <w:rsid w:val="00E35E52"/>
    <w:rsid w:val="00F538FC"/>
    <w:rsid w:val="00FA1D2B"/>
    <w:rsid w:val="00FA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90BD814"/>
  <w15:chartTrackingRefBased/>
  <w15:docId w15:val="{74796416-5E69-41B0-9223-21A7A6FC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5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72685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styleId="TableGrid">
    <w:name w:val="Table Grid"/>
    <w:basedOn w:val="TableNormal"/>
    <w:rsid w:val="0072685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rsid w:val="00726856"/>
    <w:pPr>
      <w:spacing w:after="120"/>
      <w:ind w:left="1134" w:right="1134"/>
      <w:jc w:val="both"/>
    </w:pPr>
  </w:style>
  <w:style w:type="paragraph" w:customStyle="1" w:styleId="H1G">
    <w:name w:val="_ H_1_G"/>
    <w:basedOn w:val="Normal"/>
    <w:next w:val="Normal"/>
    <w:rsid w:val="0072685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F538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F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38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F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F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AF1C-CECD-46AC-A811-A90D137D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ExxonMobil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Tena, Beatriz</dc:creator>
  <cp:keywords/>
  <dc:description/>
  <cp:lastModifiedBy>Marie-Claude Collet</cp:lastModifiedBy>
  <cp:revision>3</cp:revision>
  <cp:lastPrinted>2017-08-30T11:37:00Z</cp:lastPrinted>
  <dcterms:created xsi:type="dcterms:W3CDTF">2017-08-30T10:31:00Z</dcterms:created>
  <dcterms:modified xsi:type="dcterms:W3CDTF">2017-08-30T11:48:00Z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