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072032" w:rsidTr="001F2853">
        <w:trPr>
          <w:trHeight w:hRule="exact" w:val="851"/>
        </w:trPr>
        <w:tc>
          <w:tcPr>
            <w:tcW w:w="1276" w:type="dxa"/>
            <w:tcBorders>
              <w:bottom w:val="single" w:sz="4" w:space="0" w:color="auto"/>
            </w:tcBorders>
          </w:tcPr>
          <w:p w:rsidR="003D1DF3" w:rsidRPr="00072032" w:rsidRDefault="003D1DF3" w:rsidP="00F01516">
            <w:pPr>
              <w:rPr>
                <w:lang w:val="fr-FR"/>
              </w:rPr>
            </w:pPr>
          </w:p>
        </w:tc>
        <w:tc>
          <w:tcPr>
            <w:tcW w:w="2268" w:type="dxa"/>
            <w:tcBorders>
              <w:bottom w:val="single" w:sz="4" w:space="0" w:color="auto"/>
            </w:tcBorders>
            <w:vAlign w:val="bottom"/>
          </w:tcPr>
          <w:p w:rsidR="003D1DF3" w:rsidRPr="00072032" w:rsidRDefault="003D1DF3" w:rsidP="00F01516">
            <w:pPr>
              <w:spacing w:after="80" w:line="300" w:lineRule="exact"/>
              <w:rPr>
                <w:sz w:val="28"/>
                <w:lang w:val="fr-FR"/>
              </w:rPr>
            </w:pPr>
            <w:r w:rsidRPr="00072032">
              <w:rPr>
                <w:sz w:val="28"/>
                <w:lang w:val="fr-FR"/>
              </w:rPr>
              <w:t>Nations Unies</w:t>
            </w:r>
          </w:p>
        </w:tc>
        <w:tc>
          <w:tcPr>
            <w:tcW w:w="6095" w:type="dxa"/>
            <w:gridSpan w:val="2"/>
            <w:tcBorders>
              <w:bottom w:val="single" w:sz="4" w:space="0" w:color="auto"/>
            </w:tcBorders>
            <w:vAlign w:val="bottom"/>
          </w:tcPr>
          <w:p w:rsidR="003D1DF3" w:rsidRPr="00072032" w:rsidRDefault="001F2853" w:rsidP="00F01516">
            <w:pPr>
              <w:jc w:val="right"/>
              <w:rPr>
                <w:lang w:val="fr-FR"/>
              </w:rPr>
            </w:pPr>
            <w:r w:rsidRPr="006D7AA7">
              <w:rPr>
                <w:sz w:val="40"/>
                <w:lang w:val="en-GB"/>
              </w:rPr>
              <w:t>ECE</w:t>
            </w:r>
            <w:r w:rsidRPr="006D7AA7">
              <w:rPr>
                <w:lang w:val="en-GB"/>
              </w:rPr>
              <w:t>/TRANS/WP.15/AC.2/2018/</w:t>
            </w:r>
            <w:r>
              <w:rPr>
                <w:lang w:val="en-GB"/>
              </w:rPr>
              <w:t>9</w:t>
            </w:r>
          </w:p>
        </w:tc>
      </w:tr>
      <w:tr w:rsidR="003D1DF3" w:rsidRPr="00072032" w:rsidTr="00F01516">
        <w:trPr>
          <w:trHeight w:hRule="exact" w:val="2835"/>
        </w:trPr>
        <w:tc>
          <w:tcPr>
            <w:tcW w:w="1276" w:type="dxa"/>
            <w:tcBorders>
              <w:top w:val="single" w:sz="4" w:space="0" w:color="auto"/>
              <w:bottom w:val="single" w:sz="12" w:space="0" w:color="auto"/>
            </w:tcBorders>
          </w:tcPr>
          <w:p w:rsidR="003D1DF3" w:rsidRPr="00072032" w:rsidRDefault="00072032" w:rsidP="00F01516">
            <w:pPr>
              <w:spacing w:before="120"/>
              <w:jc w:val="center"/>
              <w:rPr>
                <w:lang w:val="fr-FR"/>
              </w:rPr>
            </w:pPr>
            <w:r>
              <w:rPr>
                <w:noProof/>
                <w:lang w:val="en-GB"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072032" w:rsidRDefault="003D1DF3" w:rsidP="00F01516">
            <w:pPr>
              <w:spacing w:before="120" w:line="420" w:lineRule="exact"/>
              <w:rPr>
                <w:b/>
                <w:sz w:val="40"/>
                <w:szCs w:val="40"/>
                <w:lang w:val="fr-FR"/>
              </w:rPr>
            </w:pPr>
            <w:r w:rsidRPr="00072032">
              <w:rPr>
                <w:b/>
                <w:sz w:val="40"/>
                <w:szCs w:val="40"/>
                <w:lang w:val="fr-FR"/>
              </w:rPr>
              <w:t>Conseil économique et social</w:t>
            </w:r>
          </w:p>
        </w:tc>
        <w:tc>
          <w:tcPr>
            <w:tcW w:w="2835" w:type="dxa"/>
            <w:tcBorders>
              <w:top w:val="single" w:sz="4" w:space="0" w:color="auto"/>
              <w:bottom w:val="single" w:sz="12" w:space="0" w:color="auto"/>
            </w:tcBorders>
          </w:tcPr>
          <w:p w:rsidR="001F2853" w:rsidRDefault="001F2853" w:rsidP="001F2853">
            <w:pPr>
              <w:spacing w:before="240" w:line="240" w:lineRule="exact"/>
              <w:rPr>
                <w:lang w:val="fr-FR"/>
              </w:rPr>
            </w:pPr>
            <w:proofErr w:type="spellStart"/>
            <w:r>
              <w:rPr>
                <w:lang w:val="fr-FR"/>
              </w:rPr>
              <w:t>Distr</w:t>
            </w:r>
            <w:proofErr w:type="spellEnd"/>
            <w:r>
              <w:rPr>
                <w:lang w:val="fr-FR"/>
              </w:rPr>
              <w:t>. générale</w:t>
            </w:r>
          </w:p>
          <w:p w:rsidR="001F2853" w:rsidRDefault="00C7034E" w:rsidP="001F2853">
            <w:pPr>
              <w:spacing w:line="240" w:lineRule="exact"/>
              <w:rPr>
                <w:lang w:val="fr-FR"/>
              </w:rPr>
            </w:pPr>
            <w:r>
              <w:rPr>
                <w:lang w:val="fr-FR"/>
              </w:rPr>
              <w:t>20</w:t>
            </w:r>
            <w:r w:rsidR="001F2853">
              <w:rPr>
                <w:lang w:val="fr-FR"/>
              </w:rPr>
              <w:t xml:space="preserve"> octobre 2017</w:t>
            </w:r>
          </w:p>
          <w:p w:rsidR="003D1DF3" w:rsidRPr="00072032" w:rsidRDefault="00C7034E" w:rsidP="001F2853">
            <w:pPr>
              <w:spacing w:before="240"/>
              <w:rPr>
                <w:lang w:val="fr-FR"/>
              </w:rPr>
            </w:pPr>
            <w:r>
              <w:rPr>
                <w:lang w:val="fr-FR"/>
              </w:rPr>
              <w:t>Original : f</w:t>
            </w:r>
            <w:r w:rsidR="001F2853">
              <w:rPr>
                <w:lang w:val="fr-FR"/>
              </w:rPr>
              <w:t>rançais</w:t>
            </w:r>
          </w:p>
        </w:tc>
      </w:tr>
    </w:tbl>
    <w:p w:rsidR="001F2853" w:rsidRPr="00367E6A" w:rsidRDefault="001F2853" w:rsidP="001F2853">
      <w:pPr>
        <w:spacing w:before="120"/>
        <w:rPr>
          <w:b/>
          <w:sz w:val="28"/>
          <w:szCs w:val="28"/>
          <w:lang w:val="fr-FR"/>
        </w:rPr>
      </w:pPr>
      <w:r w:rsidRPr="00367E6A">
        <w:rPr>
          <w:b/>
          <w:sz w:val="28"/>
          <w:szCs w:val="28"/>
          <w:lang w:val="fr-FR"/>
        </w:rPr>
        <w:t>Commission économique pour l’Europe</w:t>
      </w:r>
    </w:p>
    <w:p w:rsidR="001F2853" w:rsidRPr="00367E6A" w:rsidRDefault="001F2853" w:rsidP="001F2853">
      <w:pPr>
        <w:spacing w:before="120"/>
        <w:rPr>
          <w:sz w:val="28"/>
          <w:szCs w:val="28"/>
          <w:lang w:val="fr-FR"/>
        </w:rPr>
      </w:pPr>
      <w:r w:rsidRPr="00367E6A">
        <w:rPr>
          <w:sz w:val="28"/>
          <w:szCs w:val="28"/>
          <w:lang w:val="fr-FR"/>
        </w:rPr>
        <w:t>Comité des transports intérieurs</w:t>
      </w:r>
    </w:p>
    <w:p w:rsidR="001F2853" w:rsidRPr="00367E6A" w:rsidRDefault="001F2853" w:rsidP="001F2853">
      <w:pPr>
        <w:spacing w:before="120"/>
        <w:rPr>
          <w:b/>
          <w:sz w:val="24"/>
          <w:szCs w:val="24"/>
          <w:lang w:val="fr-FR"/>
        </w:rPr>
      </w:pPr>
      <w:r w:rsidRPr="00367E6A">
        <w:rPr>
          <w:b/>
          <w:sz w:val="24"/>
          <w:szCs w:val="24"/>
          <w:lang w:val="fr-FR"/>
        </w:rPr>
        <w:t>Groupe de travail des transports de marchandises dangereuses</w:t>
      </w:r>
    </w:p>
    <w:p w:rsidR="001F2853" w:rsidRPr="00A17EEC" w:rsidRDefault="001F2853" w:rsidP="001F2853">
      <w:pPr>
        <w:spacing w:before="120"/>
        <w:rPr>
          <w:b/>
          <w:lang w:val="fr-FR"/>
        </w:rPr>
      </w:pPr>
      <w:r w:rsidRPr="00A17EEC">
        <w:rPr>
          <w:b/>
          <w:lang w:val="fr-FR"/>
        </w:rPr>
        <w:t>Réunion commune d’experts sur le Règlement annexé</w:t>
      </w:r>
      <w:r w:rsidRPr="00A17EEC">
        <w:rPr>
          <w:b/>
          <w:lang w:val="fr-FR"/>
        </w:rPr>
        <w:br/>
        <w:t>à l’Accord européen relatif au transport international</w:t>
      </w:r>
      <w:r w:rsidRPr="00A17EEC">
        <w:rPr>
          <w:b/>
          <w:lang w:val="fr-FR"/>
        </w:rPr>
        <w:br/>
        <w:t xml:space="preserve">des marchandises </w:t>
      </w:r>
      <w:r w:rsidRPr="00A17EEC">
        <w:rPr>
          <w:b/>
          <w:bCs/>
          <w:iCs/>
          <w:lang w:val="fr-FR"/>
        </w:rPr>
        <w:t>dangereuses par voies de navigation</w:t>
      </w:r>
      <w:r w:rsidRPr="00A17EEC">
        <w:rPr>
          <w:b/>
          <w:bCs/>
          <w:iCs/>
          <w:lang w:val="fr-FR"/>
        </w:rPr>
        <w:br/>
        <w:t xml:space="preserve">intérieures (ADN) </w:t>
      </w:r>
      <w:r w:rsidRPr="00A17EEC">
        <w:rPr>
          <w:b/>
          <w:bCs/>
          <w:lang w:val="fr-FR"/>
        </w:rPr>
        <w:t>(Comité de sécurité de l’ADN)</w:t>
      </w:r>
    </w:p>
    <w:p w:rsidR="001F2853" w:rsidRPr="00234E40" w:rsidRDefault="001F2853" w:rsidP="001F2853">
      <w:pPr>
        <w:spacing w:before="120"/>
        <w:rPr>
          <w:b/>
        </w:rPr>
      </w:pPr>
      <w:r>
        <w:rPr>
          <w:b/>
        </w:rPr>
        <w:t xml:space="preserve">Trente-deuxième </w:t>
      </w:r>
      <w:r w:rsidRPr="00234E40">
        <w:rPr>
          <w:b/>
        </w:rPr>
        <w:t>session</w:t>
      </w:r>
    </w:p>
    <w:p w:rsidR="001F2853" w:rsidRDefault="001F2853" w:rsidP="001F2853">
      <w:r>
        <w:t>Genève, 22-26 janvier 2018</w:t>
      </w:r>
    </w:p>
    <w:p w:rsidR="001F2853" w:rsidRDefault="001F2853" w:rsidP="001F2853">
      <w:r w:rsidRPr="00B93E72">
        <w:t xml:space="preserve">Point </w:t>
      </w:r>
      <w:r w:rsidR="00C7034E">
        <w:t>5 b)</w:t>
      </w:r>
      <w:r>
        <w:t xml:space="preserve"> </w:t>
      </w:r>
      <w:r w:rsidRPr="00B93E72">
        <w:t>de l</w:t>
      </w:r>
      <w:r>
        <w:t>’</w:t>
      </w:r>
      <w:r w:rsidRPr="00B93E72">
        <w:t>ordre du jour provisoire</w:t>
      </w:r>
    </w:p>
    <w:p w:rsidR="001F2853" w:rsidRDefault="001F2853" w:rsidP="001F2853">
      <w:pPr>
        <w:rPr>
          <w:b/>
          <w:lang w:val="fr-FR"/>
        </w:rPr>
      </w:pPr>
      <w:r>
        <w:rPr>
          <w:b/>
          <w:lang w:val="fr-FR"/>
        </w:rPr>
        <w:t>Propositions d’amendements au Règlement annexé à l’ADN :</w:t>
      </w:r>
    </w:p>
    <w:p w:rsidR="004963DE" w:rsidRPr="00072032" w:rsidRDefault="001F2853" w:rsidP="001F2853">
      <w:pPr>
        <w:rPr>
          <w:lang w:val="fr-FR"/>
        </w:rPr>
      </w:pPr>
      <w:proofErr w:type="gramStart"/>
      <w:r>
        <w:rPr>
          <w:b/>
          <w:lang w:val="fr-FR"/>
        </w:rPr>
        <w:t>a</w:t>
      </w:r>
      <w:r w:rsidRPr="00073591">
        <w:rPr>
          <w:b/>
          <w:lang w:val="fr-FR"/>
        </w:rPr>
        <w:t>utres</w:t>
      </w:r>
      <w:proofErr w:type="gramEnd"/>
      <w:r w:rsidRPr="00073591">
        <w:rPr>
          <w:b/>
          <w:lang w:val="fr-FR"/>
        </w:rPr>
        <w:t xml:space="preserve"> propositions</w:t>
      </w:r>
    </w:p>
    <w:p w:rsidR="002D0E27" w:rsidRDefault="001F2853" w:rsidP="00794C5B">
      <w:pPr>
        <w:pStyle w:val="HChG"/>
        <w:spacing w:before="320" w:line="280" w:lineRule="exact"/>
      </w:pPr>
      <w:r>
        <w:tab/>
      </w:r>
      <w:r>
        <w:tab/>
      </w:r>
      <w:proofErr w:type="spellStart"/>
      <w:r w:rsidRPr="00645D09">
        <w:t>Raccordement</w:t>
      </w:r>
      <w:proofErr w:type="spellEnd"/>
      <w:r w:rsidRPr="00645D09">
        <w:t xml:space="preserve"> du </w:t>
      </w:r>
      <w:proofErr w:type="spellStart"/>
      <w:r w:rsidRPr="00645D09">
        <w:t>réseau</w:t>
      </w:r>
      <w:proofErr w:type="spellEnd"/>
      <w:r w:rsidRPr="00645D09">
        <w:t xml:space="preserve"> </w:t>
      </w:r>
      <w:proofErr w:type="spellStart"/>
      <w:r w:rsidRPr="00645D09">
        <w:t>électrique</w:t>
      </w:r>
      <w:proofErr w:type="spellEnd"/>
      <w:r w:rsidRPr="00645D09">
        <w:t xml:space="preserve"> du bateau à </w:t>
      </w:r>
      <w:proofErr w:type="gramStart"/>
      <w:r w:rsidRPr="00645D09">
        <w:t>un</w:t>
      </w:r>
      <w:proofErr w:type="gramEnd"/>
      <w:r w:rsidRPr="00645D09">
        <w:t xml:space="preserve"> </w:t>
      </w:r>
      <w:proofErr w:type="spellStart"/>
      <w:r w:rsidRPr="00645D09">
        <w:t>réseau</w:t>
      </w:r>
      <w:proofErr w:type="spellEnd"/>
      <w:r w:rsidRPr="00645D09">
        <w:t xml:space="preserve"> </w:t>
      </w:r>
      <w:proofErr w:type="spellStart"/>
      <w:r w:rsidRPr="00645D09">
        <w:t>électrique</w:t>
      </w:r>
      <w:proofErr w:type="spellEnd"/>
      <w:r w:rsidRPr="00645D09">
        <w:t xml:space="preserve"> à </w:t>
      </w:r>
      <w:proofErr w:type="spellStart"/>
      <w:r w:rsidRPr="00645D09">
        <w:t>terre</w:t>
      </w:r>
      <w:proofErr w:type="spellEnd"/>
    </w:p>
    <w:p w:rsidR="001F2853" w:rsidRDefault="001F2853" w:rsidP="001F2853">
      <w:pPr>
        <w:pStyle w:val="H1G"/>
        <w:rPr>
          <w:snapToGrid w:val="0"/>
          <w:vertAlign w:val="superscript"/>
        </w:rPr>
      </w:pPr>
      <w:r>
        <w:rPr>
          <w:snapToGrid w:val="0"/>
        </w:rPr>
        <w:tab/>
      </w:r>
      <w:r>
        <w:rPr>
          <w:snapToGrid w:val="0"/>
        </w:rPr>
        <w:tab/>
      </w:r>
      <w:r w:rsidRPr="00645D09">
        <w:rPr>
          <w:snapToGrid w:val="0"/>
        </w:rPr>
        <w:t xml:space="preserve">Communication du </w:t>
      </w:r>
      <w:proofErr w:type="spellStart"/>
      <w:r w:rsidRPr="00645D09">
        <w:rPr>
          <w:snapToGrid w:val="0"/>
        </w:rPr>
        <w:t>Gouvernement</w:t>
      </w:r>
      <w:proofErr w:type="spellEnd"/>
      <w:r w:rsidRPr="00645D09">
        <w:rPr>
          <w:snapToGrid w:val="0"/>
        </w:rPr>
        <w:t xml:space="preserve"> de </w:t>
      </w:r>
      <w:proofErr w:type="spellStart"/>
      <w:r w:rsidRPr="00645D09">
        <w:rPr>
          <w:snapToGrid w:val="0"/>
        </w:rPr>
        <w:t>l’Allemagne</w:t>
      </w:r>
      <w:proofErr w:type="spellEnd"/>
      <w:r w:rsidR="00C7034E">
        <w:rPr>
          <w:rStyle w:val="FootnoteReference"/>
          <w:snapToGrid w:val="0"/>
        </w:rPr>
        <w:footnoteReference w:id="2"/>
      </w:r>
      <w:r w:rsidRPr="00645D09">
        <w:rPr>
          <w:snapToGrid w:val="0"/>
          <w:vertAlign w:val="superscript"/>
        </w:rPr>
        <w:t>,</w:t>
      </w:r>
      <w:r w:rsidR="00C7034E">
        <w:rPr>
          <w:rStyle w:val="FootnoteReference"/>
          <w:snapToGrid w:val="0"/>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3051"/>
        <w:gridCol w:w="6451"/>
      </w:tblGrid>
      <w:tr w:rsidR="001F2853" w:rsidTr="00794C5B">
        <w:trPr>
          <w:jc w:val="center"/>
        </w:trPr>
        <w:tc>
          <w:tcPr>
            <w:tcW w:w="3051" w:type="dxa"/>
            <w:tcBorders>
              <w:top w:val="single" w:sz="4" w:space="0" w:color="auto"/>
              <w:bottom w:val="nil"/>
              <w:right w:val="nil"/>
            </w:tcBorders>
            <w:shd w:val="clear" w:color="auto" w:fill="auto"/>
          </w:tcPr>
          <w:p w:rsidR="001F2853" w:rsidRPr="001F2853" w:rsidRDefault="001F2853" w:rsidP="001F2853">
            <w:pPr>
              <w:spacing w:before="120" w:line="200" w:lineRule="exact"/>
              <w:ind w:left="255"/>
              <w:rPr>
                <w:i/>
                <w:sz w:val="24"/>
                <w:lang w:val="en-GB"/>
              </w:rPr>
            </w:pPr>
            <w:r>
              <w:rPr>
                <w:i/>
                <w:sz w:val="24"/>
                <w:lang w:val="en-GB"/>
              </w:rPr>
              <w:t>Résumé</w:t>
            </w:r>
          </w:p>
        </w:tc>
        <w:tc>
          <w:tcPr>
            <w:tcW w:w="6451" w:type="dxa"/>
            <w:tcBorders>
              <w:top w:val="single" w:sz="4" w:space="0" w:color="auto"/>
              <w:left w:val="nil"/>
              <w:bottom w:val="nil"/>
            </w:tcBorders>
            <w:shd w:val="clear" w:color="auto" w:fill="auto"/>
          </w:tcPr>
          <w:p w:rsidR="001F2853" w:rsidRPr="001F2853" w:rsidRDefault="001F2853" w:rsidP="001F2853">
            <w:pPr>
              <w:spacing w:before="120" w:line="200" w:lineRule="exact"/>
              <w:ind w:left="255"/>
              <w:rPr>
                <w:i/>
                <w:sz w:val="24"/>
                <w:lang w:val="en-GB"/>
              </w:rPr>
            </w:pPr>
          </w:p>
        </w:tc>
      </w:tr>
      <w:tr w:rsidR="001F2853" w:rsidTr="00794C5B">
        <w:trPr>
          <w:jc w:val="center"/>
        </w:trPr>
        <w:tc>
          <w:tcPr>
            <w:tcW w:w="3051" w:type="dxa"/>
            <w:tcBorders>
              <w:top w:val="nil"/>
              <w:bottom w:val="nil"/>
              <w:right w:val="nil"/>
            </w:tcBorders>
            <w:shd w:val="clear" w:color="auto" w:fill="auto"/>
          </w:tcPr>
          <w:p w:rsidR="001F2853" w:rsidRDefault="001F2853" w:rsidP="00794C5B">
            <w:pPr>
              <w:pStyle w:val="SingleTxtG"/>
              <w:ind w:left="1065" w:right="287"/>
              <w:rPr>
                <w:i/>
                <w:sz w:val="24"/>
              </w:rPr>
            </w:pPr>
            <w:r w:rsidRPr="001F2853">
              <w:t>Résumé analytique :</w:t>
            </w:r>
          </w:p>
        </w:tc>
        <w:tc>
          <w:tcPr>
            <w:tcW w:w="6451" w:type="dxa"/>
            <w:tcBorders>
              <w:top w:val="nil"/>
              <w:left w:val="nil"/>
              <w:bottom w:val="nil"/>
            </w:tcBorders>
            <w:shd w:val="clear" w:color="auto" w:fill="auto"/>
          </w:tcPr>
          <w:p w:rsidR="001F2853" w:rsidRPr="001F2853" w:rsidRDefault="001F2853" w:rsidP="00C7034E">
            <w:pPr>
              <w:pStyle w:val="SingleTxtG"/>
              <w:spacing w:line="200" w:lineRule="atLeast"/>
              <w:ind w:left="74" w:right="919"/>
              <w:rPr>
                <w:i/>
                <w:sz w:val="24"/>
              </w:rPr>
            </w:pPr>
            <w:r w:rsidRPr="00645D09">
              <w:t xml:space="preserve">Au </w:t>
            </w:r>
            <w:proofErr w:type="spellStart"/>
            <w:r w:rsidRPr="00645D09">
              <w:t>cours</w:t>
            </w:r>
            <w:proofErr w:type="spellEnd"/>
            <w:r w:rsidRPr="00645D09">
              <w:t xml:space="preserve"> de </w:t>
            </w:r>
            <w:proofErr w:type="spellStart"/>
            <w:r w:rsidRPr="00645D09">
              <w:t>sa</w:t>
            </w:r>
            <w:proofErr w:type="spellEnd"/>
            <w:r w:rsidRPr="00645D09">
              <w:t xml:space="preserve"> </w:t>
            </w:r>
            <w:proofErr w:type="spellStart"/>
            <w:r w:rsidR="00794C5B">
              <w:t>trente</w:t>
            </w:r>
            <w:proofErr w:type="spellEnd"/>
            <w:r w:rsidR="00794C5B">
              <w:t xml:space="preserve"> et </w:t>
            </w:r>
            <w:proofErr w:type="spellStart"/>
            <w:r w:rsidR="00794C5B">
              <w:t>unième</w:t>
            </w:r>
            <w:proofErr w:type="spellEnd"/>
            <w:r w:rsidR="00794C5B">
              <w:t xml:space="preserve"> </w:t>
            </w:r>
            <w:r w:rsidRPr="00645D09">
              <w:t>sess</w:t>
            </w:r>
            <w:r w:rsidR="00794C5B">
              <w:t xml:space="preserve">ion, le </w:t>
            </w:r>
            <w:proofErr w:type="spellStart"/>
            <w:r w:rsidR="00794C5B">
              <w:t>Comité</w:t>
            </w:r>
            <w:proofErr w:type="spellEnd"/>
            <w:r w:rsidR="00794C5B">
              <w:t xml:space="preserve"> de </w:t>
            </w:r>
            <w:proofErr w:type="spellStart"/>
            <w:r w:rsidR="00794C5B">
              <w:t>sécurité</w:t>
            </w:r>
            <w:proofErr w:type="spellEnd"/>
            <w:r w:rsidR="00794C5B">
              <w:t xml:space="preserve"> de </w:t>
            </w:r>
            <w:proofErr w:type="spellStart"/>
            <w:r w:rsidR="00794C5B">
              <w:t>l’</w:t>
            </w:r>
            <w:r w:rsidRPr="00645D09">
              <w:t>ADN</w:t>
            </w:r>
            <w:proofErr w:type="spellEnd"/>
            <w:r w:rsidRPr="00645D09">
              <w:t xml:space="preserve"> a </w:t>
            </w:r>
            <w:proofErr w:type="spellStart"/>
            <w:r w:rsidRPr="00645D09">
              <w:t>examiné</w:t>
            </w:r>
            <w:proofErr w:type="spellEnd"/>
            <w:r w:rsidRPr="00645D09">
              <w:t xml:space="preserve"> </w:t>
            </w:r>
            <w:proofErr w:type="spellStart"/>
            <w:r w:rsidRPr="00645D09">
              <w:t>sur</w:t>
            </w:r>
            <w:proofErr w:type="spellEnd"/>
            <w:r w:rsidRPr="00645D09">
              <w:t xml:space="preserve"> la base du document informel </w:t>
            </w:r>
            <w:r>
              <w:t>INF.</w:t>
            </w:r>
            <w:r w:rsidRPr="00645D09">
              <w:t xml:space="preserve">14 (CCNR), appendice 1, quelques propositions de modifications du groupe de travail informel Protection contre les explosions, destinées à rendre possible un raccordement sûr du réseau électrique du bateau à un réseau électrique à terre. Les propositions ont été approuvées, mais pour </w:t>
            </w:r>
            <w:proofErr w:type="spellStart"/>
            <w:r w:rsidRPr="00645D09">
              <w:t>une</w:t>
            </w:r>
            <w:proofErr w:type="spellEnd"/>
            <w:r w:rsidRPr="00645D09">
              <w:t xml:space="preserve"> </w:t>
            </w:r>
            <w:proofErr w:type="spellStart"/>
            <w:r w:rsidRPr="00645D09">
              <w:t>décision</w:t>
            </w:r>
            <w:proofErr w:type="spellEnd"/>
            <w:r w:rsidRPr="00645D09">
              <w:t xml:space="preserve"> </w:t>
            </w:r>
            <w:proofErr w:type="spellStart"/>
            <w:r w:rsidRPr="00645D09">
              <w:t>formelle</w:t>
            </w:r>
            <w:proofErr w:type="spellEnd"/>
            <w:r w:rsidRPr="00645D09">
              <w:t xml:space="preserve"> </w:t>
            </w:r>
            <w:proofErr w:type="spellStart"/>
            <w:r w:rsidR="00C7034E">
              <w:t>il</w:t>
            </w:r>
            <w:proofErr w:type="spellEnd"/>
            <w:r w:rsidR="00C7034E">
              <w:t xml:space="preserve"> </w:t>
            </w:r>
            <w:proofErr w:type="spellStart"/>
            <w:r w:rsidRPr="00645D09">
              <w:t>est</w:t>
            </w:r>
            <w:proofErr w:type="spellEnd"/>
            <w:r w:rsidRPr="00645D09">
              <w:t xml:space="preserve"> </w:t>
            </w:r>
            <w:proofErr w:type="spellStart"/>
            <w:r w:rsidRPr="00645D09">
              <w:t>nécessaire</w:t>
            </w:r>
            <w:proofErr w:type="spellEnd"/>
            <w:r w:rsidRPr="00645D09">
              <w:t xml:space="preserve"> </w:t>
            </w:r>
            <w:proofErr w:type="spellStart"/>
            <w:r w:rsidR="00C7034E">
              <w:t>qu’</w:t>
            </w:r>
            <w:r w:rsidRPr="00645D09">
              <w:t>un</w:t>
            </w:r>
            <w:proofErr w:type="spellEnd"/>
            <w:r w:rsidRPr="00645D09">
              <w:t xml:space="preserve"> document </w:t>
            </w:r>
            <w:proofErr w:type="spellStart"/>
            <w:r w:rsidR="00C7034E">
              <w:t>soit</w:t>
            </w:r>
            <w:proofErr w:type="spellEnd"/>
            <w:r w:rsidRPr="00645D09">
              <w:t xml:space="preserve"> </w:t>
            </w:r>
            <w:proofErr w:type="spellStart"/>
            <w:r w:rsidRPr="00645D09">
              <w:t>disponible</w:t>
            </w:r>
            <w:proofErr w:type="spellEnd"/>
            <w:r w:rsidRPr="00645D09">
              <w:t xml:space="preserve"> </w:t>
            </w:r>
            <w:proofErr w:type="spellStart"/>
            <w:r w:rsidRPr="00645D09">
              <w:t>dans</w:t>
            </w:r>
            <w:proofErr w:type="spellEnd"/>
            <w:r w:rsidRPr="00645D09">
              <w:t xml:space="preserve"> </w:t>
            </w:r>
            <w:proofErr w:type="spellStart"/>
            <w:r w:rsidRPr="00645D09">
              <w:t>toutes</w:t>
            </w:r>
            <w:proofErr w:type="spellEnd"/>
            <w:r w:rsidRPr="00645D09">
              <w:t xml:space="preserve"> les </w:t>
            </w:r>
            <w:proofErr w:type="spellStart"/>
            <w:r w:rsidRPr="00645D09">
              <w:t>langues</w:t>
            </w:r>
            <w:proofErr w:type="spellEnd"/>
            <w:r w:rsidRPr="00645D09">
              <w:t xml:space="preserve"> de travail.</w:t>
            </w:r>
          </w:p>
        </w:tc>
      </w:tr>
      <w:tr w:rsidR="001F2853" w:rsidTr="00794C5B">
        <w:trPr>
          <w:jc w:val="center"/>
        </w:trPr>
        <w:tc>
          <w:tcPr>
            <w:tcW w:w="3051" w:type="dxa"/>
            <w:tcBorders>
              <w:top w:val="nil"/>
              <w:bottom w:val="single" w:sz="4" w:space="0" w:color="auto"/>
              <w:right w:val="nil"/>
            </w:tcBorders>
            <w:shd w:val="clear" w:color="auto" w:fill="auto"/>
          </w:tcPr>
          <w:p w:rsidR="001F2853" w:rsidRPr="001F2853" w:rsidRDefault="001F2853" w:rsidP="001F2853">
            <w:pPr>
              <w:pStyle w:val="SingleTxtG"/>
              <w:ind w:right="352"/>
            </w:pPr>
            <w:r w:rsidRPr="001F2853">
              <w:t>Mesure à prendre :</w:t>
            </w:r>
          </w:p>
        </w:tc>
        <w:tc>
          <w:tcPr>
            <w:tcW w:w="6451" w:type="dxa"/>
            <w:tcBorders>
              <w:top w:val="nil"/>
              <w:left w:val="nil"/>
              <w:bottom w:val="single" w:sz="4" w:space="0" w:color="auto"/>
            </w:tcBorders>
            <w:shd w:val="clear" w:color="auto" w:fill="auto"/>
          </w:tcPr>
          <w:p w:rsidR="001F2853" w:rsidRPr="00645D09" w:rsidRDefault="001F2853" w:rsidP="001F2853">
            <w:pPr>
              <w:pStyle w:val="SingleTxtG"/>
              <w:ind w:left="73" w:right="916"/>
            </w:pPr>
            <w:r w:rsidRPr="00645D09">
              <w:rPr>
                <w:lang w:val="fr-FR"/>
              </w:rPr>
              <w:t xml:space="preserve">Décision formelle concernant </w:t>
            </w:r>
            <w:r w:rsidRPr="001F2853">
              <w:t>les</w:t>
            </w:r>
            <w:r w:rsidRPr="00645D09">
              <w:rPr>
                <w:lang w:val="fr-FR"/>
              </w:rPr>
              <w:t xml:space="preserve"> propositions de modifications figurant ci-après, reprises du document informel </w:t>
            </w:r>
            <w:r>
              <w:rPr>
                <w:lang w:val="fr-FR"/>
              </w:rPr>
              <w:t>INF.</w:t>
            </w:r>
            <w:r w:rsidRPr="00645D09">
              <w:rPr>
                <w:lang w:val="fr-FR"/>
              </w:rPr>
              <w:t xml:space="preserve">14 de la </w:t>
            </w:r>
            <w:r>
              <w:rPr>
                <w:lang w:val="fr-FR"/>
              </w:rPr>
              <w:t>trente et unième</w:t>
            </w:r>
            <w:r w:rsidRPr="00645D09">
              <w:rPr>
                <w:lang w:val="fr-FR"/>
              </w:rPr>
              <w:t xml:space="preserve"> ses</w:t>
            </w:r>
            <w:r w:rsidR="00794C5B">
              <w:rPr>
                <w:lang w:val="fr-FR"/>
              </w:rPr>
              <w:t>sion du Comité de sécurité de l’</w:t>
            </w:r>
            <w:r w:rsidRPr="00645D09">
              <w:rPr>
                <w:lang w:val="fr-FR"/>
              </w:rPr>
              <w:t>ADN.</w:t>
            </w:r>
          </w:p>
        </w:tc>
      </w:tr>
      <w:tr w:rsidR="00794C5B" w:rsidTr="00794C5B">
        <w:trPr>
          <w:jc w:val="center"/>
        </w:trPr>
        <w:tc>
          <w:tcPr>
            <w:tcW w:w="3051" w:type="dxa"/>
            <w:tcBorders>
              <w:top w:val="single" w:sz="4" w:space="0" w:color="auto"/>
              <w:bottom w:val="nil"/>
              <w:right w:val="nil"/>
            </w:tcBorders>
            <w:shd w:val="clear" w:color="auto" w:fill="auto"/>
          </w:tcPr>
          <w:p w:rsidR="00794C5B" w:rsidRPr="00794C5B" w:rsidRDefault="00794C5B" w:rsidP="00794C5B">
            <w:pPr>
              <w:pStyle w:val="SingleTxtG"/>
              <w:ind w:right="3"/>
            </w:pPr>
            <w:r w:rsidRPr="00794C5B">
              <w:lastRenderedPageBreak/>
              <w:t>Documents connexes :</w:t>
            </w:r>
          </w:p>
        </w:tc>
        <w:tc>
          <w:tcPr>
            <w:tcW w:w="6451" w:type="dxa"/>
            <w:tcBorders>
              <w:top w:val="single" w:sz="4" w:space="0" w:color="auto"/>
              <w:left w:val="nil"/>
              <w:bottom w:val="nil"/>
            </w:tcBorders>
            <w:shd w:val="clear" w:color="auto" w:fill="auto"/>
          </w:tcPr>
          <w:p w:rsidR="00794C5B" w:rsidRPr="00645D09" w:rsidRDefault="00C7034E" w:rsidP="00C7034E">
            <w:pPr>
              <w:pStyle w:val="SingleTxtG"/>
              <w:spacing w:after="0"/>
              <w:ind w:left="101" w:hanging="14"/>
            </w:pPr>
            <w:r>
              <w:t xml:space="preserve">Document </w:t>
            </w:r>
            <w:proofErr w:type="spellStart"/>
            <w:r>
              <w:t>informel</w:t>
            </w:r>
            <w:proofErr w:type="spellEnd"/>
            <w:r>
              <w:t xml:space="preserve"> INF.15 de la </w:t>
            </w:r>
            <w:proofErr w:type="spellStart"/>
            <w:r>
              <w:t>trente</w:t>
            </w:r>
            <w:proofErr w:type="spellEnd"/>
            <w:r>
              <w:t xml:space="preserve"> et </w:t>
            </w:r>
            <w:proofErr w:type="spellStart"/>
            <w:r>
              <w:t>unième</w:t>
            </w:r>
            <w:proofErr w:type="spellEnd"/>
            <w:r>
              <w:t xml:space="preserve"> session</w:t>
            </w:r>
            <w:r w:rsidR="00794C5B" w:rsidRPr="00645D09">
              <w:t>, Annexe 1</w:t>
            </w:r>
          </w:p>
          <w:p w:rsidR="00794C5B" w:rsidRPr="00645D09" w:rsidRDefault="00BB1939" w:rsidP="00794C5B">
            <w:pPr>
              <w:pStyle w:val="SingleTxtG"/>
              <w:ind w:left="73" w:right="916"/>
              <w:rPr>
                <w:lang w:val="fr-FR"/>
              </w:rPr>
            </w:pPr>
            <w:r>
              <w:rPr>
                <w:rFonts w:cs="Arial"/>
                <w:lang w:val="fr-FR"/>
              </w:rPr>
              <w:t>ECE/TRANS/WP.15/AC.2/64</w:t>
            </w:r>
            <w:r w:rsidR="00794C5B" w:rsidRPr="00645D09">
              <w:rPr>
                <w:rFonts w:cs="Arial"/>
                <w:lang w:val="fr-FR"/>
              </w:rPr>
              <w:t xml:space="preserve">, rapport de la réunion de la </w:t>
            </w:r>
            <w:r w:rsidR="00794C5B">
              <w:rPr>
                <w:rFonts w:cs="Arial"/>
                <w:lang w:val="fr-FR"/>
              </w:rPr>
              <w:t xml:space="preserve">trente et unième </w:t>
            </w:r>
            <w:r w:rsidR="00794C5B" w:rsidRPr="00645D09">
              <w:rPr>
                <w:rFonts w:cs="Arial"/>
                <w:lang w:val="fr-FR"/>
              </w:rPr>
              <w:t>session</w:t>
            </w:r>
          </w:p>
        </w:tc>
      </w:tr>
      <w:tr w:rsidR="001F2853" w:rsidTr="00794C5B">
        <w:trPr>
          <w:jc w:val="center"/>
        </w:trPr>
        <w:tc>
          <w:tcPr>
            <w:tcW w:w="9502" w:type="dxa"/>
            <w:gridSpan w:val="2"/>
            <w:tcBorders>
              <w:top w:val="nil"/>
              <w:bottom w:val="single" w:sz="4" w:space="0" w:color="auto"/>
            </w:tcBorders>
            <w:shd w:val="clear" w:color="auto" w:fill="auto"/>
          </w:tcPr>
          <w:p w:rsidR="001F2853" w:rsidRDefault="001F2853" w:rsidP="001F2853">
            <w:pPr>
              <w:rPr>
                <w:lang w:val="en-GB"/>
              </w:rPr>
            </w:pPr>
          </w:p>
        </w:tc>
      </w:tr>
    </w:tbl>
    <w:p w:rsidR="00794C5B" w:rsidRPr="00645D09" w:rsidRDefault="00794C5B" w:rsidP="00794C5B">
      <w:pPr>
        <w:pStyle w:val="HChG"/>
      </w:pPr>
      <w:r>
        <w:tab/>
      </w:r>
      <w:r w:rsidRPr="00645D09">
        <w:t>I.</w:t>
      </w:r>
      <w:r w:rsidRPr="00645D09">
        <w:tab/>
        <w:t>Demandes</w:t>
      </w:r>
    </w:p>
    <w:p w:rsidR="00794C5B" w:rsidRPr="00645D09" w:rsidRDefault="00794C5B" w:rsidP="00794C5B">
      <w:pPr>
        <w:pStyle w:val="SingleTxtG"/>
      </w:pPr>
      <w:r w:rsidRPr="00645D09">
        <w:t xml:space="preserve">1. </w:t>
      </w:r>
      <w:r w:rsidRPr="00645D09">
        <w:tab/>
        <w:t>Les demandes de modifi</w:t>
      </w:r>
      <w:r>
        <w:t xml:space="preserve">cations </w:t>
      </w:r>
      <w:proofErr w:type="spellStart"/>
      <w:r>
        <w:t>concernent</w:t>
      </w:r>
      <w:proofErr w:type="spellEnd"/>
      <w:r>
        <w:t xml:space="preserve"> en </w:t>
      </w:r>
      <w:proofErr w:type="spellStart"/>
      <w:r>
        <w:t>général</w:t>
      </w:r>
      <w:proofErr w:type="spellEnd"/>
      <w:r>
        <w:t xml:space="preserve"> </w:t>
      </w:r>
      <w:proofErr w:type="spellStart"/>
      <w:r>
        <w:t>l’</w:t>
      </w:r>
      <w:r w:rsidRPr="00645D09">
        <w:t>ADN</w:t>
      </w:r>
      <w:proofErr w:type="spellEnd"/>
      <w:r w:rsidRPr="00645D09">
        <w:t xml:space="preserve"> </w:t>
      </w:r>
      <w:proofErr w:type="spellStart"/>
      <w:r w:rsidRPr="00645D09">
        <w:t>dans</w:t>
      </w:r>
      <w:proofErr w:type="spellEnd"/>
      <w:r w:rsidRPr="00645D09">
        <w:t xml:space="preserve"> la </w:t>
      </w:r>
      <w:proofErr w:type="spellStart"/>
      <w:r w:rsidRPr="00645D09">
        <w:t>teneur</w:t>
      </w:r>
      <w:proofErr w:type="spellEnd"/>
      <w:r w:rsidRPr="00645D09">
        <w:t xml:space="preserve"> applicable à compter du 1</w:t>
      </w:r>
      <w:r w:rsidRPr="00645D09">
        <w:rPr>
          <w:vertAlign w:val="superscript"/>
        </w:rPr>
        <w:t>er</w:t>
      </w:r>
      <w:r>
        <w:rPr>
          <w:vertAlign w:val="superscript"/>
        </w:rPr>
        <w:t> </w:t>
      </w:r>
      <w:r w:rsidRPr="00645D09">
        <w:t xml:space="preserve">janvier 2017. Les demandes de modifications qui recouvrent les propositions de modifications figurant au document </w:t>
      </w:r>
      <w:r w:rsidR="00BB1939">
        <w:t>ECE/TRANS/WP.15/AC.2/2017/21</w:t>
      </w:r>
      <w:r w:rsidRPr="00645D09">
        <w:t xml:space="preserve"> </w:t>
      </w:r>
      <w:proofErr w:type="spellStart"/>
      <w:r w:rsidRPr="00645D09">
        <w:t>sont</w:t>
      </w:r>
      <w:proofErr w:type="spellEnd"/>
      <w:r w:rsidRPr="00645D09">
        <w:t xml:space="preserve"> </w:t>
      </w:r>
      <w:proofErr w:type="spellStart"/>
      <w:r w:rsidRPr="00645D09">
        <w:t>marquées</w:t>
      </w:r>
      <w:proofErr w:type="spellEnd"/>
      <w:r w:rsidRPr="00645D09">
        <w:t xml:space="preserve"> </w:t>
      </w:r>
      <w:proofErr w:type="spellStart"/>
      <w:r w:rsidRPr="00645D09">
        <w:t>comme</w:t>
      </w:r>
      <w:proofErr w:type="spellEnd"/>
      <w:r w:rsidRPr="00645D09">
        <w:t xml:space="preserve"> telles.</w:t>
      </w:r>
    </w:p>
    <w:p w:rsidR="00794C5B" w:rsidRPr="00645D09" w:rsidRDefault="00794C5B" w:rsidP="00794C5B">
      <w:pPr>
        <w:pStyle w:val="SingleTxtG"/>
      </w:pPr>
      <w:r w:rsidRPr="00645D09">
        <w:t>2.</w:t>
      </w:r>
      <w:r w:rsidRPr="00645D09">
        <w:tab/>
        <w:t xml:space="preserve">7.1.3.51.2 ADN est modifié pour lire comme </w:t>
      </w:r>
      <w:proofErr w:type="gramStart"/>
      <w:r w:rsidRPr="00645D09">
        <w:t>suit :</w:t>
      </w:r>
      <w:proofErr w:type="gramEnd"/>
    </w:p>
    <w:p w:rsidR="00794C5B" w:rsidRPr="00645D09" w:rsidRDefault="00794C5B" w:rsidP="00794C5B">
      <w:pPr>
        <w:pStyle w:val="SingleTxtG"/>
      </w:pPr>
      <w:r w:rsidRPr="00645D09">
        <w:t>« Il est interdit d'utiliser des câbles électriques mobiles dans la zone protégée. Cette prescription ne s'applique pas aux câbles électriques visés au 9.1.0.53.5.</w:t>
      </w:r>
    </w:p>
    <w:p w:rsidR="00794C5B" w:rsidRPr="00645D09" w:rsidRDefault="00794C5B" w:rsidP="00794C5B">
      <w:pPr>
        <w:pStyle w:val="SingleTxtG"/>
      </w:pPr>
      <w:r w:rsidRPr="00645D09">
        <w:t>Les câbles électriques mobiles doivent faire l'objet d'un contrôle visuel avant chaque utilisation. Ils doivent être installés de telle manière qu'ils ne risquent pas d'être endommagés. Les connecteurs doivent être situés à l'extérieur de la zone protégée.</w:t>
      </w:r>
    </w:p>
    <w:p w:rsidR="00794C5B" w:rsidRPr="00645D09" w:rsidRDefault="00794C5B" w:rsidP="00794C5B">
      <w:pPr>
        <w:pStyle w:val="SingleTxtG"/>
      </w:pPr>
      <w:r w:rsidRPr="00645D09">
        <w:t xml:space="preserve">Les câbles électriques pour le raccordement du réseau électrique du bateau à </w:t>
      </w:r>
      <w:proofErr w:type="gramStart"/>
      <w:r w:rsidRPr="00645D09">
        <w:t>un</w:t>
      </w:r>
      <w:proofErr w:type="gramEnd"/>
      <w:r w:rsidRPr="00645D09">
        <w:t xml:space="preserve"> réseau électrique à terre ne sont pas admis</w:t>
      </w:r>
    </w:p>
    <w:p w:rsidR="00794C5B" w:rsidRPr="00645D09" w:rsidRDefault="00794C5B" w:rsidP="00794C5B">
      <w:pPr>
        <w:pStyle w:val="Bullet1G"/>
      </w:pPr>
      <w:proofErr w:type="spellStart"/>
      <w:r>
        <w:t>L</w:t>
      </w:r>
      <w:r w:rsidRPr="00645D09">
        <w:t>ors</w:t>
      </w:r>
      <w:proofErr w:type="spellEnd"/>
      <w:r w:rsidRPr="00645D09">
        <w:t xml:space="preserve"> du </w:t>
      </w:r>
      <w:proofErr w:type="spellStart"/>
      <w:r w:rsidRPr="00645D09">
        <w:t>chargement</w:t>
      </w:r>
      <w:proofErr w:type="spellEnd"/>
      <w:r w:rsidRPr="00645D09">
        <w:t xml:space="preserve"> </w:t>
      </w:r>
      <w:proofErr w:type="spellStart"/>
      <w:r w:rsidRPr="00645D09">
        <w:t>ou</w:t>
      </w:r>
      <w:proofErr w:type="spellEnd"/>
      <w:r w:rsidRPr="00645D09">
        <w:t xml:space="preserve"> déchargement de matières pour lesquelles la protection contre les explosions est exigée selon la colonne (17) du tableau C de la </w:t>
      </w:r>
      <w:proofErr w:type="spellStart"/>
      <w:r w:rsidRPr="00645D09">
        <w:t>sous</w:t>
      </w:r>
      <w:proofErr w:type="spellEnd"/>
      <w:r w:rsidRPr="00645D09">
        <w:t>-section 3.2.3.2</w:t>
      </w:r>
      <w:r>
        <w:t>;</w:t>
      </w:r>
    </w:p>
    <w:p w:rsidR="00794C5B" w:rsidRPr="00645D09" w:rsidRDefault="00AD0654" w:rsidP="00794C5B">
      <w:pPr>
        <w:pStyle w:val="SingleTxtG"/>
      </w:pPr>
      <w:r>
        <w:tab/>
      </w:r>
      <w:proofErr w:type="spellStart"/>
      <w:proofErr w:type="gramStart"/>
      <w:r w:rsidR="00794C5B" w:rsidRPr="00645D09">
        <w:t>ou</w:t>
      </w:r>
      <w:proofErr w:type="spellEnd"/>
      <w:proofErr w:type="gramEnd"/>
    </w:p>
    <w:p w:rsidR="00794C5B" w:rsidRPr="00645D09" w:rsidRDefault="00AD0654" w:rsidP="00AD0654">
      <w:pPr>
        <w:pStyle w:val="Bullet1G"/>
      </w:pPr>
      <w:proofErr w:type="spellStart"/>
      <w:r>
        <w:t>L</w:t>
      </w:r>
      <w:r w:rsidR="00794C5B" w:rsidRPr="00645D09">
        <w:t>orsque</w:t>
      </w:r>
      <w:proofErr w:type="spellEnd"/>
      <w:r w:rsidR="00794C5B" w:rsidRPr="00645D09">
        <w:t xml:space="preserve"> le bateau </w:t>
      </w:r>
      <w:proofErr w:type="spellStart"/>
      <w:r w:rsidR="00794C5B" w:rsidRPr="00645D09">
        <w:t>séjourne</w:t>
      </w:r>
      <w:proofErr w:type="spellEnd"/>
      <w:r w:rsidR="00794C5B" w:rsidRPr="00645D09">
        <w:t xml:space="preserve"> à proximité immédiate ou à l'intérieur d'une zone assignée à terre. ».</w:t>
      </w:r>
    </w:p>
    <w:p w:rsidR="00794C5B" w:rsidRPr="00645D09" w:rsidRDefault="00794C5B" w:rsidP="00AD0654">
      <w:pPr>
        <w:pStyle w:val="SingleTxtG"/>
      </w:pPr>
      <w:r>
        <w:t>3</w:t>
      </w:r>
      <w:r w:rsidRPr="00645D09">
        <w:t>.</w:t>
      </w:r>
      <w:r w:rsidRPr="00645D09">
        <w:tab/>
        <w:t xml:space="preserve">La dernière phrase </w:t>
      </w:r>
      <w:r>
        <w:t>du</w:t>
      </w:r>
      <w:r w:rsidRPr="00645D09">
        <w:t xml:space="preserve"> 7.1.3.51.3 ADN est modifiée pour lire comme </w:t>
      </w:r>
      <w:proofErr w:type="gramStart"/>
      <w:r w:rsidRPr="00645D09">
        <w:t>suit :</w:t>
      </w:r>
      <w:proofErr w:type="gramEnd"/>
    </w:p>
    <w:p w:rsidR="00794C5B" w:rsidRPr="00645D09" w:rsidRDefault="00EF4E38" w:rsidP="00AD0654">
      <w:pPr>
        <w:pStyle w:val="SingleTxtG"/>
      </w:pPr>
      <w:r>
        <w:tab/>
      </w:r>
      <w:r w:rsidR="00794C5B" w:rsidRPr="00645D09">
        <w:t xml:space="preserve">« Le </w:t>
      </w:r>
      <w:proofErr w:type="spellStart"/>
      <w:r w:rsidR="00794C5B" w:rsidRPr="00645D09">
        <w:t>branchement</w:t>
      </w:r>
      <w:proofErr w:type="spellEnd"/>
      <w:r w:rsidR="00794C5B" w:rsidRPr="00645D09">
        <w:t xml:space="preserve"> et le </w:t>
      </w:r>
      <w:proofErr w:type="spellStart"/>
      <w:r w:rsidR="00794C5B" w:rsidRPr="00645D09">
        <w:t>débranchement</w:t>
      </w:r>
      <w:proofErr w:type="spellEnd"/>
      <w:r w:rsidR="00794C5B" w:rsidRPr="00645D09">
        <w:t xml:space="preserve"> ne </w:t>
      </w:r>
      <w:proofErr w:type="spellStart"/>
      <w:r w:rsidR="00794C5B" w:rsidRPr="00645D09">
        <w:t>doivent</w:t>
      </w:r>
      <w:proofErr w:type="spellEnd"/>
      <w:r w:rsidR="00794C5B" w:rsidRPr="00645D09">
        <w:t xml:space="preserve"> </w:t>
      </w:r>
      <w:proofErr w:type="spellStart"/>
      <w:r w:rsidR="00794C5B" w:rsidRPr="00645D09">
        <w:t>être</w:t>
      </w:r>
      <w:proofErr w:type="spellEnd"/>
      <w:r w:rsidR="00794C5B" w:rsidRPr="00645D09">
        <w:t xml:space="preserve"> </w:t>
      </w:r>
      <w:proofErr w:type="spellStart"/>
      <w:r w:rsidR="00794C5B" w:rsidRPr="00645D09">
        <w:t>possibles</w:t>
      </w:r>
      <w:proofErr w:type="spellEnd"/>
      <w:r w:rsidR="00794C5B" w:rsidRPr="00645D09">
        <w:t xml:space="preserve"> </w:t>
      </w:r>
      <w:proofErr w:type="spellStart"/>
      <w:r w:rsidR="00794C5B" w:rsidRPr="00645D09">
        <w:t>que</w:t>
      </w:r>
      <w:proofErr w:type="spellEnd"/>
      <w:r w:rsidR="00794C5B" w:rsidRPr="00645D09">
        <w:t xml:space="preserve"> </w:t>
      </w:r>
      <w:proofErr w:type="spellStart"/>
      <w:r w:rsidR="00794C5B" w:rsidRPr="00645D09">
        <w:t>si</w:t>
      </w:r>
      <w:proofErr w:type="spellEnd"/>
      <w:r w:rsidR="00794C5B" w:rsidRPr="00645D09">
        <w:t xml:space="preserve"> les prises </w:t>
      </w:r>
      <w:r>
        <w:tab/>
      </w:r>
      <w:proofErr w:type="spellStart"/>
      <w:r w:rsidR="00794C5B" w:rsidRPr="00645D09">
        <w:t>sont</w:t>
      </w:r>
      <w:proofErr w:type="spellEnd"/>
      <w:r w:rsidR="00794C5B" w:rsidRPr="00645D09">
        <w:t xml:space="preserve"> hors tension ».</w:t>
      </w:r>
    </w:p>
    <w:p w:rsidR="00794C5B" w:rsidRPr="00645D09" w:rsidRDefault="00794C5B" w:rsidP="00AD0654">
      <w:pPr>
        <w:pStyle w:val="SingleTxtG"/>
      </w:pPr>
      <w:r>
        <w:t>4</w:t>
      </w:r>
      <w:r w:rsidRPr="00645D09">
        <w:t>.</w:t>
      </w:r>
      <w:r w:rsidRPr="00645D09">
        <w:tab/>
        <w:t>À la sous-section 7.1.5.3 ADN, insérer après « mais </w:t>
      </w:r>
      <w:proofErr w:type="gramStart"/>
      <w:r w:rsidRPr="00645D09">
        <w:t>» :</w:t>
      </w:r>
      <w:proofErr w:type="gramEnd"/>
    </w:p>
    <w:p w:rsidR="00794C5B" w:rsidRPr="00645D09" w:rsidRDefault="00EF4E38" w:rsidP="00AD0654">
      <w:pPr>
        <w:pStyle w:val="SingleTxtG"/>
      </w:pPr>
      <w:r>
        <w:tab/>
      </w:r>
      <w:r w:rsidR="00794C5B" w:rsidRPr="00645D09">
        <w:t>« </w:t>
      </w:r>
      <w:proofErr w:type="gramStart"/>
      <w:r w:rsidR="00794C5B" w:rsidRPr="00645D09">
        <w:t>de</w:t>
      </w:r>
      <w:proofErr w:type="gramEnd"/>
      <w:r w:rsidR="00794C5B" w:rsidRPr="00645D09">
        <w:t xml:space="preserve"> </w:t>
      </w:r>
      <w:proofErr w:type="spellStart"/>
      <w:r w:rsidR="00794C5B" w:rsidRPr="00645D09">
        <w:t>sorte</w:t>
      </w:r>
      <w:proofErr w:type="spellEnd"/>
      <w:r w:rsidR="00794C5B" w:rsidRPr="00645D09">
        <w:t xml:space="preserve"> </w:t>
      </w:r>
      <w:proofErr w:type="spellStart"/>
      <w:r w:rsidR="00794C5B" w:rsidRPr="00645D09">
        <w:t>que</w:t>
      </w:r>
      <w:proofErr w:type="spellEnd"/>
      <w:r w:rsidR="00794C5B" w:rsidRPr="00645D09">
        <w:t xml:space="preserve"> les </w:t>
      </w:r>
      <w:proofErr w:type="spellStart"/>
      <w:r w:rsidR="00794C5B" w:rsidRPr="00645D09">
        <w:t>câbles</w:t>
      </w:r>
      <w:proofErr w:type="spellEnd"/>
      <w:r w:rsidR="00794C5B" w:rsidRPr="00645D09">
        <w:t xml:space="preserve"> </w:t>
      </w:r>
      <w:proofErr w:type="spellStart"/>
      <w:r w:rsidR="00794C5B" w:rsidRPr="00645D09">
        <w:t>électriques</w:t>
      </w:r>
      <w:proofErr w:type="spellEnd"/>
      <w:r w:rsidR="00794C5B" w:rsidRPr="00645D09">
        <w:t xml:space="preserve"> ne </w:t>
      </w:r>
      <w:proofErr w:type="spellStart"/>
      <w:r w:rsidR="00794C5B" w:rsidRPr="00645D09">
        <w:t>soient</w:t>
      </w:r>
      <w:proofErr w:type="spellEnd"/>
      <w:r w:rsidR="00794C5B" w:rsidRPr="00645D09">
        <w:t xml:space="preserve"> pas </w:t>
      </w:r>
      <w:proofErr w:type="spellStart"/>
      <w:r w:rsidR="00794C5B" w:rsidRPr="00645D09">
        <w:t>comprimés</w:t>
      </w:r>
      <w:proofErr w:type="spellEnd"/>
      <w:r w:rsidR="00794C5B" w:rsidRPr="00645D09">
        <w:t xml:space="preserve"> </w:t>
      </w:r>
      <w:proofErr w:type="spellStart"/>
      <w:r w:rsidR="00794C5B" w:rsidRPr="00645D09">
        <w:t>ou</w:t>
      </w:r>
      <w:proofErr w:type="spellEnd"/>
      <w:r w:rsidR="00794C5B" w:rsidRPr="00645D09">
        <w:t xml:space="preserve"> pliés, </w:t>
      </w:r>
      <w:proofErr w:type="spellStart"/>
      <w:r w:rsidR="00794C5B" w:rsidRPr="00645D09">
        <w:t>qu'ils</w:t>
      </w:r>
      <w:proofErr w:type="spellEnd"/>
      <w:r w:rsidR="00794C5B" w:rsidRPr="00645D09">
        <w:t xml:space="preserve"> ne </w:t>
      </w:r>
      <w:r>
        <w:tab/>
      </w:r>
      <w:proofErr w:type="spellStart"/>
      <w:r w:rsidR="00794C5B" w:rsidRPr="00645D09">
        <w:t>puissent</w:t>
      </w:r>
      <w:proofErr w:type="spellEnd"/>
      <w:r w:rsidR="00794C5B" w:rsidRPr="00645D09">
        <w:t xml:space="preserve"> </w:t>
      </w:r>
      <w:proofErr w:type="spellStart"/>
      <w:r w:rsidR="00794C5B" w:rsidRPr="00645D09">
        <w:t>subir</w:t>
      </w:r>
      <w:proofErr w:type="spellEnd"/>
      <w:r w:rsidR="00794C5B" w:rsidRPr="00645D09">
        <w:t xml:space="preserve"> </w:t>
      </w:r>
      <w:proofErr w:type="spellStart"/>
      <w:r w:rsidR="00794C5B" w:rsidRPr="00645D09">
        <w:t>une</w:t>
      </w:r>
      <w:proofErr w:type="spellEnd"/>
      <w:r w:rsidR="00794C5B" w:rsidRPr="00645D09">
        <w:t xml:space="preserve"> </w:t>
      </w:r>
      <w:proofErr w:type="spellStart"/>
      <w:r w:rsidR="00794C5B" w:rsidRPr="00645D09">
        <w:t>déformation</w:t>
      </w:r>
      <w:proofErr w:type="spellEnd"/>
      <w:r w:rsidR="00794C5B" w:rsidRPr="00645D09">
        <w:t xml:space="preserve"> due à la traction et ».</w:t>
      </w:r>
    </w:p>
    <w:p w:rsidR="00794C5B" w:rsidRPr="00645D09" w:rsidRDefault="00794C5B" w:rsidP="00AD0654">
      <w:pPr>
        <w:pStyle w:val="SingleTxtG"/>
      </w:pPr>
      <w:r>
        <w:t>5</w:t>
      </w:r>
      <w:r w:rsidR="00EF4E38">
        <w:t>.</w:t>
      </w:r>
      <w:r w:rsidRPr="00645D09">
        <w:tab/>
        <w:t xml:space="preserve">7.2.3.51.2 ADN est modifié pour lire comme </w:t>
      </w:r>
      <w:proofErr w:type="gramStart"/>
      <w:r w:rsidRPr="00645D09">
        <w:t>suit :</w:t>
      </w:r>
      <w:proofErr w:type="gramEnd"/>
    </w:p>
    <w:p w:rsidR="00794C5B" w:rsidRPr="00645D09" w:rsidRDefault="00EF4E38" w:rsidP="00AD0654">
      <w:pPr>
        <w:pStyle w:val="SingleTxtG"/>
      </w:pPr>
      <w:r>
        <w:tab/>
      </w:r>
      <w:r w:rsidR="00794C5B" w:rsidRPr="00645D09">
        <w:t xml:space="preserve">« Il </w:t>
      </w:r>
      <w:proofErr w:type="spellStart"/>
      <w:r w:rsidR="00794C5B" w:rsidRPr="00645D09">
        <w:t>est</w:t>
      </w:r>
      <w:proofErr w:type="spellEnd"/>
      <w:r w:rsidR="00794C5B" w:rsidRPr="00645D09">
        <w:t xml:space="preserve"> </w:t>
      </w:r>
      <w:proofErr w:type="spellStart"/>
      <w:r w:rsidR="00794C5B" w:rsidRPr="00645D09">
        <w:t>interdit</w:t>
      </w:r>
      <w:proofErr w:type="spellEnd"/>
      <w:r w:rsidR="00794C5B" w:rsidRPr="00645D09">
        <w:t xml:space="preserve"> </w:t>
      </w:r>
      <w:proofErr w:type="spellStart"/>
      <w:r w:rsidR="00794C5B" w:rsidRPr="00645D09">
        <w:t>d'utiliser</w:t>
      </w:r>
      <w:proofErr w:type="spellEnd"/>
      <w:r w:rsidR="00794C5B" w:rsidRPr="00645D09">
        <w:t xml:space="preserve"> des </w:t>
      </w:r>
      <w:proofErr w:type="spellStart"/>
      <w:r w:rsidR="00794C5B" w:rsidRPr="00645D09">
        <w:t>câbles</w:t>
      </w:r>
      <w:proofErr w:type="spellEnd"/>
      <w:r w:rsidR="00794C5B" w:rsidRPr="00645D09">
        <w:t xml:space="preserve"> </w:t>
      </w:r>
      <w:proofErr w:type="spellStart"/>
      <w:r w:rsidR="00794C5B" w:rsidRPr="00645D09">
        <w:t>électriques</w:t>
      </w:r>
      <w:proofErr w:type="spellEnd"/>
      <w:r w:rsidR="00794C5B" w:rsidRPr="00645D09">
        <w:t xml:space="preserve"> mobiles </w:t>
      </w:r>
      <w:proofErr w:type="spellStart"/>
      <w:r w:rsidR="00794C5B" w:rsidRPr="00645D09">
        <w:t>dans</w:t>
      </w:r>
      <w:proofErr w:type="spellEnd"/>
      <w:r w:rsidR="00794C5B" w:rsidRPr="00645D09">
        <w:t xml:space="preserve"> la zone de danger </w:t>
      </w:r>
      <w:r>
        <w:tab/>
      </w:r>
      <w:proofErr w:type="spellStart"/>
      <w:r>
        <w:t>d’</w:t>
      </w:r>
      <w:r w:rsidR="00794C5B" w:rsidRPr="00645D09">
        <w:t>explosion</w:t>
      </w:r>
      <w:proofErr w:type="spellEnd"/>
      <w:r w:rsidR="00794C5B" w:rsidRPr="00645D09">
        <w:t xml:space="preserve">. </w:t>
      </w:r>
      <w:proofErr w:type="spellStart"/>
      <w:r w:rsidR="00794C5B" w:rsidRPr="00645D09">
        <w:t>Cette</w:t>
      </w:r>
      <w:proofErr w:type="spellEnd"/>
      <w:r w:rsidR="00794C5B" w:rsidRPr="00645D09">
        <w:t xml:space="preserve"> prescription ne </w:t>
      </w:r>
      <w:proofErr w:type="spellStart"/>
      <w:r w:rsidR="00794C5B" w:rsidRPr="00645D09">
        <w:t>s'applique</w:t>
      </w:r>
      <w:proofErr w:type="spellEnd"/>
      <w:r w:rsidR="00794C5B" w:rsidRPr="00645D09">
        <w:t xml:space="preserve"> pas aux </w:t>
      </w:r>
      <w:proofErr w:type="spellStart"/>
      <w:r w:rsidR="00794C5B" w:rsidRPr="00645D09">
        <w:t>câbles</w:t>
      </w:r>
      <w:proofErr w:type="spellEnd"/>
      <w:r w:rsidR="00794C5B" w:rsidRPr="00645D09">
        <w:t xml:space="preserve"> </w:t>
      </w:r>
      <w:proofErr w:type="spellStart"/>
      <w:r w:rsidR="00794C5B" w:rsidRPr="00645D09">
        <w:t>électriques</w:t>
      </w:r>
      <w:proofErr w:type="spellEnd"/>
      <w:r w:rsidR="00794C5B" w:rsidRPr="00645D09">
        <w:t xml:space="preserve"> mobiles </w:t>
      </w:r>
      <w:r>
        <w:tab/>
      </w:r>
      <w:proofErr w:type="spellStart"/>
      <w:r w:rsidR="00794C5B" w:rsidRPr="00645D09">
        <w:t>visés</w:t>
      </w:r>
      <w:proofErr w:type="spellEnd"/>
      <w:r w:rsidR="00794C5B" w:rsidRPr="00645D09">
        <w:t xml:space="preserve"> aux 9.3.1.56.3, 9.3.2.56.3, 9.3.3.56.3.</w:t>
      </w:r>
    </w:p>
    <w:p w:rsidR="00794C5B" w:rsidRPr="00645D09" w:rsidRDefault="00794C5B" w:rsidP="00AD0654">
      <w:pPr>
        <w:pStyle w:val="SingleTxtG"/>
      </w:pPr>
      <w:r w:rsidRPr="00645D09">
        <w:t>Les câbles électriques mobiles doivent faire l'objet d'un contrôle visuel avant chaque utilisation. Ils doivent être installés de telle manière qu'ils ne risquent pas d'être endommagés. Les connecteurs doivent être situés à l'extérieur de la zone de danger d'explosion.</w:t>
      </w:r>
    </w:p>
    <w:p w:rsidR="00794C5B" w:rsidRPr="00645D09" w:rsidRDefault="00794C5B" w:rsidP="00AD0654">
      <w:pPr>
        <w:pStyle w:val="SingleTxtG"/>
      </w:pPr>
      <w:r w:rsidRPr="00645D09">
        <w:t xml:space="preserve">Les câbles électriques pour le raccordement du réseau électrique du bateau à </w:t>
      </w:r>
      <w:proofErr w:type="gramStart"/>
      <w:r w:rsidRPr="00645D09">
        <w:t>un</w:t>
      </w:r>
      <w:proofErr w:type="gramEnd"/>
      <w:r w:rsidRPr="00645D09">
        <w:t xml:space="preserve"> réseau électrique à terre ne sont pas admis</w:t>
      </w:r>
    </w:p>
    <w:p w:rsidR="00794C5B" w:rsidRPr="00645D09" w:rsidRDefault="00AD0654" w:rsidP="00AD0654">
      <w:pPr>
        <w:pStyle w:val="Bullet1G"/>
      </w:pPr>
      <w:proofErr w:type="spellStart"/>
      <w:r>
        <w:lastRenderedPageBreak/>
        <w:t>L</w:t>
      </w:r>
      <w:r w:rsidR="00794C5B" w:rsidRPr="00645D09">
        <w:t>ors</w:t>
      </w:r>
      <w:proofErr w:type="spellEnd"/>
      <w:r w:rsidR="00794C5B" w:rsidRPr="00645D09">
        <w:t xml:space="preserve"> du </w:t>
      </w:r>
      <w:proofErr w:type="spellStart"/>
      <w:r w:rsidR="00794C5B" w:rsidRPr="00645D09">
        <w:t>chargement</w:t>
      </w:r>
      <w:proofErr w:type="spellEnd"/>
      <w:r w:rsidR="00794C5B" w:rsidRPr="00645D09">
        <w:t xml:space="preserve"> </w:t>
      </w:r>
      <w:proofErr w:type="spellStart"/>
      <w:r w:rsidR="00794C5B" w:rsidRPr="00645D09">
        <w:t>ou</w:t>
      </w:r>
      <w:proofErr w:type="spellEnd"/>
      <w:r w:rsidR="00794C5B" w:rsidRPr="00645D09">
        <w:t xml:space="preserve"> déchargement de matières pour lesquelles la protection contre les explosions est exigée selon la colonne (17) du tableau C de la </w:t>
      </w:r>
      <w:proofErr w:type="spellStart"/>
      <w:r w:rsidR="00794C5B" w:rsidRPr="00645D09">
        <w:t>sous</w:t>
      </w:r>
      <w:proofErr w:type="spellEnd"/>
      <w:r w:rsidR="00794C5B" w:rsidRPr="00645D09">
        <w:t>-section 3.2.3.2</w:t>
      </w:r>
      <w:r>
        <w:t>;</w:t>
      </w:r>
    </w:p>
    <w:p w:rsidR="00794C5B" w:rsidRPr="00645D09" w:rsidRDefault="00794C5B" w:rsidP="00AD0654">
      <w:pPr>
        <w:pStyle w:val="SingleTxtG"/>
      </w:pPr>
      <w:proofErr w:type="gramStart"/>
      <w:r w:rsidRPr="00645D09">
        <w:t>ou</w:t>
      </w:r>
      <w:proofErr w:type="gramEnd"/>
    </w:p>
    <w:p w:rsidR="00794C5B" w:rsidRPr="00645D09" w:rsidRDefault="00AD0654" w:rsidP="00AD0654">
      <w:pPr>
        <w:pStyle w:val="Bullet1G"/>
      </w:pPr>
      <w:proofErr w:type="spellStart"/>
      <w:r>
        <w:t>L</w:t>
      </w:r>
      <w:r w:rsidR="00794C5B" w:rsidRPr="00645D09">
        <w:t>orsque</w:t>
      </w:r>
      <w:proofErr w:type="spellEnd"/>
      <w:r w:rsidR="00794C5B" w:rsidRPr="00645D09">
        <w:t xml:space="preserve"> le bateau </w:t>
      </w:r>
      <w:proofErr w:type="spellStart"/>
      <w:r w:rsidR="00794C5B" w:rsidRPr="00645D09">
        <w:t>séjourne</w:t>
      </w:r>
      <w:proofErr w:type="spellEnd"/>
      <w:r w:rsidR="00794C5B" w:rsidRPr="00645D09">
        <w:t xml:space="preserve"> à proximité immédiate ou à l'intérieur d'une zone assignée à terre. ».</w:t>
      </w:r>
    </w:p>
    <w:p w:rsidR="00794C5B" w:rsidRPr="00645D09" w:rsidRDefault="00794C5B" w:rsidP="00AD0654">
      <w:pPr>
        <w:pStyle w:val="SingleTxtG"/>
      </w:pPr>
      <w:r>
        <w:t>6</w:t>
      </w:r>
      <w:r w:rsidRPr="00645D09">
        <w:t>.</w:t>
      </w:r>
      <w:r w:rsidRPr="00645D09">
        <w:tab/>
        <w:t>À la sous-section 7.2.5.3 ADN, insérer après « tuyauteries flexibles </w:t>
      </w:r>
      <w:proofErr w:type="gramStart"/>
      <w:r w:rsidRPr="00645D09">
        <w:t>» :</w:t>
      </w:r>
      <w:proofErr w:type="gramEnd"/>
    </w:p>
    <w:p w:rsidR="00794C5B" w:rsidRPr="00645D09" w:rsidRDefault="00AD0654" w:rsidP="00AD0654">
      <w:pPr>
        <w:pStyle w:val="SingleTxtG"/>
      </w:pPr>
      <w:r>
        <w:tab/>
      </w:r>
      <w:r w:rsidR="00794C5B" w:rsidRPr="00645D09">
        <w:t>« </w:t>
      </w:r>
      <w:proofErr w:type="gramStart"/>
      <w:r w:rsidR="00794C5B" w:rsidRPr="00645D09">
        <w:t>ne</w:t>
      </w:r>
      <w:proofErr w:type="gramEnd"/>
      <w:r w:rsidR="00794C5B" w:rsidRPr="00645D09">
        <w:t xml:space="preserve"> </w:t>
      </w:r>
      <w:proofErr w:type="spellStart"/>
      <w:r w:rsidR="00794C5B" w:rsidRPr="00645D09">
        <w:t>soient</w:t>
      </w:r>
      <w:proofErr w:type="spellEnd"/>
      <w:r w:rsidR="00794C5B" w:rsidRPr="00645D09">
        <w:t xml:space="preserve"> pas </w:t>
      </w:r>
      <w:proofErr w:type="spellStart"/>
      <w:r w:rsidR="00794C5B" w:rsidRPr="00645D09">
        <w:t>comprimés</w:t>
      </w:r>
      <w:proofErr w:type="spellEnd"/>
      <w:r w:rsidR="00794C5B" w:rsidRPr="00645D09">
        <w:t xml:space="preserve"> </w:t>
      </w:r>
      <w:proofErr w:type="spellStart"/>
      <w:r w:rsidR="00794C5B" w:rsidRPr="00645D09">
        <w:t>ou</w:t>
      </w:r>
      <w:proofErr w:type="spellEnd"/>
      <w:r w:rsidR="00794C5B" w:rsidRPr="00645D09">
        <w:t xml:space="preserve"> pliés, ».</w:t>
      </w:r>
    </w:p>
    <w:p w:rsidR="00794C5B" w:rsidRPr="00645D09" w:rsidRDefault="00794C5B" w:rsidP="00AD0654">
      <w:pPr>
        <w:pStyle w:val="SingleTxtG"/>
      </w:pPr>
      <w:r>
        <w:t>7</w:t>
      </w:r>
      <w:r w:rsidRPr="00645D09">
        <w:t>.</w:t>
      </w:r>
      <w:r w:rsidRPr="00645D09">
        <w:tab/>
        <w:t>7.2.3.51.3 ADN, dernière phrase</w:t>
      </w:r>
    </w:p>
    <w:p w:rsidR="00794C5B" w:rsidRPr="00645D09" w:rsidRDefault="00794C5B" w:rsidP="00AD0654">
      <w:pPr>
        <w:pStyle w:val="SingleTxtG"/>
        <w:rPr>
          <w:u w:val="single"/>
        </w:rPr>
      </w:pPr>
      <w:r w:rsidRPr="00645D09">
        <w:t xml:space="preserve">Remplacer « La connexion et la déconnexion » </w:t>
      </w:r>
      <w:proofErr w:type="gramStart"/>
      <w:r w:rsidRPr="00645D09">
        <w:t>par :</w:t>
      </w:r>
      <w:proofErr w:type="gramEnd"/>
      <w:r w:rsidRPr="00645D09">
        <w:t xml:space="preserve"> « Le branchement et le débranchement ».</w:t>
      </w:r>
    </w:p>
    <w:p w:rsidR="00794C5B" w:rsidRPr="00645D09" w:rsidRDefault="00794C5B" w:rsidP="00AD0654">
      <w:pPr>
        <w:pStyle w:val="SingleTxtG"/>
      </w:pPr>
      <w:r>
        <w:t>8</w:t>
      </w:r>
      <w:r w:rsidR="00AD0654">
        <w:t>.</w:t>
      </w:r>
      <w:r w:rsidRPr="00645D09">
        <w:tab/>
        <w:t xml:space="preserve">9.1.0.53.4 ADN dans la version du document </w:t>
      </w:r>
      <w:r w:rsidR="00BB1939">
        <w:t>ECE/TRANS/WP.15/AC.2/2017/21</w:t>
      </w:r>
      <w:r w:rsidRPr="00645D09">
        <w:t xml:space="preserve"> </w:t>
      </w:r>
      <w:proofErr w:type="spellStart"/>
      <w:r w:rsidRPr="00645D09">
        <w:t>est</w:t>
      </w:r>
      <w:proofErr w:type="spellEnd"/>
      <w:r w:rsidRPr="00645D09">
        <w:t xml:space="preserve"> </w:t>
      </w:r>
      <w:proofErr w:type="spellStart"/>
      <w:r w:rsidRPr="00645D09">
        <w:t>modifié</w:t>
      </w:r>
      <w:proofErr w:type="spellEnd"/>
      <w:r w:rsidRPr="00645D09">
        <w:t xml:space="preserve"> pour lire comme </w:t>
      </w:r>
      <w:proofErr w:type="gramStart"/>
      <w:r w:rsidRPr="00645D09">
        <w:t>suit :</w:t>
      </w:r>
      <w:proofErr w:type="gramEnd"/>
    </w:p>
    <w:p w:rsidR="00794C5B" w:rsidRPr="00645D09" w:rsidRDefault="00794C5B" w:rsidP="00AD0654">
      <w:pPr>
        <w:pStyle w:val="SingleTxtG"/>
      </w:pPr>
      <w:r w:rsidRPr="00645D09">
        <w:t xml:space="preserve">Les câbles électriques mobiles sont interdits dans la zone protégée, à l'exception des câbles électriques pour les circuits à sécurité intrinsèque </w:t>
      </w:r>
      <w:proofErr w:type="gramStart"/>
      <w:r w:rsidRPr="00645D09">
        <w:t>et</w:t>
      </w:r>
      <w:proofErr w:type="gramEnd"/>
      <w:r w:rsidRPr="00645D09">
        <w:t xml:space="preserve"> pour le raccordement</w:t>
      </w:r>
    </w:p>
    <w:p w:rsidR="00794C5B" w:rsidRPr="00645D09" w:rsidRDefault="00AD0654" w:rsidP="00AD0654">
      <w:pPr>
        <w:pStyle w:val="Bullet1G"/>
      </w:pPr>
      <w:r>
        <w:t>D</w:t>
      </w:r>
      <w:r w:rsidR="00794C5B" w:rsidRPr="00645D09">
        <w:t xml:space="preserve">es </w:t>
      </w:r>
      <w:proofErr w:type="spellStart"/>
      <w:r w:rsidR="00794C5B" w:rsidRPr="00645D09">
        <w:t>feux</w:t>
      </w:r>
      <w:proofErr w:type="spellEnd"/>
      <w:r w:rsidR="00794C5B" w:rsidRPr="00645D09">
        <w:t xml:space="preserve"> de signalisation et de passerelle, si le point de raccordement (par ex. la prise de courant) est installé à demeure à bord du bateau à proximité immédiate du mât de signalisation ou de la passerelle ;</w:t>
      </w:r>
    </w:p>
    <w:p w:rsidR="00794C5B" w:rsidRPr="00645D09" w:rsidRDefault="00AD0654" w:rsidP="00AD0654">
      <w:pPr>
        <w:pStyle w:val="Bullet1G"/>
      </w:pPr>
      <w:r>
        <w:t>D</w:t>
      </w:r>
      <w:r w:rsidR="00794C5B" w:rsidRPr="00645D09">
        <w:t xml:space="preserve">e </w:t>
      </w:r>
      <w:proofErr w:type="spellStart"/>
      <w:r w:rsidR="00794C5B" w:rsidRPr="00645D09">
        <w:t>conteneurs</w:t>
      </w:r>
      <w:proofErr w:type="spellEnd"/>
      <w:r w:rsidR="00794C5B" w:rsidRPr="00645D09">
        <w:t xml:space="preserve"> ;</w:t>
      </w:r>
    </w:p>
    <w:p w:rsidR="00794C5B" w:rsidRPr="00645D09" w:rsidRDefault="00AD0654" w:rsidP="00AD0654">
      <w:pPr>
        <w:pStyle w:val="Bullet1G"/>
      </w:pPr>
      <w:r>
        <w:t>D</w:t>
      </w:r>
      <w:r w:rsidR="00794C5B" w:rsidRPr="00645D09">
        <w:t>e chario</w:t>
      </w:r>
      <w:r w:rsidR="00EF4E38">
        <w:t xml:space="preserve">ts de </w:t>
      </w:r>
      <w:proofErr w:type="spellStart"/>
      <w:r w:rsidR="00EF4E38">
        <w:t>panneaux</w:t>
      </w:r>
      <w:proofErr w:type="spellEnd"/>
      <w:r w:rsidR="00EF4E38">
        <w:t xml:space="preserve"> </w:t>
      </w:r>
      <w:proofErr w:type="spellStart"/>
      <w:r w:rsidR="00EF4E38">
        <w:t>d’</w:t>
      </w:r>
      <w:r w:rsidR="00794C5B" w:rsidRPr="00645D09">
        <w:t>écoutilles</w:t>
      </w:r>
      <w:proofErr w:type="spellEnd"/>
      <w:r w:rsidR="00794C5B" w:rsidRPr="00645D09">
        <w:t>;</w:t>
      </w:r>
    </w:p>
    <w:p w:rsidR="00794C5B" w:rsidRPr="00645D09" w:rsidRDefault="00AD0654" w:rsidP="00AD0654">
      <w:pPr>
        <w:pStyle w:val="Bullet1G"/>
      </w:pPr>
      <w:r>
        <w:t>D</w:t>
      </w:r>
      <w:r w:rsidR="00794C5B" w:rsidRPr="00645D09">
        <w:t xml:space="preserve">e </w:t>
      </w:r>
      <w:proofErr w:type="spellStart"/>
      <w:r w:rsidR="00794C5B" w:rsidRPr="00645D09">
        <w:t>pompes</w:t>
      </w:r>
      <w:proofErr w:type="spellEnd"/>
      <w:r w:rsidR="00794C5B" w:rsidRPr="00645D09">
        <w:t xml:space="preserve"> </w:t>
      </w:r>
      <w:proofErr w:type="spellStart"/>
      <w:r w:rsidR="00794C5B" w:rsidRPr="00645D09">
        <w:t>immergées</w:t>
      </w:r>
      <w:proofErr w:type="spellEnd"/>
      <w:r w:rsidR="00794C5B" w:rsidRPr="00645D09">
        <w:t xml:space="preserve"> ;</w:t>
      </w:r>
    </w:p>
    <w:p w:rsidR="00794C5B" w:rsidRPr="00645D09" w:rsidRDefault="00AD0654" w:rsidP="00AD0654">
      <w:pPr>
        <w:pStyle w:val="Bullet1G"/>
      </w:pPr>
      <w:r>
        <w:t>D</w:t>
      </w:r>
      <w:r w:rsidR="00794C5B" w:rsidRPr="00645D09">
        <w:t xml:space="preserve">e </w:t>
      </w:r>
      <w:proofErr w:type="spellStart"/>
      <w:r w:rsidR="00794C5B" w:rsidRPr="00645D09">
        <w:t>ventilateurs</w:t>
      </w:r>
      <w:proofErr w:type="spellEnd"/>
      <w:r w:rsidR="00794C5B" w:rsidRPr="00645D09">
        <w:t xml:space="preserve"> de </w:t>
      </w:r>
      <w:proofErr w:type="spellStart"/>
      <w:r w:rsidR="00794C5B" w:rsidRPr="00645D09">
        <w:t>cale</w:t>
      </w:r>
      <w:proofErr w:type="spellEnd"/>
      <w:r w:rsidR="00794C5B" w:rsidRPr="00645D09">
        <w:t xml:space="preserve"> ;</w:t>
      </w:r>
    </w:p>
    <w:p w:rsidR="00794C5B" w:rsidRPr="00645D09" w:rsidRDefault="00AD0654" w:rsidP="00AD0654">
      <w:pPr>
        <w:pStyle w:val="Bullet1G"/>
      </w:pPr>
      <w:r>
        <w:t>D</w:t>
      </w:r>
      <w:r w:rsidR="00794C5B" w:rsidRPr="00645D09">
        <w:t xml:space="preserve">u </w:t>
      </w:r>
      <w:proofErr w:type="spellStart"/>
      <w:r w:rsidR="00794C5B" w:rsidRPr="00645D09">
        <w:t>réseau</w:t>
      </w:r>
      <w:proofErr w:type="spellEnd"/>
      <w:r w:rsidR="00794C5B" w:rsidRPr="00645D09">
        <w:t xml:space="preserve"> </w:t>
      </w:r>
      <w:proofErr w:type="spellStart"/>
      <w:r w:rsidR="00794C5B" w:rsidRPr="00645D09">
        <w:t>électrique</w:t>
      </w:r>
      <w:proofErr w:type="spellEnd"/>
      <w:r w:rsidR="00794C5B" w:rsidRPr="00645D09">
        <w:t xml:space="preserve"> du bateau</w:t>
      </w:r>
      <w:r>
        <w:t xml:space="preserve"> à un </w:t>
      </w:r>
      <w:proofErr w:type="spellStart"/>
      <w:r>
        <w:t>réseau</w:t>
      </w:r>
      <w:proofErr w:type="spellEnd"/>
      <w:r>
        <w:t xml:space="preserve"> </w:t>
      </w:r>
      <w:proofErr w:type="spellStart"/>
      <w:r>
        <w:t>électrique</w:t>
      </w:r>
      <w:proofErr w:type="spellEnd"/>
      <w:r>
        <w:t xml:space="preserve"> à </w:t>
      </w:r>
      <w:proofErr w:type="spellStart"/>
      <w:r>
        <w:t>terre</w:t>
      </w:r>
      <w:proofErr w:type="spellEnd"/>
      <w:r>
        <w:t>;</w:t>
      </w:r>
      <w:r w:rsidR="00794C5B" w:rsidRPr="00645D09">
        <w:t xml:space="preserve"> </w:t>
      </w:r>
      <w:proofErr w:type="spellStart"/>
      <w:r w:rsidR="00794C5B" w:rsidRPr="00645D09">
        <w:t>si</w:t>
      </w:r>
      <w:proofErr w:type="spellEnd"/>
    </w:p>
    <w:p w:rsidR="00794C5B" w:rsidRPr="00645D09" w:rsidRDefault="00EF4E38" w:rsidP="00AD0654">
      <w:pPr>
        <w:pStyle w:val="SingleTxtG"/>
      </w:pPr>
      <w:r>
        <w:tab/>
      </w:r>
      <w:r w:rsidR="00794C5B" w:rsidRPr="00645D09">
        <w:t>a)</w:t>
      </w:r>
      <w:r w:rsidR="00794C5B">
        <w:tab/>
      </w:r>
      <w:proofErr w:type="spellStart"/>
      <w:r w:rsidR="00AD0654">
        <w:t>C</w:t>
      </w:r>
      <w:r w:rsidR="00794C5B" w:rsidRPr="00645D09">
        <w:t>es</w:t>
      </w:r>
      <w:proofErr w:type="spellEnd"/>
      <w:r w:rsidR="00794C5B" w:rsidRPr="00645D09">
        <w:t xml:space="preserve"> </w:t>
      </w:r>
      <w:proofErr w:type="spellStart"/>
      <w:r w:rsidR="00794C5B" w:rsidRPr="00645D09">
        <w:t>câbles</w:t>
      </w:r>
      <w:proofErr w:type="spellEnd"/>
      <w:r w:rsidR="00794C5B" w:rsidRPr="00645D09">
        <w:t xml:space="preserve"> </w:t>
      </w:r>
      <w:proofErr w:type="spellStart"/>
      <w:r w:rsidR="00794C5B" w:rsidRPr="00645D09">
        <w:t>électriques</w:t>
      </w:r>
      <w:proofErr w:type="spellEnd"/>
      <w:r w:rsidR="00794C5B" w:rsidRPr="00645D09">
        <w:t xml:space="preserve"> et l’unité d’alimentation à bord sont conformes à une norme en vigueur (par ex. EN 15869-</w:t>
      </w:r>
      <w:proofErr w:type="gramStart"/>
      <w:r w:rsidR="00794C5B" w:rsidRPr="00645D09">
        <w:t>03 :</w:t>
      </w:r>
      <w:proofErr w:type="gramEnd"/>
      <w:r w:rsidR="00794C5B" w:rsidRPr="00645D09">
        <w:t xml:space="preserve"> 2010),</w:t>
      </w:r>
    </w:p>
    <w:p w:rsidR="00794C5B" w:rsidRPr="00645D09" w:rsidRDefault="00EF4E38" w:rsidP="00AD0654">
      <w:pPr>
        <w:pStyle w:val="SingleTxtG"/>
      </w:pPr>
      <w:r>
        <w:tab/>
      </w:r>
      <w:r w:rsidR="00794C5B" w:rsidRPr="00645D09">
        <w:t>b)</w:t>
      </w:r>
      <w:r w:rsidR="00794C5B">
        <w:tab/>
      </w:r>
      <w:proofErr w:type="spellStart"/>
      <w:r w:rsidR="00AD0654">
        <w:t>L’unité</w:t>
      </w:r>
      <w:proofErr w:type="spellEnd"/>
      <w:r w:rsidR="00AD0654">
        <w:t xml:space="preserve"> </w:t>
      </w:r>
      <w:proofErr w:type="spellStart"/>
      <w:r w:rsidR="00AD0654">
        <w:t>d’</w:t>
      </w:r>
      <w:r w:rsidR="00794C5B" w:rsidRPr="00645D09">
        <w:t>alimentation</w:t>
      </w:r>
      <w:proofErr w:type="spellEnd"/>
      <w:r w:rsidR="00794C5B" w:rsidRPr="00645D09">
        <w:t xml:space="preserve"> et les </w:t>
      </w:r>
      <w:proofErr w:type="spellStart"/>
      <w:r w:rsidR="00794C5B" w:rsidRPr="00645D09">
        <w:t>connecteurs</w:t>
      </w:r>
      <w:proofErr w:type="spellEnd"/>
      <w:r w:rsidR="00794C5B" w:rsidRPr="00645D09">
        <w:t xml:space="preserve"> </w:t>
      </w:r>
      <w:proofErr w:type="spellStart"/>
      <w:r w:rsidR="00794C5B" w:rsidRPr="00645D09">
        <w:t>sont</w:t>
      </w:r>
      <w:proofErr w:type="spellEnd"/>
      <w:r w:rsidR="00794C5B" w:rsidRPr="00645D09">
        <w:t xml:space="preserve"> </w:t>
      </w:r>
      <w:proofErr w:type="spellStart"/>
      <w:r w:rsidR="00794C5B" w:rsidRPr="00645D09">
        <w:t>situés</w:t>
      </w:r>
      <w:proofErr w:type="spellEnd"/>
      <w:r w:rsidR="00794C5B" w:rsidRPr="00645D09">
        <w:t xml:space="preserve"> à l'extérieur de la zone protégée.</w:t>
      </w:r>
    </w:p>
    <w:p w:rsidR="00794C5B" w:rsidRPr="00645D09" w:rsidRDefault="00794C5B" w:rsidP="00AD0654">
      <w:pPr>
        <w:pStyle w:val="SingleTxtG"/>
      </w:pPr>
      <w:r w:rsidRPr="00645D09">
        <w:t>Le branchement et le débranchement des prises/connecteurs ne doivent être possibles que hors tension. ».</w:t>
      </w:r>
    </w:p>
    <w:p w:rsidR="00794C5B" w:rsidRPr="00645D09" w:rsidRDefault="00794C5B" w:rsidP="00AD0654">
      <w:pPr>
        <w:pStyle w:val="SingleTxtG"/>
      </w:pPr>
      <w:r>
        <w:t>9</w:t>
      </w:r>
      <w:r w:rsidRPr="00645D09">
        <w:t>.</w:t>
      </w:r>
      <w:r w:rsidRPr="00645D09">
        <w:tab/>
        <w:t xml:space="preserve">9.1.0.53.5 dans la version du document </w:t>
      </w:r>
      <w:r w:rsidR="00BB1939">
        <w:t>ECE/TRANS/WP.15/AC.2/2017/21</w:t>
      </w:r>
      <w:r w:rsidR="00BB1939">
        <w:t xml:space="preserve"> </w:t>
      </w:r>
      <w:proofErr w:type="spellStart"/>
      <w:r w:rsidRPr="00645D09">
        <w:t>est</w:t>
      </w:r>
      <w:proofErr w:type="spellEnd"/>
      <w:r w:rsidRPr="00645D09">
        <w:t xml:space="preserve"> </w:t>
      </w:r>
      <w:proofErr w:type="spellStart"/>
      <w:r w:rsidRPr="00645D09">
        <w:t>modifié</w:t>
      </w:r>
      <w:proofErr w:type="spellEnd"/>
      <w:r w:rsidRPr="00645D09">
        <w:t xml:space="preserve"> </w:t>
      </w:r>
      <w:proofErr w:type="spellStart"/>
      <w:r w:rsidRPr="00645D09">
        <w:t>comme</w:t>
      </w:r>
      <w:proofErr w:type="spellEnd"/>
      <w:r w:rsidRPr="00645D09">
        <w:t xml:space="preserve"> </w:t>
      </w:r>
      <w:proofErr w:type="gramStart"/>
      <w:r w:rsidRPr="00645D09">
        <w:t>suit :</w:t>
      </w:r>
      <w:proofErr w:type="gramEnd"/>
    </w:p>
    <w:p w:rsidR="00794C5B" w:rsidRPr="00645D09" w:rsidRDefault="00794C5B" w:rsidP="00AD0654">
      <w:pPr>
        <w:pStyle w:val="SingleTxtG"/>
      </w:pPr>
      <w:r w:rsidRPr="00645D09">
        <w:t xml:space="preserve">Après « CEI 60245-4:2011 » ajouter la note de bas de page </w:t>
      </w:r>
      <w:proofErr w:type="gramStart"/>
      <w:r w:rsidRPr="00645D09">
        <w:t>suivante :</w:t>
      </w:r>
      <w:proofErr w:type="gramEnd"/>
      <w:r w:rsidRPr="00645D09">
        <w:t xml:space="preserve"> « Identique à EN 50525-2-21:2011 ».</w:t>
      </w:r>
    </w:p>
    <w:p w:rsidR="00794C5B" w:rsidRPr="00645D09" w:rsidRDefault="00794C5B" w:rsidP="00AD0654">
      <w:pPr>
        <w:pStyle w:val="SingleTxtG"/>
      </w:pPr>
      <w:r w:rsidRPr="00645D09">
        <w:t>Supprimer la dernière phrase.</w:t>
      </w:r>
    </w:p>
    <w:p w:rsidR="00794C5B" w:rsidRPr="00645D09" w:rsidRDefault="00794C5B" w:rsidP="00AD0654">
      <w:pPr>
        <w:pStyle w:val="SingleTxtG"/>
      </w:pPr>
      <w:r>
        <w:t>10</w:t>
      </w:r>
      <w:r w:rsidRPr="00645D09">
        <w:t>.</w:t>
      </w:r>
      <w:r w:rsidRPr="00645D09">
        <w:tab/>
        <w:t xml:space="preserve">9.3.x.56.3 ADN est modifié pour lire comme </w:t>
      </w:r>
      <w:proofErr w:type="gramStart"/>
      <w:r w:rsidRPr="00645D09">
        <w:t>suit :</w:t>
      </w:r>
      <w:proofErr w:type="gramEnd"/>
    </w:p>
    <w:p w:rsidR="00794C5B" w:rsidRPr="00645D09" w:rsidRDefault="00794C5B" w:rsidP="00AD0654">
      <w:pPr>
        <w:pStyle w:val="SingleTxtG"/>
      </w:pPr>
      <w:r w:rsidRPr="00645D09">
        <w:t xml:space="preserve">Les câbles électriques mobiles sont interdits dans la </w:t>
      </w:r>
      <w:r w:rsidR="00EF4E38">
        <w:t xml:space="preserve">zone de danger </w:t>
      </w:r>
      <w:proofErr w:type="spellStart"/>
      <w:r w:rsidR="00EF4E38">
        <w:t>d’explosion</w:t>
      </w:r>
      <w:proofErr w:type="spellEnd"/>
      <w:r w:rsidR="00EF4E38">
        <w:t xml:space="preserve">, à </w:t>
      </w:r>
      <w:proofErr w:type="spellStart"/>
      <w:r w:rsidR="00EF4E38">
        <w:t>l’</w:t>
      </w:r>
      <w:r w:rsidRPr="00645D09">
        <w:t>exception</w:t>
      </w:r>
      <w:proofErr w:type="spellEnd"/>
      <w:r w:rsidRPr="00645D09">
        <w:t xml:space="preserve"> des câbles électriques pour les circuits à sécurité intrinsèque </w:t>
      </w:r>
      <w:proofErr w:type="gramStart"/>
      <w:r w:rsidRPr="00645D09">
        <w:t>et</w:t>
      </w:r>
      <w:proofErr w:type="gramEnd"/>
      <w:r w:rsidRPr="00645D09">
        <w:t xml:space="preserve"> pour le raccordement</w:t>
      </w:r>
    </w:p>
    <w:p w:rsidR="00794C5B" w:rsidRPr="00645D09" w:rsidRDefault="00AD0654" w:rsidP="00AD0654">
      <w:pPr>
        <w:pStyle w:val="Bullet1G"/>
      </w:pPr>
      <w:r>
        <w:t>D</w:t>
      </w:r>
      <w:r w:rsidR="00794C5B" w:rsidRPr="00645D09">
        <w:t xml:space="preserve">es </w:t>
      </w:r>
      <w:proofErr w:type="spellStart"/>
      <w:r w:rsidR="00794C5B" w:rsidRPr="00645D09">
        <w:t>feux</w:t>
      </w:r>
      <w:proofErr w:type="spellEnd"/>
      <w:r w:rsidR="00794C5B" w:rsidRPr="00645D09">
        <w:t xml:space="preserve"> de signalisation et de passerelle, si le point de raccordement (par ex. la prise de courant) est installé à demeure à bord du bateau à proximité immédiate du mât de signalisation ou de la passerelle ;</w:t>
      </w:r>
    </w:p>
    <w:p w:rsidR="00794C5B" w:rsidRPr="00645D09" w:rsidRDefault="00AD0654" w:rsidP="00AD0654">
      <w:pPr>
        <w:pStyle w:val="Bullet1G"/>
      </w:pPr>
      <w:r>
        <w:lastRenderedPageBreak/>
        <w:t>D</w:t>
      </w:r>
      <w:r w:rsidR="00794C5B" w:rsidRPr="00645D09">
        <w:t xml:space="preserve">u </w:t>
      </w:r>
      <w:proofErr w:type="spellStart"/>
      <w:r w:rsidR="00794C5B" w:rsidRPr="00645D09">
        <w:t>réseau</w:t>
      </w:r>
      <w:proofErr w:type="spellEnd"/>
      <w:r w:rsidR="00794C5B" w:rsidRPr="00645D09">
        <w:t xml:space="preserve"> </w:t>
      </w:r>
      <w:proofErr w:type="spellStart"/>
      <w:r w:rsidR="00794C5B" w:rsidRPr="00645D09">
        <w:t>électrique</w:t>
      </w:r>
      <w:proofErr w:type="spellEnd"/>
      <w:r w:rsidR="00794C5B" w:rsidRPr="00645D09">
        <w:t xml:space="preserve"> du bateau</w:t>
      </w:r>
      <w:r>
        <w:t xml:space="preserve"> à un </w:t>
      </w:r>
      <w:proofErr w:type="spellStart"/>
      <w:r>
        <w:t>réseau</w:t>
      </w:r>
      <w:proofErr w:type="spellEnd"/>
      <w:r>
        <w:t xml:space="preserve"> </w:t>
      </w:r>
      <w:proofErr w:type="spellStart"/>
      <w:r>
        <w:t>électrique</w:t>
      </w:r>
      <w:proofErr w:type="spellEnd"/>
      <w:r>
        <w:t xml:space="preserve"> à </w:t>
      </w:r>
      <w:proofErr w:type="spellStart"/>
      <w:r>
        <w:t>terre</w:t>
      </w:r>
      <w:proofErr w:type="spellEnd"/>
      <w:r>
        <w:t>;</w:t>
      </w:r>
      <w:r w:rsidR="00794C5B" w:rsidRPr="00645D09">
        <w:t xml:space="preserve"> </w:t>
      </w:r>
      <w:proofErr w:type="spellStart"/>
      <w:r w:rsidR="00794C5B" w:rsidRPr="00645D09">
        <w:t>si</w:t>
      </w:r>
      <w:proofErr w:type="spellEnd"/>
    </w:p>
    <w:p w:rsidR="00794C5B" w:rsidRPr="00645D09" w:rsidRDefault="00EF4E38" w:rsidP="00AD0654">
      <w:pPr>
        <w:pStyle w:val="SingleTxtG"/>
      </w:pPr>
      <w:r>
        <w:tab/>
      </w:r>
      <w:r w:rsidR="00794C5B" w:rsidRPr="00645D09">
        <w:t>a)</w:t>
      </w:r>
      <w:r w:rsidR="00794C5B">
        <w:tab/>
      </w:r>
      <w:proofErr w:type="spellStart"/>
      <w:r w:rsidR="00AD0654">
        <w:t>C</w:t>
      </w:r>
      <w:r w:rsidR="00794C5B" w:rsidRPr="00645D09">
        <w:t>es</w:t>
      </w:r>
      <w:proofErr w:type="spellEnd"/>
      <w:r w:rsidR="00794C5B" w:rsidRPr="00645D09">
        <w:t xml:space="preserve"> </w:t>
      </w:r>
      <w:proofErr w:type="spellStart"/>
      <w:r w:rsidR="00794C5B" w:rsidRPr="00645D09">
        <w:t>câbles</w:t>
      </w:r>
      <w:proofErr w:type="spellEnd"/>
      <w:r w:rsidR="00794C5B" w:rsidRPr="00645D09">
        <w:t xml:space="preserve"> </w:t>
      </w:r>
      <w:proofErr w:type="spellStart"/>
      <w:r w:rsidR="00794C5B" w:rsidRPr="00645D09">
        <w:t>électriques</w:t>
      </w:r>
      <w:proofErr w:type="spellEnd"/>
      <w:r w:rsidR="00794C5B" w:rsidRPr="00645D09">
        <w:t xml:space="preserve"> et l’unité d’alimentation à bord sont conformes à une norme en vigue</w:t>
      </w:r>
      <w:r w:rsidR="00AD0654">
        <w:t>ur (par ex. EN 15869-</w:t>
      </w:r>
      <w:proofErr w:type="gramStart"/>
      <w:r w:rsidR="00AD0654">
        <w:t>03 :</w:t>
      </w:r>
      <w:proofErr w:type="gramEnd"/>
      <w:r w:rsidR="00AD0654">
        <w:t xml:space="preserve"> 2010);</w:t>
      </w:r>
    </w:p>
    <w:p w:rsidR="00794C5B" w:rsidRPr="00645D09" w:rsidRDefault="00EF4E38" w:rsidP="00AD0654">
      <w:pPr>
        <w:pStyle w:val="SingleTxtG"/>
      </w:pPr>
      <w:r>
        <w:tab/>
      </w:r>
      <w:r w:rsidR="00794C5B" w:rsidRPr="00645D09">
        <w:t>b)</w:t>
      </w:r>
      <w:r w:rsidR="00794C5B">
        <w:tab/>
      </w:r>
      <w:proofErr w:type="spellStart"/>
      <w:r w:rsidR="00AD0654">
        <w:t>L’</w:t>
      </w:r>
      <w:r w:rsidR="00794C5B" w:rsidRPr="00645D09">
        <w:t>unité</w:t>
      </w:r>
      <w:proofErr w:type="spellEnd"/>
      <w:r w:rsidR="00794C5B" w:rsidRPr="00645D09">
        <w:t xml:space="preserve"> </w:t>
      </w:r>
      <w:proofErr w:type="spellStart"/>
      <w:r w:rsidR="00794C5B" w:rsidRPr="00645D09">
        <w:t>d'alimentation</w:t>
      </w:r>
      <w:proofErr w:type="spellEnd"/>
      <w:r w:rsidR="00794C5B" w:rsidRPr="00645D09">
        <w:t xml:space="preserve"> et les connecteurs sont situés à l'extérieur de la zones de danger d'explosion.</w:t>
      </w:r>
    </w:p>
    <w:p w:rsidR="00794C5B" w:rsidRPr="00645D09" w:rsidRDefault="00794C5B" w:rsidP="00AD0654">
      <w:pPr>
        <w:pStyle w:val="SingleTxtG"/>
      </w:pPr>
      <w:r w:rsidRPr="00645D09">
        <w:t>Le branchement et le débranchement des prises/connecteurs ne doivent être possibles que hors tension. ».</w:t>
      </w:r>
    </w:p>
    <w:p w:rsidR="00794C5B" w:rsidRPr="00645D09" w:rsidRDefault="00794C5B" w:rsidP="00AD0654">
      <w:pPr>
        <w:pStyle w:val="SingleTxtG"/>
      </w:pPr>
      <w:r w:rsidRPr="00645D09">
        <w:t>1</w:t>
      </w:r>
      <w:r>
        <w:t>1</w:t>
      </w:r>
      <w:r w:rsidRPr="00645D09">
        <w:t>.</w:t>
      </w:r>
      <w:r w:rsidRPr="00645D09">
        <w:tab/>
        <w:t xml:space="preserve">9.3.x.53.5 dans la version du document </w:t>
      </w:r>
      <w:proofErr w:type="spellStart"/>
      <w:r w:rsidR="00BB1939">
        <w:t>informel</w:t>
      </w:r>
      <w:proofErr w:type="spellEnd"/>
      <w:r w:rsidR="00BB1939">
        <w:t xml:space="preserve"> INF.14 de la </w:t>
      </w:r>
      <w:proofErr w:type="spellStart"/>
      <w:r w:rsidR="00BB1939">
        <w:t>trente</w:t>
      </w:r>
      <w:proofErr w:type="spellEnd"/>
      <w:r w:rsidR="00BB1939">
        <w:t xml:space="preserve"> et </w:t>
      </w:r>
      <w:proofErr w:type="spellStart"/>
      <w:r w:rsidR="00BB1939">
        <w:t>unième</w:t>
      </w:r>
      <w:proofErr w:type="spellEnd"/>
      <w:r w:rsidR="00BB1939">
        <w:t xml:space="preserve"> session</w:t>
      </w:r>
      <w:bookmarkStart w:id="0" w:name="_GoBack"/>
      <w:bookmarkEnd w:id="0"/>
      <w:r w:rsidR="00BB1939">
        <w:t>,</w:t>
      </w:r>
      <w:r w:rsidRPr="00645D09">
        <w:t xml:space="preserve"> Annexe 3 </w:t>
      </w:r>
      <w:proofErr w:type="spellStart"/>
      <w:r w:rsidRPr="00645D09">
        <w:t>est</w:t>
      </w:r>
      <w:proofErr w:type="spellEnd"/>
      <w:r w:rsidRPr="00645D09">
        <w:t xml:space="preserve"> </w:t>
      </w:r>
      <w:proofErr w:type="spellStart"/>
      <w:r w:rsidRPr="00645D09">
        <w:t>modifié</w:t>
      </w:r>
      <w:proofErr w:type="spellEnd"/>
      <w:r w:rsidRPr="00645D09">
        <w:t xml:space="preserve"> comme </w:t>
      </w:r>
      <w:proofErr w:type="gramStart"/>
      <w:r w:rsidRPr="00645D09">
        <w:t>suit :</w:t>
      </w:r>
      <w:proofErr w:type="gramEnd"/>
    </w:p>
    <w:p w:rsidR="00794C5B" w:rsidRPr="00645D09" w:rsidRDefault="00794C5B" w:rsidP="00AD0654">
      <w:pPr>
        <w:pStyle w:val="SingleTxtG"/>
      </w:pPr>
      <w:r w:rsidRPr="00645D09">
        <w:t xml:space="preserve">Après « CEI 60245-4:2011 » ajouter la note de bas de page </w:t>
      </w:r>
      <w:proofErr w:type="gramStart"/>
      <w:r w:rsidRPr="00645D09">
        <w:t>suivante :</w:t>
      </w:r>
      <w:proofErr w:type="gramEnd"/>
      <w:r w:rsidRPr="00645D09">
        <w:t xml:space="preserve"> « Identique à EN 50525-2-21:2011 ».</w:t>
      </w:r>
    </w:p>
    <w:p w:rsidR="001F2853" w:rsidRDefault="00794C5B" w:rsidP="00AD0654">
      <w:pPr>
        <w:pStyle w:val="SingleTxtG"/>
      </w:pPr>
      <w:proofErr w:type="spellStart"/>
      <w:r w:rsidRPr="00645D09">
        <w:t>Supprimer</w:t>
      </w:r>
      <w:proofErr w:type="spellEnd"/>
      <w:r w:rsidRPr="00645D09">
        <w:t xml:space="preserve"> la </w:t>
      </w:r>
      <w:proofErr w:type="spellStart"/>
      <w:r w:rsidRPr="00645D09">
        <w:t>dernière</w:t>
      </w:r>
      <w:proofErr w:type="spellEnd"/>
      <w:r w:rsidRPr="00645D09">
        <w:t xml:space="preserve"> phrase.</w:t>
      </w:r>
    </w:p>
    <w:p w:rsidR="00EF4E38" w:rsidRPr="00EF4E38" w:rsidRDefault="00EF4E38" w:rsidP="00EF4E38">
      <w:pPr>
        <w:pStyle w:val="SingleTxtG"/>
        <w:spacing w:before="240" w:after="0"/>
        <w:jc w:val="center"/>
        <w:rPr>
          <w:u w:val="single"/>
        </w:rPr>
      </w:pPr>
      <w:r>
        <w:rPr>
          <w:u w:val="single"/>
        </w:rPr>
        <w:tab/>
      </w:r>
      <w:r>
        <w:rPr>
          <w:u w:val="single"/>
        </w:rPr>
        <w:tab/>
      </w:r>
      <w:r>
        <w:rPr>
          <w:u w:val="single"/>
        </w:rPr>
        <w:tab/>
      </w:r>
    </w:p>
    <w:sectPr w:rsidR="00EF4E38" w:rsidRPr="00EF4E38" w:rsidSect="008107F5">
      <w:headerReference w:type="even" r:id="rId10"/>
      <w:headerReference w:type="default" r:id="rId11"/>
      <w:footerReference w:type="even" r:id="rId12"/>
      <w:footerReference w:type="default" r:id="rId13"/>
      <w:footnotePr>
        <w:numFmt w:val="chicago"/>
      </w:footnotePr>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853" w:rsidRDefault="001F2853"/>
  </w:endnote>
  <w:endnote w:type="continuationSeparator" w:id="0">
    <w:p w:rsidR="001F2853" w:rsidRDefault="001F2853"/>
  </w:endnote>
  <w:endnote w:type="continuationNotice" w:id="1">
    <w:p w:rsidR="001F2853" w:rsidRDefault="001F2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54" w:rsidRDefault="00AD0654">
    <w:pPr>
      <w:pStyle w:val="Footer"/>
    </w:pPr>
    <w: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54" w:rsidRDefault="00AD0654" w:rsidP="00AD0654">
    <w:pPr>
      <w:pStyle w:val="Footer"/>
      <w:jc w:val="right"/>
    </w:pPr>
    <w: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853" w:rsidRPr="00D27D5E" w:rsidRDefault="001F2853" w:rsidP="00D27D5E">
      <w:pPr>
        <w:tabs>
          <w:tab w:val="right" w:pos="2155"/>
        </w:tabs>
        <w:spacing w:after="80"/>
        <w:ind w:left="680"/>
        <w:rPr>
          <w:u w:val="single"/>
        </w:rPr>
      </w:pPr>
      <w:r>
        <w:rPr>
          <w:u w:val="single"/>
        </w:rPr>
        <w:tab/>
      </w:r>
    </w:p>
  </w:footnote>
  <w:footnote w:type="continuationSeparator" w:id="0">
    <w:p w:rsidR="001F2853" w:rsidRPr="00CC68E4" w:rsidRDefault="001F2853" w:rsidP="00CC68E4">
      <w:pPr>
        <w:tabs>
          <w:tab w:val="left" w:pos="2155"/>
        </w:tabs>
        <w:spacing w:after="80"/>
        <w:ind w:left="680"/>
        <w:rPr>
          <w:u w:val="single"/>
        </w:rPr>
      </w:pPr>
      <w:r w:rsidRPr="00CC68E4">
        <w:rPr>
          <w:u w:val="single"/>
        </w:rPr>
        <w:tab/>
      </w:r>
    </w:p>
  </w:footnote>
  <w:footnote w:type="continuationNotice" w:id="1">
    <w:p w:rsidR="001F2853" w:rsidRDefault="001F2853"/>
  </w:footnote>
  <w:footnote w:id="2">
    <w:p w:rsidR="00C7034E" w:rsidRDefault="00C7034E" w:rsidP="00C7034E">
      <w:pPr>
        <w:pStyle w:val="FootnoteText"/>
        <w:ind w:hanging="168"/>
      </w:pPr>
      <w:r>
        <w:rPr>
          <w:rStyle w:val="FootnoteReference"/>
        </w:rPr>
        <w:footnoteRef/>
      </w:r>
      <w:r>
        <w:t xml:space="preserve"> </w:t>
      </w:r>
      <w:r w:rsidRPr="00EF5998">
        <w:rPr>
          <w:lang w:val="fr-FR"/>
        </w:rPr>
        <w:t>Diffusé en langue allemande par la Commission centrale pour la navigation du Rhin sous la cote CCNR/ZKR/ADN/WP.15/AC.2/2018/</w:t>
      </w:r>
      <w:r>
        <w:rPr>
          <w:lang w:val="fr-FR"/>
        </w:rPr>
        <w:t>9.</w:t>
      </w:r>
    </w:p>
  </w:footnote>
  <w:footnote w:id="3">
    <w:p w:rsidR="00C7034E" w:rsidRDefault="00C7034E" w:rsidP="00C7034E">
      <w:pPr>
        <w:pStyle w:val="FootnoteText"/>
        <w:ind w:hanging="182"/>
      </w:pPr>
      <w:r>
        <w:rPr>
          <w:rStyle w:val="FootnoteReference"/>
        </w:rPr>
        <w:t>**</w:t>
      </w:r>
      <w:r>
        <w:t xml:space="preserve"> </w:t>
      </w:r>
      <w:r w:rsidRPr="00EF5998">
        <w:rPr>
          <w:lang w:val="fr-FR"/>
        </w:rPr>
        <w:t>Conformément au programme de travail du Comité des</w:t>
      </w:r>
      <w:r>
        <w:rPr>
          <w:lang w:val="fr-FR"/>
        </w:rPr>
        <w:t xml:space="preserve"> transports intérieurs pour 2017-2018 </w:t>
      </w:r>
      <w:r w:rsidRPr="00EF5998">
        <w:rPr>
          <w:lang w:val="fr-FR"/>
        </w:rPr>
        <w:t>(ECE/TRANS/</w:t>
      </w:r>
      <w:r>
        <w:rPr>
          <w:lang w:val="fr-FR"/>
        </w:rPr>
        <w:t>WP.15/237, annexe V</w:t>
      </w:r>
      <w:r w:rsidRPr="00EF5998">
        <w:rPr>
          <w:lang w:val="fr-FR"/>
        </w:rPr>
        <w:t xml:space="preserve">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54" w:rsidRDefault="00AD0654">
    <w:pPr>
      <w:pStyle w:val="Header"/>
    </w:pPr>
    <w:r>
      <w:t>ECE/TRANS/WP.15/AC.2/2018/9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54" w:rsidRDefault="00AD0654" w:rsidP="00AD0654">
    <w:pPr>
      <w:pStyle w:val="Header"/>
      <w:jc w:val="right"/>
    </w:pPr>
    <w:r>
      <w:t>ECE/TRANS/WP.15/AC.2/2018/9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7D946AC7"/>
    <w:multiLevelType w:val="hybridMultilevel"/>
    <w:tmpl w:val="0E844220"/>
    <w:lvl w:ilvl="0" w:tplc="059ED9FA">
      <w:start w:val="14"/>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53"/>
    <w:rsid w:val="00016AC5"/>
    <w:rsid w:val="00030ADE"/>
    <w:rsid w:val="00072032"/>
    <w:rsid w:val="000F41F2"/>
    <w:rsid w:val="00135C0D"/>
    <w:rsid w:val="00160540"/>
    <w:rsid w:val="00172839"/>
    <w:rsid w:val="00177007"/>
    <w:rsid w:val="00186EE9"/>
    <w:rsid w:val="00192EEB"/>
    <w:rsid w:val="001A20FB"/>
    <w:rsid w:val="001B6F40"/>
    <w:rsid w:val="001D7F8A"/>
    <w:rsid w:val="001E3FEB"/>
    <w:rsid w:val="001E4A02"/>
    <w:rsid w:val="001F2853"/>
    <w:rsid w:val="00223B89"/>
    <w:rsid w:val="00225A8C"/>
    <w:rsid w:val="002659F1"/>
    <w:rsid w:val="00270983"/>
    <w:rsid w:val="00287E79"/>
    <w:rsid w:val="002928F9"/>
    <w:rsid w:val="002A5D07"/>
    <w:rsid w:val="002A60A5"/>
    <w:rsid w:val="002D0E27"/>
    <w:rsid w:val="003016B7"/>
    <w:rsid w:val="00340C35"/>
    <w:rsid w:val="003515AA"/>
    <w:rsid w:val="00370E0F"/>
    <w:rsid w:val="00374106"/>
    <w:rsid w:val="003976D5"/>
    <w:rsid w:val="003A3B0D"/>
    <w:rsid w:val="003C1B1D"/>
    <w:rsid w:val="003D1DF3"/>
    <w:rsid w:val="003D46A7"/>
    <w:rsid w:val="003D6C68"/>
    <w:rsid w:val="004159D0"/>
    <w:rsid w:val="004249E7"/>
    <w:rsid w:val="004963DE"/>
    <w:rsid w:val="004A7FCC"/>
    <w:rsid w:val="005046DB"/>
    <w:rsid w:val="00543D5E"/>
    <w:rsid w:val="00571F41"/>
    <w:rsid w:val="005E5D1F"/>
    <w:rsid w:val="00603391"/>
    <w:rsid w:val="00611D43"/>
    <w:rsid w:val="00612D48"/>
    <w:rsid w:val="00616B45"/>
    <w:rsid w:val="00630D9B"/>
    <w:rsid w:val="00631953"/>
    <w:rsid w:val="006439EC"/>
    <w:rsid w:val="00652353"/>
    <w:rsid w:val="006B4590"/>
    <w:rsid w:val="006C340C"/>
    <w:rsid w:val="0070347C"/>
    <w:rsid w:val="007176C1"/>
    <w:rsid w:val="00794C5B"/>
    <w:rsid w:val="007B5228"/>
    <w:rsid w:val="007F55CB"/>
    <w:rsid w:val="008107F5"/>
    <w:rsid w:val="008317F6"/>
    <w:rsid w:val="00844750"/>
    <w:rsid w:val="008B44C4"/>
    <w:rsid w:val="008B7879"/>
    <w:rsid w:val="008E7FAE"/>
    <w:rsid w:val="00911BF7"/>
    <w:rsid w:val="00977EC8"/>
    <w:rsid w:val="009B09B2"/>
    <w:rsid w:val="009D3A8C"/>
    <w:rsid w:val="009E7956"/>
    <w:rsid w:val="00A2492E"/>
    <w:rsid w:val="00A70163"/>
    <w:rsid w:val="00A87827"/>
    <w:rsid w:val="00AC67A1"/>
    <w:rsid w:val="00AC7977"/>
    <w:rsid w:val="00AD0654"/>
    <w:rsid w:val="00AE352C"/>
    <w:rsid w:val="00B32E2D"/>
    <w:rsid w:val="00B4466B"/>
    <w:rsid w:val="00B61990"/>
    <w:rsid w:val="00B85D99"/>
    <w:rsid w:val="00BB1939"/>
    <w:rsid w:val="00BF0556"/>
    <w:rsid w:val="00C261F8"/>
    <w:rsid w:val="00C33100"/>
    <w:rsid w:val="00C7034E"/>
    <w:rsid w:val="00C940E9"/>
    <w:rsid w:val="00CC68E4"/>
    <w:rsid w:val="00CD1A71"/>
    <w:rsid w:val="00CD1FBB"/>
    <w:rsid w:val="00D016B5"/>
    <w:rsid w:val="00D034F1"/>
    <w:rsid w:val="00D11B17"/>
    <w:rsid w:val="00D27D5E"/>
    <w:rsid w:val="00DA57D4"/>
    <w:rsid w:val="00DB4793"/>
    <w:rsid w:val="00DE01E3"/>
    <w:rsid w:val="00DE6D90"/>
    <w:rsid w:val="00DF002F"/>
    <w:rsid w:val="00E0244D"/>
    <w:rsid w:val="00E55D71"/>
    <w:rsid w:val="00E64876"/>
    <w:rsid w:val="00E81E94"/>
    <w:rsid w:val="00E82607"/>
    <w:rsid w:val="00EA31C2"/>
    <w:rsid w:val="00EC73F8"/>
    <w:rsid w:val="00EE2EA3"/>
    <w:rsid w:val="00EF4E38"/>
    <w:rsid w:val="00F01516"/>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963DE"/>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rsid w:val="004963DE"/>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rsid w:val="004963DE"/>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rsid w:val="004963DE"/>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4963DE"/>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4963DE"/>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rsid w:val="004963DE"/>
    <w:pPr>
      <w:spacing w:after="120"/>
      <w:ind w:left="1134" w:right="1134"/>
      <w:jc w:val="both"/>
    </w:pPr>
    <w:rPr>
      <w:lang w:val="en-GB"/>
    </w:rPr>
  </w:style>
  <w:style w:type="paragraph" w:customStyle="1" w:styleId="SLG">
    <w:name w:val="__S_L_G"/>
    <w:basedOn w:val="Normal"/>
    <w:next w:val="Normal"/>
    <w:rsid w:val="004963DE"/>
    <w:pPr>
      <w:keepNext/>
      <w:keepLines/>
      <w:spacing w:before="240" w:after="240" w:line="580" w:lineRule="exact"/>
      <w:ind w:left="1134" w:right="1134"/>
    </w:pPr>
    <w:rPr>
      <w:b/>
      <w:sz w:val="56"/>
      <w:lang w:val="en-GB"/>
    </w:rPr>
  </w:style>
  <w:style w:type="paragraph" w:customStyle="1" w:styleId="SMG">
    <w:name w:val="__S_M_G"/>
    <w:basedOn w:val="Normal"/>
    <w:next w:val="Normal"/>
    <w:rsid w:val="004963DE"/>
    <w:pPr>
      <w:keepNext/>
      <w:keepLines/>
      <w:spacing w:before="240" w:after="240" w:line="420" w:lineRule="exact"/>
      <w:ind w:left="1134" w:right="1134"/>
    </w:pPr>
    <w:rPr>
      <w:b/>
      <w:sz w:val="40"/>
      <w:lang w:val="en-GB"/>
    </w:rPr>
  </w:style>
  <w:style w:type="paragraph" w:customStyle="1" w:styleId="SSG">
    <w:name w:val="__S_S_G"/>
    <w:basedOn w:val="Normal"/>
    <w:next w:val="Normal"/>
    <w:rsid w:val="004963DE"/>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4963DE"/>
    <w:pPr>
      <w:keepNext/>
      <w:keepLines/>
      <w:spacing w:before="240" w:after="240" w:line="420" w:lineRule="exact"/>
      <w:ind w:left="1134" w:right="1134"/>
    </w:pPr>
    <w:rPr>
      <w:b/>
      <w:sz w:val="40"/>
      <w:lang w:val="en-GB"/>
    </w:rPr>
  </w:style>
  <w:style w:type="paragraph" w:customStyle="1" w:styleId="Bullet1G">
    <w:name w:val="_Bullet 1_G"/>
    <w:basedOn w:val="Normal"/>
    <w:rsid w:val="004963DE"/>
    <w:pPr>
      <w:numPr>
        <w:numId w:val="1"/>
      </w:numPr>
      <w:spacing w:after="120"/>
      <w:ind w:right="1134"/>
      <w:jc w:val="both"/>
    </w:pPr>
    <w:rPr>
      <w:lang w:val="en-GB"/>
    </w:rPr>
  </w:style>
  <w:style w:type="paragraph" w:customStyle="1" w:styleId="Bullet2G">
    <w:name w:val="_Bullet 2_G"/>
    <w:basedOn w:val="Normal"/>
    <w:rsid w:val="004963DE"/>
    <w:pPr>
      <w:numPr>
        <w:numId w:val="2"/>
      </w:numPr>
      <w:spacing w:after="120"/>
      <w:ind w:right="1134"/>
      <w:jc w:val="both"/>
    </w:pPr>
    <w:rPr>
      <w:lang w:val="en-GB"/>
    </w:rPr>
  </w:style>
  <w:style w:type="character" w:styleId="FootnoteReference">
    <w:name w:val="footnote reference"/>
    <w:aliases w:val="4_G,Footnote Reference/"/>
    <w:basedOn w:val="DefaultParagraphFont"/>
    <w:rsid w:val="004963DE"/>
    <w:rPr>
      <w:rFonts w:ascii="Times New Roman" w:hAnsi="Times New Roman"/>
      <w:sz w:val="18"/>
      <w:vertAlign w:val="superscript"/>
    </w:rPr>
  </w:style>
  <w:style w:type="character" w:styleId="EndnoteReference">
    <w:name w:val="endnote reference"/>
    <w:aliases w:val="1_G"/>
    <w:basedOn w:val="FootnoteReference"/>
    <w:rsid w:val="004963DE"/>
    <w:rPr>
      <w:rFonts w:ascii="Times New Roman" w:hAnsi="Times New Roman"/>
      <w:sz w:val="18"/>
      <w:vertAlign w:val="superscript"/>
    </w:rPr>
  </w:style>
  <w:style w:type="paragraph" w:styleId="Header">
    <w:name w:val="header"/>
    <w:aliases w:val="6_G"/>
    <w:basedOn w:val="Normal"/>
    <w:rsid w:val="004963DE"/>
    <w:pPr>
      <w:pBdr>
        <w:bottom w:val="single" w:sz="4" w:space="4" w:color="auto"/>
      </w:pBdr>
      <w:spacing w:line="240" w:lineRule="auto"/>
    </w:pPr>
    <w:rPr>
      <w:b/>
      <w:sz w:val="18"/>
      <w:lang w:val="en-GB"/>
    </w:rPr>
  </w:style>
  <w:style w:type="paragraph" w:styleId="FootnoteText">
    <w:name w:val="footnote text"/>
    <w:aliases w:val="5_G"/>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basedOn w:val="DefaultParagraphFont"/>
    <w:rsid w:val="00D11B17"/>
    <w:rPr>
      <w:rFonts w:ascii="Times New Roman" w:hAnsi="Times New Roman"/>
      <w:b/>
      <w:sz w:val="18"/>
      <w:lang w:val="fr-CH"/>
    </w:rPr>
  </w:style>
  <w:style w:type="paragraph" w:styleId="Footer">
    <w:name w:val="footer"/>
    <w:aliases w:val="3_G"/>
    <w:basedOn w:val="Normal"/>
    <w:next w:val="Normal"/>
    <w:rsid w:val="00D11B17"/>
    <w:pPr>
      <w:spacing w:line="240" w:lineRule="auto"/>
    </w:pPr>
    <w:rPr>
      <w:sz w:val="16"/>
    </w:rPr>
  </w:style>
  <w:style w:type="table" w:styleId="TableGrid">
    <w:name w:val="Table Grid"/>
    <w:basedOn w:val="TableNormal"/>
    <w:semiHidden/>
    <w:rsid w:val="004963D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963DE"/>
    <w:rPr>
      <w:color w:val="auto"/>
      <w:u w:val="none"/>
    </w:rPr>
  </w:style>
  <w:style w:type="character" w:styleId="FollowedHyperlink">
    <w:name w:val="FollowedHyperlink"/>
    <w:basedOn w:val="DefaultParagraphFont"/>
    <w:semiHidden/>
    <w:rsid w:val="004963DE"/>
    <w:rPr>
      <w:color w:val="auto"/>
      <w:u w:val="none"/>
    </w:rPr>
  </w:style>
  <w:style w:type="character" w:customStyle="1" w:styleId="FootnoteTextChar">
    <w:name w:val="Footnote Text Char"/>
    <w:aliases w:val="5_G Char"/>
    <w:basedOn w:val="DefaultParagraphFont"/>
    <w:link w:val="FootnoteText"/>
    <w:rsid w:val="001F2853"/>
    <w:rPr>
      <w:sz w:val="18"/>
      <w:lang w:val="fr-CH" w:eastAsia="en-US"/>
    </w:rPr>
  </w:style>
  <w:style w:type="paragraph" w:customStyle="1" w:styleId="Textkrper21">
    <w:name w:val="Textkörper 21"/>
    <w:basedOn w:val="Normal"/>
    <w:rsid w:val="00794C5B"/>
    <w:pPr>
      <w:widowControl w:val="0"/>
      <w:tabs>
        <w:tab w:val="left" w:pos="142"/>
        <w:tab w:val="left" w:pos="567"/>
        <w:tab w:val="left" w:pos="851"/>
        <w:tab w:val="left" w:pos="2835"/>
        <w:tab w:val="left" w:pos="5103"/>
        <w:tab w:val="left" w:pos="5954"/>
      </w:tabs>
      <w:suppressAutoHyphens w:val="0"/>
      <w:overflowPunct w:val="0"/>
      <w:autoSpaceDE w:val="0"/>
      <w:autoSpaceDN w:val="0"/>
      <w:adjustRightInd w:val="0"/>
      <w:spacing w:line="240" w:lineRule="auto"/>
      <w:ind w:left="1134"/>
      <w:jc w:val="both"/>
      <w:textAlignment w:val="baseline"/>
    </w:pPr>
    <w:rPr>
      <w:rFonts w:ascii="Arial" w:hAnsi="Arial"/>
      <w:lang w:val="de-DE" w:eastAsia="fr-FR"/>
    </w:rPr>
  </w:style>
  <w:style w:type="paragraph" w:styleId="ListParagraph">
    <w:name w:val="List Paragraph"/>
    <w:basedOn w:val="Normal"/>
    <w:uiPriority w:val="34"/>
    <w:qFormat/>
    <w:rsid w:val="00794C5B"/>
    <w:pPr>
      <w:widowControl w:val="0"/>
      <w:suppressAutoHyphens w:val="0"/>
      <w:overflowPunct w:val="0"/>
      <w:autoSpaceDE w:val="0"/>
      <w:autoSpaceDN w:val="0"/>
      <w:adjustRightInd w:val="0"/>
      <w:spacing w:line="240" w:lineRule="auto"/>
      <w:ind w:left="720" w:hanging="1134"/>
      <w:contextualSpacing/>
      <w:jc w:val="both"/>
      <w:textAlignment w:val="baseline"/>
    </w:pPr>
    <w:rPr>
      <w:lang w:val="de-DE"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963DE"/>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rsid w:val="004963DE"/>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rsid w:val="004963DE"/>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rsid w:val="004963DE"/>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4963DE"/>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4963DE"/>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rsid w:val="004963DE"/>
    <w:pPr>
      <w:spacing w:after="120"/>
      <w:ind w:left="1134" w:right="1134"/>
      <w:jc w:val="both"/>
    </w:pPr>
    <w:rPr>
      <w:lang w:val="en-GB"/>
    </w:rPr>
  </w:style>
  <w:style w:type="paragraph" w:customStyle="1" w:styleId="SLG">
    <w:name w:val="__S_L_G"/>
    <w:basedOn w:val="Normal"/>
    <w:next w:val="Normal"/>
    <w:rsid w:val="004963DE"/>
    <w:pPr>
      <w:keepNext/>
      <w:keepLines/>
      <w:spacing w:before="240" w:after="240" w:line="580" w:lineRule="exact"/>
      <w:ind w:left="1134" w:right="1134"/>
    </w:pPr>
    <w:rPr>
      <w:b/>
      <w:sz w:val="56"/>
      <w:lang w:val="en-GB"/>
    </w:rPr>
  </w:style>
  <w:style w:type="paragraph" w:customStyle="1" w:styleId="SMG">
    <w:name w:val="__S_M_G"/>
    <w:basedOn w:val="Normal"/>
    <w:next w:val="Normal"/>
    <w:rsid w:val="004963DE"/>
    <w:pPr>
      <w:keepNext/>
      <w:keepLines/>
      <w:spacing w:before="240" w:after="240" w:line="420" w:lineRule="exact"/>
      <w:ind w:left="1134" w:right="1134"/>
    </w:pPr>
    <w:rPr>
      <w:b/>
      <w:sz w:val="40"/>
      <w:lang w:val="en-GB"/>
    </w:rPr>
  </w:style>
  <w:style w:type="paragraph" w:customStyle="1" w:styleId="SSG">
    <w:name w:val="__S_S_G"/>
    <w:basedOn w:val="Normal"/>
    <w:next w:val="Normal"/>
    <w:rsid w:val="004963DE"/>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4963DE"/>
    <w:pPr>
      <w:keepNext/>
      <w:keepLines/>
      <w:spacing w:before="240" w:after="240" w:line="420" w:lineRule="exact"/>
      <w:ind w:left="1134" w:right="1134"/>
    </w:pPr>
    <w:rPr>
      <w:b/>
      <w:sz w:val="40"/>
      <w:lang w:val="en-GB"/>
    </w:rPr>
  </w:style>
  <w:style w:type="paragraph" w:customStyle="1" w:styleId="Bullet1G">
    <w:name w:val="_Bullet 1_G"/>
    <w:basedOn w:val="Normal"/>
    <w:rsid w:val="004963DE"/>
    <w:pPr>
      <w:numPr>
        <w:numId w:val="1"/>
      </w:numPr>
      <w:spacing w:after="120"/>
      <w:ind w:right="1134"/>
      <w:jc w:val="both"/>
    </w:pPr>
    <w:rPr>
      <w:lang w:val="en-GB"/>
    </w:rPr>
  </w:style>
  <w:style w:type="paragraph" w:customStyle="1" w:styleId="Bullet2G">
    <w:name w:val="_Bullet 2_G"/>
    <w:basedOn w:val="Normal"/>
    <w:rsid w:val="004963DE"/>
    <w:pPr>
      <w:numPr>
        <w:numId w:val="2"/>
      </w:numPr>
      <w:spacing w:after="120"/>
      <w:ind w:right="1134"/>
      <w:jc w:val="both"/>
    </w:pPr>
    <w:rPr>
      <w:lang w:val="en-GB"/>
    </w:rPr>
  </w:style>
  <w:style w:type="character" w:styleId="FootnoteReference">
    <w:name w:val="footnote reference"/>
    <w:aliases w:val="4_G,Footnote Reference/"/>
    <w:basedOn w:val="DefaultParagraphFont"/>
    <w:rsid w:val="004963DE"/>
    <w:rPr>
      <w:rFonts w:ascii="Times New Roman" w:hAnsi="Times New Roman"/>
      <w:sz w:val="18"/>
      <w:vertAlign w:val="superscript"/>
    </w:rPr>
  </w:style>
  <w:style w:type="character" w:styleId="EndnoteReference">
    <w:name w:val="endnote reference"/>
    <w:aliases w:val="1_G"/>
    <w:basedOn w:val="FootnoteReference"/>
    <w:rsid w:val="004963DE"/>
    <w:rPr>
      <w:rFonts w:ascii="Times New Roman" w:hAnsi="Times New Roman"/>
      <w:sz w:val="18"/>
      <w:vertAlign w:val="superscript"/>
    </w:rPr>
  </w:style>
  <w:style w:type="paragraph" w:styleId="Header">
    <w:name w:val="header"/>
    <w:aliases w:val="6_G"/>
    <w:basedOn w:val="Normal"/>
    <w:rsid w:val="004963DE"/>
    <w:pPr>
      <w:pBdr>
        <w:bottom w:val="single" w:sz="4" w:space="4" w:color="auto"/>
      </w:pBdr>
      <w:spacing w:line="240" w:lineRule="auto"/>
    </w:pPr>
    <w:rPr>
      <w:b/>
      <w:sz w:val="18"/>
      <w:lang w:val="en-GB"/>
    </w:rPr>
  </w:style>
  <w:style w:type="paragraph" w:styleId="FootnoteText">
    <w:name w:val="footnote text"/>
    <w:aliases w:val="5_G"/>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basedOn w:val="DefaultParagraphFont"/>
    <w:rsid w:val="00D11B17"/>
    <w:rPr>
      <w:rFonts w:ascii="Times New Roman" w:hAnsi="Times New Roman"/>
      <w:b/>
      <w:sz w:val="18"/>
      <w:lang w:val="fr-CH"/>
    </w:rPr>
  </w:style>
  <w:style w:type="paragraph" w:styleId="Footer">
    <w:name w:val="footer"/>
    <w:aliases w:val="3_G"/>
    <w:basedOn w:val="Normal"/>
    <w:next w:val="Normal"/>
    <w:rsid w:val="00D11B17"/>
    <w:pPr>
      <w:spacing w:line="240" w:lineRule="auto"/>
    </w:pPr>
    <w:rPr>
      <w:sz w:val="16"/>
    </w:rPr>
  </w:style>
  <w:style w:type="table" w:styleId="TableGrid">
    <w:name w:val="Table Grid"/>
    <w:basedOn w:val="TableNormal"/>
    <w:semiHidden/>
    <w:rsid w:val="004963D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963DE"/>
    <w:rPr>
      <w:color w:val="auto"/>
      <w:u w:val="none"/>
    </w:rPr>
  </w:style>
  <w:style w:type="character" w:styleId="FollowedHyperlink">
    <w:name w:val="FollowedHyperlink"/>
    <w:basedOn w:val="DefaultParagraphFont"/>
    <w:semiHidden/>
    <w:rsid w:val="004963DE"/>
    <w:rPr>
      <w:color w:val="auto"/>
      <w:u w:val="none"/>
    </w:rPr>
  </w:style>
  <w:style w:type="character" w:customStyle="1" w:styleId="FootnoteTextChar">
    <w:name w:val="Footnote Text Char"/>
    <w:aliases w:val="5_G Char"/>
    <w:basedOn w:val="DefaultParagraphFont"/>
    <w:link w:val="FootnoteText"/>
    <w:rsid w:val="001F2853"/>
    <w:rPr>
      <w:sz w:val="18"/>
      <w:lang w:val="fr-CH" w:eastAsia="en-US"/>
    </w:rPr>
  </w:style>
  <w:style w:type="paragraph" w:customStyle="1" w:styleId="Textkrper21">
    <w:name w:val="Textkörper 21"/>
    <w:basedOn w:val="Normal"/>
    <w:rsid w:val="00794C5B"/>
    <w:pPr>
      <w:widowControl w:val="0"/>
      <w:tabs>
        <w:tab w:val="left" w:pos="142"/>
        <w:tab w:val="left" w:pos="567"/>
        <w:tab w:val="left" w:pos="851"/>
        <w:tab w:val="left" w:pos="2835"/>
        <w:tab w:val="left" w:pos="5103"/>
        <w:tab w:val="left" w:pos="5954"/>
      </w:tabs>
      <w:suppressAutoHyphens w:val="0"/>
      <w:overflowPunct w:val="0"/>
      <w:autoSpaceDE w:val="0"/>
      <w:autoSpaceDN w:val="0"/>
      <w:adjustRightInd w:val="0"/>
      <w:spacing w:line="240" w:lineRule="auto"/>
      <w:ind w:left="1134"/>
      <w:jc w:val="both"/>
      <w:textAlignment w:val="baseline"/>
    </w:pPr>
    <w:rPr>
      <w:rFonts w:ascii="Arial" w:hAnsi="Arial"/>
      <w:lang w:val="de-DE" w:eastAsia="fr-FR"/>
    </w:rPr>
  </w:style>
  <w:style w:type="paragraph" w:styleId="ListParagraph">
    <w:name w:val="List Paragraph"/>
    <w:basedOn w:val="Normal"/>
    <w:uiPriority w:val="34"/>
    <w:qFormat/>
    <w:rsid w:val="00794C5B"/>
    <w:pPr>
      <w:widowControl w:val="0"/>
      <w:suppressAutoHyphens w:val="0"/>
      <w:overflowPunct w:val="0"/>
      <w:autoSpaceDE w:val="0"/>
      <w:autoSpaceDN w:val="0"/>
      <w:adjustRightInd w:val="0"/>
      <w:spacing w:line="240" w:lineRule="auto"/>
      <w:ind w:left="720" w:hanging="1134"/>
      <w:contextualSpacing/>
      <w:jc w:val="both"/>
      <w:textAlignment w:val="baseline"/>
    </w:pPr>
    <w:rPr>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ECE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B5889-0640-4F69-B2D4-42BCD2AC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ECE_F.dotm</Template>
  <TotalTime>45</TotalTime>
  <Pages>4</Pages>
  <Words>1052</Words>
  <Characters>5648</Characters>
  <Application>Microsoft Office Word</Application>
  <DocSecurity>0</DocSecurity>
  <Lines>134</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CSD</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Marie-Claude Collet</dc:creator>
  <cp:lastModifiedBy>Laurence Berthet</cp:lastModifiedBy>
  <cp:revision>4</cp:revision>
  <cp:lastPrinted>2017-10-20T13:11:00Z</cp:lastPrinted>
  <dcterms:created xsi:type="dcterms:W3CDTF">2017-10-18T12:54:00Z</dcterms:created>
  <dcterms:modified xsi:type="dcterms:W3CDTF">2017-10-20T13:12:00Z</dcterms:modified>
</cp:coreProperties>
</file>