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B01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B01A2" w:rsidP="006B01A2">
            <w:pPr>
              <w:jc w:val="right"/>
            </w:pPr>
            <w:r w:rsidRPr="006B01A2">
              <w:rPr>
                <w:sz w:val="40"/>
              </w:rPr>
              <w:t>ECE</w:t>
            </w:r>
            <w:r>
              <w:t>/TRANS/WP.15/AC.2/2018/22</w:t>
            </w:r>
          </w:p>
        </w:tc>
      </w:tr>
      <w:tr w:rsidR="002D5AAC" w:rsidRPr="00FF133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B01A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B01A2" w:rsidRDefault="006B01A2" w:rsidP="006B01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November 2017</w:t>
            </w:r>
          </w:p>
          <w:p w:rsidR="006B01A2" w:rsidRDefault="006B01A2" w:rsidP="006B01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B01A2" w:rsidRPr="008D53B6" w:rsidRDefault="006B01A2" w:rsidP="006B01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B01A2" w:rsidRPr="006B01A2" w:rsidRDefault="006B01A2" w:rsidP="006B01A2">
      <w:pPr>
        <w:spacing w:before="120"/>
        <w:rPr>
          <w:sz w:val="28"/>
          <w:szCs w:val="28"/>
        </w:rPr>
      </w:pPr>
      <w:r w:rsidRPr="006B01A2">
        <w:rPr>
          <w:sz w:val="28"/>
          <w:szCs w:val="28"/>
        </w:rPr>
        <w:t>Комитет по внутреннему транспорту</w:t>
      </w:r>
    </w:p>
    <w:p w:rsidR="006B01A2" w:rsidRPr="006B01A2" w:rsidRDefault="006B01A2" w:rsidP="006B01A2">
      <w:pPr>
        <w:spacing w:before="120"/>
        <w:rPr>
          <w:b/>
          <w:sz w:val="24"/>
          <w:szCs w:val="24"/>
        </w:rPr>
      </w:pPr>
      <w:r w:rsidRPr="006B01A2">
        <w:rPr>
          <w:b/>
          <w:sz w:val="24"/>
          <w:szCs w:val="24"/>
        </w:rPr>
        <w:t>Рабочая группа по перевозкам опасных грузов</w:t>
      </w:r>
    </w:p>
    <w:p w:rsidR="006B01A2" w:rsidRPr="006B01A2" w:rsidRDefault="006B01A2" w:rsidP="006B01A2">
      <w:pPr>
        <w:spacing w:before="120"/>
        <w:rPr>
          <w:b/>
        </w:rPr>
      </w:pPr>
      <w:r w:rsidRPr="006B01A2">
        <w:rPr>
          <w:b/>
        </w:rPr>
        <w:t>Совместное совещание экспертов по Правилам,</w:t>
      </w:r>
      <w:r w:rsidRPr="006B01A2">
        <w:rPr>
          <w:b/>
        </w:rPr>
        <w:br/>
        <w:t>прилагаемым к Европейскому соглашению</w:t>
      </w:r>
      <w:r w:rsidRPr="006B01A2">
        <w:rPr>
          <w:b/>
        </w:rPr>
        <w:br/>
        <w:t>о международной перевозке опасных грузов</w:t>
      </w:r>
      <w:r w:rsidRPr="006B01A2">
        <w:rPr>
          <w:b/>
        </w:rPr>
        <w:br/>
        <w:t>по внутренним водным путям (ВОПОГ)</w:t>
      </w:r>
      <w:r w:rsidRPr="006B01A2">
        <w:rPr>
          <w:b/>
        </w:rPr>
        <w:br/>
        <w:t>(Комитет по вопросам безопасности ВОПОГ)</w:t>
      </w:r>
    </w:p>
    <w:p w:rsidR="006B01A2" w:rsidRPr="006B01A2" w:rsidRDefault="006B01A2" w:rsidP="006B01A2">
      <w:pPr>
        <w:spacing w:before="120"/>
        <w:rPr>
          <w:b/>
        </w:rPr>
      </w:pPr>
      <w:r w:rsidRPr="006B01A2">
        <w:rPr>
          <w:b/>
        </w:rPr>
        <w:t>Тридцать вторая сессия</w:t>
      </w:r>
    </w:p>
    <w:p w:rsidR="006B01A2" w:rsidRPr="006B01A2" w:rsidRDefault="006B01A2" w:rsidP="006B01A2">
      <w:r w:rsidRPr="006B01A2">
        <w:t>Женева, 22–26 января 2018 года</w:t>
      </w:r>
    </w:p>
    <w:p w:rsidR="006B01A2" w:rsidRPr="006B01A2" w:rsidRDefault="006B01A2" w:rsidP="006B01A2">
      <w:r w:rsidRPr="006B01A2">
        <w:t>Пункт 5 b) предварительной повестки дня</w:t>
      </w:r>
    </w:p>
    <w:p w:rsidR="006B01A2" w:rsidRPr="008D0EC9" w:rsidRDefault="006B01A2" w:rsidP="006B01A2">
      <w:pPr>
        <w:rPr>
          <w:b/>
        </w:rPr>
      </w:pPr>
      <w:r w:rsidRPr="008D0EC9">
        <w:rPr>
          <w:b/>
        </w:rPr>
        <w:t xml:space="preserve">Предложения о внесении поправок в Правила, </w:t>
      </w:r>
      <w:r w:rsidR="008D0EC9">
        <w:rPr>
          <w:b/>
        </w:rPr>
        <w:br/>
      </w:r>
      <w:r w:rsidRPr="008D0EC9">
        <w:rPr>
          <w:b/>
        </w:rPr>
        <w:t>прилагаемые к ВОПОГ:</w:t>
      </w:r>
      <w:r w:rsidR="008D0EC9" w:rsidRPr="008D0EC9">
        <w:rPr>
          <w:b/>
        </w:rPr>
        <w:t xml:space="preserve"> </w:t>
      </w:r>
      <w:r w:rsidRPr="008D0EC9">
        <w:rPr>
          <w:b/>
        </w:rPr>
        <w:t>другие предложения</w:t>
      </w:r>
    </w:p>
    <w:p w:rsidR="006B01A2" w:rsidRPr="006B01A2" w:rsidRDefault="006B01A2" w:rsidP="008D0EC9">
      <w:pPr>
        <w:pStyle w:val="HChGR"/>
      </w:pPr>
      <w:r w:rsidRPr="006B01A2">
        <w:tab/>
      </w:r>
      <w:r w:rsidRPr="006B01A2">
        <w:tab/>
        <w:t>Отчет о совещании представителей PTB, ЕСФХП и</w:t>
      </w:r>
      <w:r w:rsidR="008D0EC9">
        <w:rPr>
          <w:lang w:val="en-US"/>
        </w:rPr>
        <w:t> </w:t>
      </w:r>
      <w:r w:rsidRPr="006B01A2">
        <w:t>BAM, состоявшемся 5 и 6 октября 2017 года в</w:t>
      </w:r>
      <w:r w:rsidR="008D0EC9">
        <w:rPr>
          <w:lang w:val="en-US"/>
        </w:rPr>
        <w:t> </w:t>
      </w:r>
      <w:r w:rsidRPr="006B01A2">
        <w:t>Брауншвейге, по вопросу о наличии возможных неясностей в таблице С</w:t>
      </w:r>
    </w:p>
    <w:p w:rsidR="006B01A2" w:rsidRPr="008D0EC9" w:rsidRDefault="006B01A2" w:rsidP="008D0EC9">
      <w:pPr>
        <w:pStyle w:val="H1GR"/>
        <w:rPr>
          <w:b w:val="0"/>
          <w:sz w:val="20"/>
        </w:rPr>
      </w:pPr>
      <w:r w:rsidRPr="006B01A2">
        <w:tab/>
      </w:r>
      <w:r w:rsidRPr="006B01A2">
        <w:tab/>
        <w:t>Передано правительством Германии</w:t>
      </w:r>
      <w:r w:rsidRPr="008D0EC9">
        <w:rPr>
          <w:b w:val="0"/>
          <w:sz w:val="20"/>
        </w:rPr>
        <w:footnoteReference w:customMarkFollows="1" w:id="1"/>
        <w:t>*</w:t>
      </w:r>
      <w:r w:rsidR="008D0EC9" w:rsidRPr="00EC7A9A">
        <w:rPr>
          <w:b w:val="0"/>
          <w:sz w:val="20"/>
        </w:rPr>
        <w:t xml:space="preserve"> </w:t>
      </w:r>
      <w:r w:rsidRPr="008D0EC9">
        <w:rPr>
          <w:b w:val="0"/>
          <w:sz w:val="20"/>
        </w:rPr>
        <w:footnoteReference w:customMarkFollows="1" w:id="2"/>
        <w:t>**</w:t>
      </w:r>
    </w:p>
    <w:p w:rsidR="006B01A2" w:rsidRPr="006B01A2" w:rsidRDefault="006B01A2" w:rsidP="008D0EC9">
      <w:pPr>
        <w:pStyle w:val="HChGR"/>
      </w:pPr>
      <w:r w:rsidRPr="006B01A2">
        <w:tab/>
      </w:r>
      <w:r w:rsidRPr="006B01A2">
        <w:tab/>
        <w:t>Введение</w:t>
      </w:r>
    </w:p>
    <w:p w:rsidR="006B01A2" w:rsidRPr="006B01A2" w:rsidRDefault="006B01A2" w:rsidP="006B01A2">
      <w:pPr>
        <w:pStyle w:val="SingleTxtGR"/>
      </w:pPr>
      <w:r w:rsidRPr="006B01A2">
        <w:t>1.</w:t>
      </w:r>
      <w:r w:rsidRPr="006B01A2">
        <w:tab/>
        <w:t>Для рассмотрения на тридцать первой сессии Комитета по вопросам бе</w:t>
      </w:r>
      <w:r w:rsidR="00241919" w:rsidRPr="00241919">
        <w:t>-</w:t>
      </w:r>
      <w:r w:rsidRPr="006B01A2">
        <w:t>зопасности правительство Бельгии представило документ ECE/TRANS/WP.15/</w:t>
      </w:r>
      <w:r w:rsidR="008D0EC9">
        <w:br/>
      </w:r>
      <w:r w:rsidRPr="006B01A2">
        <w:t>AC.2/2017/41 о возможных неясностях в таблице C. По итогам обсуждения в Комитете по вопросам безопасности неофициальной рабочей группе по веществам было предложено изучить соответствующие вопросы.</w:t>
      </w:r>
    </w:p>
    <w:p w:rsidR="006B01A2" w:rsidRPr="006B01A2" w:rsidRDefault="006B01A2" w:rsidP="006B01A2">
      <w:pPr>
        <w:pStyle w:val="SingleTxtGR"/>
      </w:pPr>
      <w:r w:rsidRPr="006B01A2">
        <w:t>2.</w:t>
      </w:r>
      <w:r w:rsidRPr="006B01A2">
        <w:tab/>
        <w:t>Из-за нехватки времени не удалось созвать очередное совещание неофициальной рабочей группы по веществам. В этой связи было решено провести совещание небольшой подгруппы в составе представителей Федерального физико-технического института (PTB), Европейского совета химической промышленности (ЕСФХП) и Федерального института исследований и испытаний материалов (BAM). Данное совещание проходило 5 и 6 октября 2017 года в Брауншвейге.</w:t>
      </w:r>
    </w:p>
    <w:p w:rsidR="006B01A2" w:rsidRPr="006B01A2" w:rsidRDefault="006B01A2" w:rsidP="008D0EC9">
      <w:pPr>
        <w:pStyle w:val="HChGR"/>
      </w:pPr>
      <w:r w:rsidRPr="006B01A2">
        <w:lastRenderedPageBreak/>
        <w:tab/>
        <w:t>I.</w:t>
      </w:r>
      <w:r w:rsidRPr="006B01A2">
        <w:tab/>
        <w:t>Итоги</w:t>
      </w:r>
    </w:p>
    <w:p w:rsidR="006B01A2" w:rsidRPr="006B01A2" w:rsidRDefault="006B01A2" w:rsidP="006B01A2">
      <w:pPr>
        <w:pStyle w:val="SingleTxtGR"/>
      </w:pPr>
      <w:r w:rsidRPr="006B01A2">
        <w:t>3.</w:t>
      </w:r>
      <w:r w:rsidRPr="006B01A2">
        <w:tab/>
        <w:t>На основе документа, представленного Бельгией, Рабочая группа сделала следующие выводы:</w:t>
      </w:r>
    </w:p>
    <w:p w:rsidR="006B01A2" w:rsidRPr="006B01A2" w:rsidRDefault="006B01A2" w:rsidP="008D0EC9">
      <w:pPr>
        <w:pStyle w:val="H1GR"/>
      </w:pPr>
      <w:r w:rsidRPr="006B01A2">
        <w:tab/>
        <w:t>A.</w:t>
      </w:r>
      <w:r w:rsidRPr="006B01A2">
        <w:tab/>
        <w:t xml:space="preserve">Ссылка на стандарт </w:t>
      </w:r>
      <w:r w:rsidRPr="006B01A2">
        <w:rPr>
          <w:lang w:val="en-US"/>
        </w:rPr>
        <w:t>EN</w:t>
      </w:r>
      <w:r w:rsidRPr="006B01A2">
        <w:t xml:space="preserve"> для № ООН 1202</w:t>
      </w:r>
    </w:p>
    <w:p w:rsidR="006B01A2" w:rsidRPr="006B01A2" w:rsidRDefault="006B01A2" w:rsidP="006B01A2">
      <w:pPr>
        <w:pStyle w:val="SingleTxtGR"/>
      </w:pPr>
      <w:r w:rsidRPr="006B01A2">
        <w:t>4.</w:t>
      </w:r>
      <w:r w:rsidRPr="006B01A2">
        <w:tab/>
        <w:t>Рабочая подгруппа сочла, что замечание в отношении не обновленных ссылок на стандарты является уместным. Было также отмечено, что существует еще более современная версия рассматриваемого стандарта, принятая в 2017</w:t>
      </w:r>
      <w:r w:rsidR="00264696">
        <w:rPr>
          <w:lang w:val="en-US"/>
        </w:rPr>
        <w:t> </w:t>
      </w:r>
      <w:r w:rsidRPr="006B01A2">
        <w:t>году. В этой связи предлагается внести изменения в ссылки на стандарты, фигурирующие в таблицах А и С для № ООН 1202.</w:t>
      </w:r>
    </w:p>
    <w:p w:rsidR="006B01A2" w:rsidRPr="006B01A2" w:rsidRDefault="006B01A2" w:rsidP="006B01A2">
      <w:pPr>
        <w:pStyle w:val="SingleTxtGR"/>
      </w:pPr>
      <w:r w:rsidRPr="006B01A2">
        <w:t>5.</w:t>
      </w:r>
      <w:r w:rsidRPr="006B01A2">
        <w:tab/>
        <w:t>Рабочая подгруппа также уточнила, что данный стандарт касается только дизельного топлива. Это четко указано для других веществ посредством фразы «с температурой всп</w:t>
      </w:r>
      <w:r w:rsidR="00264696">
        <w:t>ышки, указанной в стандарте ...</w:t>
      </w:r>
      <w:r w:rsidRPr="006B01A2">
        <w:t>».</w:t>
      </w:r>
    </w:p>
    <w:p w:rsidR="006B01A2" w:rsidRPr="006B01A2" w:rsidRDefault="006B01A2" w:rsidP="006B01A2">
      <w:pPr>
        <w:pStyle w:val="SingleTxtGR"/>
      </w:pPr>
      <w:r w:rsidRPr="006B01A2">
        <w:t>6.</w:t>
      </w:r>
      <w:r w:rsidRPr="006B01A2">
        <w:tab/>
        <w:t>В соответствии с требованиями ВОПОГ, касающимися отгрузочных наименований, другие наименования указываются в круглых скобках. Поскольку слово «легкое» в наименовании легкого печного топлива речь представляет собой дополнительную информацию, рабочая подгруппа считает, что правильным является наименование «ТОПЛИВО ПЕЧНОЕ, ЛЕГКОЕ».</w:t>
      </w:r>
    </w:p>
    <w:p w:rsidR="006B01A2" w:rsidRPr="006B01A2" w:rsidRDefault="008D0EC9" w:rsidP="008D0EC9">
      <w:pPr>
        <w:pStyle w:val="H23GR"/>
      </w:pPr>
      <w:r>
        <w:tab/>
      </w:r>
      <w:r>
        <w:tab/>
      </w:r>
      <w:r w:rsidR="006B01A2" w:rsidRPr="006B01A2">
        <w:t>Предложения:</w:t>
      </w:r>
    </w:p>
    <w:p w:rsidR="006B01A2" w:rsidRPr="006B01A2" w:rsidRDefault="006B01A2" w:rsidP="006B01A2">
      <w:pPr>
        <w:pStyle w:val="SingleTxtGR"/>
      </w:pPr>
      <w:r w:rsidRPr="006B01A2">
        <w:t>7.</w:t>
      </w:r>
      <w:r w:rsidRPr="006B01A2">
        <w:tab/>
        <w:t xml:space="preserve">В таблице А для № ООН 1202 заменить «EN 590: 2013 + AC: 2014» на «EN 590:2013 + AC:2017». В таблице C для № ООН 1202 заменить </w:t>
      </w:r>
      <w:r w:rsidR="00EB3FD5">
        <w:br/>
      </w:r>
      <w:r w:rsidRPr="006B01A2">
        <w:t>«EN 590:2013 + AC:2010» на «EN 590:2013 + AC:2017».</w:t>
      </w:r>
    </w:p>
    <w:p w:rsidR="006B01A2" w:rsidRPr="006B01A2" w:rsidRDefault="006B01A2" w:rsidP="006B01A2">
      <w:pPr>
        <w:pStyle w:val="SingleTxtGR"/>
      </w:pPr>
      <w:r w:rsidRPr="006B01A2">
        <w:t>8.</w:t>
      </w:r>
      <w:r w:rsidRPr="006B01A2">
        <w:tab/>
        <w:t>В таблице C в текстах на французском и английском языках заменить «</w:t>
      </w:r>
      <w:r w:rsidRPr="006B01A2">
        <w:rPr>
          <w:lang w:val="fr-FR"/>
        </w:rPr>
        <w:t>HUILE</w:t>
      </w:r>
      <w:r w:rsidRPr="006B01A2">
        <w:t xml:space="preserve"> </w:t>
      </w:r>
      <w:r w:rsidRPr="006B01A2">
        <w:rPr>
          <w:lang w:val="fr-FR"/>
        </w:rPr>
        <w:t>DE</w:t>
      </w:r>
      <w:r w:rsidRPr="006B01A2">
        <w:t xml:space="preserve"> </w:t>
      </w:r>
      <w:r w:rsidRPr="006B01A2">
        <w:rPr>
          <w:lang w:val="fr-FR"/>
        </w:rPr>
        <w:t>CHAUFFE</w:t>
      </w:r>
      <w:r w:rsidRPr="006B01A2">
        <w:t xml:space="preserve"> (</w:t>
      </w:r>
      <w:r w:rsidRPr="006B01A2">
        <w:rPr>
          <w:lang w:val="fr-FR"/>
        </w:rPr>
        <w:t>L</w:t>
      </w:r>
      <w:r w:rsidRPr="006B01A2">
        <w:t>É</w:t>
      </w:r>
      <w:r w:rsidRPr="006B01A2">
        <w:rPr>
          <w:lang w:val="fr-FR"/>
        </w:rPr>
        <w:t>G</w:t>
      </w:r>
      <w:r w:rsidRPr="006B01A2">
        <w:t>È</w:t>
      </w:r>
      <w:r w:rsidRPr="006B01A2">
        <w:rPr>
          <w:lang w:val="fr-FR"/>
        </w:rPr>
        <w:t>RE</w:t>
      </w:r>
      <w:r w:rsidRPr="006B01A2">
        <w:t>)»/«</w:t>
      </w:r>
      <w:r w:rsidRPr="006B01A2">
        <w:rPr>
          <w:lang w:val="en-GB"/>
        </w:rPr>
        <w:t>HEATING</w:t>
      </w:r>
      <w:r w:rsidRPr="006B01A2">
        <w:t xml:space="preserve"> </w:t>
      </w:r>
      <w:r w:rsidRPr="006B01A2">
        <w:rPr>
          <w:lang w:val="en-GB"/>
        </w:rPr>
        <w:t>OIL</w:t>
      </w:r>
      <w:r w:rsidRPr="006B01A2">
        <w:t xml:space="preserve"> (</w:t>
      </w:r>
      <w:r w:rsidRPr="006B01A2">
        <w:rPr>
          <w:lang w:val="en-GB"/>
        </w:rPr>
        <w:t>LIGHT</w:t>
      </w:r>
      <w:r w:rsidRPr="006B01A2">
        <w:t>)» на «</w:t>
      </w:r>
      <w:r w:rsidRPr="006B01A2">
        <w:rPr>
          <w:lang w:val="fr-FR"/>
        </w:rPr>
        <w:t>HUILE</w:t>
      </w:r>
      <w:r w:rsidRPr="006B01A2">
        <w:t xml:space="preserve"> </w:t>
      </w:r>
      <w:r w:rsidRPr="006B01A2">
        <w:rPr>
          <w:lang w:val="fr-FR"/>
        </w:rPr>
        <w:t>DE</w:t>
      </w:r>
      <w:r w:rsidRPr="006B01A2">
        <w:t xml:space="preserve"> </w:t>
      </w:r>
      <w:r w:rsidRPr="006B01A2">
        <w:rPr>
          <w:lang w:val="fr-FR"/>
        </w:rPr>
        <w:t>CHAUFFE</w:t>
      </w:r>
      <w:r w:rsidRPr="006B01A2">
        <w:t xml:space="preserve">, </w:t>
      </w:r>
      <w:r w:rsidRPr="006B01A2">
        <w:rPr>
          <w:lang w:val="fr-FR"/>
        </w:rPr>
        <w:t>L</w:t>
      </w:r>
      <w:r w:rsidRPr="006B01A2">
        <w:t>É</w:t>
      </w:r>
      <w:r w:rsidRPr="006B01A2">
        <w:rPr>
          <w:lang w:val="fr-FR"/>
        </w:rPr>
        <w:t>G</w:t>
      </w:r>
      <w:r w:rsidRPr="006B01A2">
        <w:t>È</w:t>
      </w:r>
      <w:r w:rsidRPr="006B01A2">
        <w:rPr>
          <w:lang w:val="fr-FR"/>
        </w:rPr>
        <w:t>RE</w:t>
      </w:r>
      <w:r w:rsidRPr="006B01A2">
        <w:t>»/«</w:t>
      </w:r>
      <w:r w:rsidRPr="006B01A2">
        <w:rPr>
          <w:lang w:val="en-GB"/>
        </w:rPr>
        <w:t>HEATING</w:t>
      </w:r>
      <w:r w:rsidRPr="006B01A2">
        <w:t xml:space="preserve"> </w:t>
      </w:r>
      <w:r w:rsidRPr="006B01A2">
        <w:rPr>
          <w:lang w:val="en-GB"/>
        </w:rPr>
        <w:t>OIL</w:t>
      </w:r>
      <w:r w:rsidRPr="006B01A2">
        <w:t xml:space="preserve">, </w:t>
      </w:r>
      <w:r w:rsidRPr="006B01A2">
        <w:rPr>
          <w:lang w:val="en-GB"/>
        </w:rPr>
        <w:t>LIGHT</w:t>
      </w:r>
      <w:r w:rsidRPr="006B01A2">
        <w:t>» («ТОПЛИВО ПЕЧНОЕ, ЛЕГКОЕ»).</w:t>
      </w:r>
    </w:p>
    <w:p w:rsidR="006B01A2" w:rsidRPr="006B01A2" w:rsidRDefault="006B01A2" w:rsidP="006B01A2">
      <w:pPr>
        <w:pStyle w:val="SingleTxtGR"/>
      </w:pPr>
      <w:r w:rsidRPr="006B01A2">
        <w:t>9.</w:t>
      </w:r>
      <w:r w:rsidRPr="006B01A2">
        <w:tab/>
        <w:t>Кроме того, рабочая подгруппа рекомендует привести отгрузочные наименования для № ООН 1202, указанные в таблице С в текстах на английском и русском языках, в соответствие с текстами на французском и немецком языках.</w:t>
      </w:r>
    </w:p>
    <w:p w:rsidR="006B01A2" w:rsidRPr="006B01A2" w:rsidRDefault="006B01A2" w:rsidP="008D0EC9">
      <w:pPr>
        <w:pStyle w:val="H1GR"/>
      </w:pPr>
      <w:r w:rsidRPr="006B01A2">
        <w:tab/>
        <w:t>B.</w:t>
      </w:r>
      <w:r w:rsidRPr="006B01A2">
        <w:tab/>
        <w:t>Определение № ООН 1203</w:t>
      </w:r>
    </w:p>
    <w:p w:rsidR="006B01A2" w:rsidRPr="006B01A2" w:rsidRDefault="006B01A2" w:rsidP="006B01A2">
      <w:pPr>
        <w:pStyle w:val="SingleTxtGR"/>
      </w:pPr>
      <w:r w:rsidRPr="006B01A2">
        <w:t>10.</w:t>
      </w:r>
      <w:r w:rsidRPr="006B01A2">
        <w:tab/>
        <w:t xml:space="preserve">Рабочая подгруппа считает, что союз «или» в отгрузочном </w:t>
      </w:r>
      <w:r w:rsidR="00EB3FD5" w:rsidRPr="006B01A2">
        <w:t>наименовании</w:t>
      </w:r>
      <w:r w:rsidRPr="006B01A2">
        <w:t xml:space="preserve"> уже четко указывает на то, что «ГАЗОЛИН или ПЕТРОЛ» и «БЕНЗИН МОТОРНЫЙ»  – это разные вещества. Об этом свидетельствует также тот факт, что в текстах стандарта, касающегося бензина (</w:t>
      </w:r>
      <w:r w:rsidRPr="006B01A2">
        <w:rPr>
          <w:lang w:val="en-US"/>
        </w:rPr>
        <w:t>petrol</w:t>
      </w:r>
      <w:r w:rsidRPr="006B01A2">
        <w:t>), на английском и французском языках  используются отличные от ВОПОГ определения. Согласно европейскому стандарту «БЕНЗИН МОТОРНЫЙ» («</w:t>
      </w:r>
      <w:r w:rsidRPr="006B01A2">
        <w:rPr>
          <w:lang w:val="en-GB"/>
        </w:rPr>
        <w:t>MOTOR</w:t>
      </w:r>
      <w:r w:rsidRPr="006B01A2">
        <w:t xml:space="preserve"> </w:t>
      </w:r>
      <w:r w:rsidRPr="006B01A2">
        <w:rPr>
          <w:lang w:val="en-GB"/>
        </w:rPr>
        <w:t>SPIRIT</w:t>
      </w:r>
      <w:r w:rsidRPr="006B01A2">
        <w:t>») следует понимать как топливо, частично состоящее из бензина. Поэтому рабочая подгруппа считает, что нет необходимости вносить изменения в требования. Кроме того, следует отметить, что в документе, представленном Бельгией, упоминается стандарт в действовавшей на тот момент версии 2014 года, которая с тех пор была заменена версией, датированной августом 2017 года.</w:t>
      </w:r>
    </w:p>
    <w:p w:rsidR="006B01A2" w:rsidRPr="006B01A2" w:rsidRDefault="006B01A2" w:rsidP="008D0EC9">
      <w:pPr>
        <w:pStyle w:val="H1GR"/>
      </w:pPr>
      <w:r w:rsidRPr="006B01A2">
        <w:tab/>
        <w:t>C.</w:t>
      </w:r>
      <w:r w:rsidRPr="006B01A2">
        <w:tab/>
        <w:t>Температура кипения в сравнении с температурой начала кипения</w:t>
      </w:r>
    </w:p>
    <w:p w:rsidR="006B01A2" w:rsidRPr="006B01A2" w:rsidRDefault="006B01A2" w:rsidP="006B01A2">
      <w:pPr>
        <w:pStyle w:val="SingleTxtGR"/>
      </w:pPr>
      <w:r w:rsidRPr="006B01A2">
        <w:t>11.</w:t>
      </w:r>
      <w:r w:rsidRPr="006B01A2">
        <w:tab/>
        <w:t xml:space="preserve">Комитет по вопросам безопасности уже рассматривал этот вопрос в </w:t>
      </w:r>
      <w:r w:rsidR="008D0EC9">
        <w:br/>
      </w:r>
      <w:r w:rsidRPr="006B01A2">
        <w:t>2013 году. Было выдвинуто предложение о замене по всему тексту ВОПОГ слов «температура кипения» более часто используемым сейчас термином «темпера</w:t>
      </w:r>
      <w:r w:rsidRPr="006B01A2">
        <w:lastRenderedPageBreak/>
        <w:t>тура начала кипения». Так как было отмечено, что эти поправки затронут также тексты, основанные на ДОПОГ или Типовых правилах ООН, данный вопрос был передан на рассмотрение Совместного совещания, а затем Подкомитета экспертов ООН по ПОГ. Подкомитет экспертов ООН постановил использовать оба термина: «температура кипения» – для чистых веществ и «температура начала кипения» – для смесей. Таким образом, от предложения по внесению соответствующих изменений в ВОПОГ было решено отказаться.</w:t>
      </w:r>
    </w:p>
    <w:p w:rsidR="006B01A2" w:rsidRPr="006B01A2" w:rsidRDefault="006B01A2" w:rsidP="006B01A2">
      <w:pPr>
        <w:pStyle w:val="SingleTxtGR"/>
      </w:pPr>
      <w:r w:rsidRPr="006B01A2">
        <w:t>12.</w:t>
      </w:r>
      <w:r w:rsidRPr="006B01A2">
        <w:tab/>
        <w:t>Рабочая подгруппа может одобрить предложения, представленные Бельгией в документе ECE/TRANS/WP.15/AC.2/2017/41, о замене в таблице С и в схеме А подраздела 3.2.3.3 слов «температура кипения» словами «температура начала кипения»</w:t>
      </w:r>
      <w:r w:rsidR="001131B4">
        <w:t>. Вместе с тем</w:t>
      </w:r>
      <w:r w:rsidRPr="006B01A2">
        <w:t xml:space="preserve"> аналогичное изменение следует внести для №</w:t>
      </w:r>
      <w:r w:rsidR="001131B4">
        <w:rPr>
          <w:lang w:val="en-US"/>
        </w:rPr>
        <w:t> </w:t>
      </w:r>
      <w:r w:rsidRPr="006B01A2">
        <w:t>ООН 1268.</w:t>
      </w:r>
    </w:p>
    <w:p w:rsidR="006B01A2" w:rsidRPr="006B01A2" w:rsidRDefault="006B01A2" w:rsidP="006B01A2">
      <w:pPr>
        <w:pStyle w:val="SingleTxtGR"/>
      </w:pPr>
      <w:r w:rsidRPr="006B01A2">
        <w:t>13.</w:t>
      </w:r>
      <w:r w:rsidRPr="006B01A2">
        <w:tab/>
        <w:t>В ходе обсуждения данного вопроса было отмечено, что примеры, приведенные в пункте 3.1.2.8.1.4, в существующем виде утратили свою актуальность. В связи с этим предлагается заменить существующие примеры новыми.</w:t>
      </w:r>
    </w:p>
    <w:p w:rsidR="006B01A2" w:rsidRPr="006B01A2" w:rsidRDefault="008D0EC9" w:rsidP="008D0EC9">
      <w:pPr>
        <w:pStyle w:val="H23GR"/>
      </w:pPr>
      <w:r>
        <w:tab/>
      </w:r>
      <w:r>
        <w:tab/>
      </w:r>
      <w:r w:rsidR="006B01A2" w:rsidRPr="006B01A2">
        <w:t>Предложение:</w:t>
      </w:r>
    </w:p>
    <w:p w:rsidR="006B01A2" w:rsidRPr="006B01A2" w:rsidRDefault="006B01A2" w:rsidP="006B01A2">
      <w:pPr>
        <w:pStyle w:val="SingleTxtGR"/>
      </w:pPr>
      <w:r w:rsidRPr="006B01A2">
        <w:t>14.</w:t>
      </w:r>
      <w:r w:rsidRPr="006B01A2">
        <w:tab/>
        <w:t>Заменить примеры, приведенные в конце пункта 3.1.2.8.1.4,</w:t>
      </w:r>
    </w:p>
    <w:p w:rsidR="006B01A2" w:rsidRPr="006B01A2" w:rsidRDefault="006B01A2" w:rsidP="006B01A2">
      <w:pPr>
        <w:pStyle w:val="SingleTxtGR"/>
      </w:pPr>
      <w:r w:rsidRPr="006B01A2">
        <w:t xml:space="preserve">«№ ООН 1268 НЕФТИ ДИСТИЛЛЯТЫ, Н.У.К., 110 кПа &lt; д.п.50 </w:t>
      </w:r>
      <w:r w:rsidRPr="006B01A2">
        <w:rPr>
          <w:lang w:val="fr-FR"/>
        </w:rPr>
        <w:fldChar w:fldCharType="begin"/>
      </w:r>
      <w:r w:rsidRPr="006B01A2">
        <w:rPr>
          <w:lang w:val="fr-FR"/>
        </w:rPr>
        <w:instrText>SYMBOL</w:instrText>
      </w:r>
      <w:r w:rsidRPr="006B01A2">
        <w:instrText xml:space="preserve"> 163 \</w:instrText>
      </w:r>
      <w:r w:rsidRPr="006B01A2">
        <w:rPr>
          <w:lang w:val="fr-FR"/>
        </w:rPr>
        <w:instrText>f</w:instrText>
      </w:r>
      <w:r w:rsidRPr="006B01A2">
        <w:instrText xml:space="preserve"> "</w:instrText>
      </w:r>
      <w:r w:rsidRPr="006B01A2">
        <w:rPr>
          <w:lang w:val="fr-FR"/>
        </w:rPr>
        <w:instrText>Symbol</w:instrText>
      </w:r>
      <w:r w:rsidRPr="006B01A2">
        <w:instrText>" \</w:instrText>
      </w:r>
      <w:r w:rsidRPr="006B01A2">
        <w:rPr>
          <w:lang w:val="fr-FR"/>
        </w:rPr>
        <w:instrText>s</w:instrText>
      </w:r>
      <w:r w:rsidRPr="006B01A2">
        <w:instrText xml:space="preserve"> 10</w:instrText>
      </w:r>
      <w:r w:rsidRPr="006B01A2">
        <w:rPr>
          <w:lang w:val="fr-FR"/>
        </w:rPr>
        <w:fldChar w:fldCharType="separate"/>
      </w:r>
      <w:r w:rsidRPr="006B01A2">
        <w:t>£</w:t>
      </w:r>
      <w:r w:rsidRPr="006B01A2">
        <w:fldChar w:fldCharType="end"/>
      </w:r>
      <w:r w:rsidRPr="006B01A2">
        <w:t xml:space="preserve"> 150 кПа</w:t>
      </w:r>
    </w:p>
    <w:p w:rsidR="006B01A2" w:rsidRPr="006B01A2" w:rsidRDefault="006B01A2" w:rsidP="006B01A2">
      <w:pPr>
        <w:pStyle w:val="SingleTxtGR"/>
      </w:pPr>
      <w:r w:rsidRPr="006B01A2">
        <w:t xml:space="preserve">№ ООН 1993 ЛЕГКОВОСПЛАМЕНЯЮЩАЯСЯ ЖИДКОСТЬ, Н.У.К. (АЦЕТОН, содержащий более 10% БЕНЗОЛА), д.п. 50 </w:t>
      </w:r>
      <w:r w:rsidRPr="006B01A2">
        <w:rPr>
          <w:lang w:val="fr-FR"/>
        </w:rPr>
        <w:fldChar w:fldCharType="begin"/>
      </w:r>
      <w:r w:rsidRPr="006B01A2">
        <w:rPr>
          <w:lang w:val="fr-FR"/>
        </w:rPr>
        <w:instrText>SYMBOL</w:instrText>
      </w:r>
      <w:r w:rsidRPr="006B01A2">
        <w:instrText xml:space="preserve"> 163 \</w:instrText>
      </w:r>
      <w:r w:rsidRPr="006B01A2">
        <w:rPr>
          <w:lang w:val="fr-FR"/>
        </w:rPr>
        <w:instrText>f</w:instrText>
      </w:r>
      <w:r w:rsidRPr="006B01A2">
        <w:instrText xml:space="preserve"> "</w:instrText>
      </w:r>
      <w:r w:rsidRPr="006B01A2">
        <w:rPr>
          <w:lang w:val="fr-FR"/>
        </w:rPr>
        <w:instrText>Symbol</w:instrText>
      </w:r>
      <w:r w:rsidRPr="006B01A2">
        <w:instrText>" \</w:instrText>
      </w:r>
      <w:r w:rsidRPr="006B01A2">
        <w:rPr>
          <w:lang w:val="fr-FR"/>
        </w:rPr>
        <w:instrText>s</w:instrText>
      </w:r>
      <w:r w:rsidRPr="006B01A2">
        <w:instrText xml:space="preserve"> 10</w:instrText>
      </w:r>
      <w:r w:rsidRPr="006B01A2">
        <w:rPr>
          <w:lang w:val="fr-FR"/>
        </w:rPr>
        <w:fldChar w:fldCharType="separate"/>
      </w:r>
      <w:r w:rsidRPr="006B01A2">
        <w:t>£</w:t>
      </w:r>
      <w:r w:rsidRPr="006B01A2">
        <w:fldChar w:fldCharType="end"/>
      </w:r>
      <w:r w:rsidRPr="006B01A2">
        <w:t xml:space="preserve"> 110 кПа, 85 °С &lt; tкип. </w:t>
      </w:r>
      <w:r w:rsidRPr="006B01A2">
        <w:rPr>
          <w:lang w:val="fr-FR"/>
        </w:rPr>
        <w:fldChar w:fldCharType="begin"/>
      </w:r>
      <w:r w:rsidRPr="006B01A2">
        <w:rPr>
          <w:lang w:val="fr-FR"/>
        </w:rPr>
        <w:instrText>SYMBOL</w:instrText>
      </w:r>
      <w:r w:rsidRPr="006B01A2">
        <w:instrText xml:space="preserve"> 163 \</w:instrText>
      </w:r>
      <w:r w:rsidRPr="006B01A2">
        <w:rPr>
          <w:lang w:val="fr-FR"/>
        </w:rPr>
        <w:instrText>f</w:instrText>
      </w:r>
      <w:r w:rsidRPr="006B01A2">
        <w:instrText xml:space="preserve"> "</w:instrText>
      </w:r>
      <w:r w:rsidRPr="006B01A2">
        <w:rPr>
          <w:lang w:val="fr-FR"/>
        </w:rPr>
        <w:instrText>Symbol</w:instrText>
      </w:r>
      <w:r w:rsidRPr="006B01A2">
        <w:instrText>" \</w:instrText>
      </w:r>
      <w:r w:rsidRPr="006B01A2">
        <w:rPr>
          <w:lang w:val="fr-FR"/>
        </w:rPr>
        <w:instrText>s</w:instrText>
      </w:r>
      <w:r w:rsidRPr="006B01A2">
        <w:instrText xml:space="preserve"> 10</w:instrText>
      </w:r>
      <w:r w:rsidRPr="006B01A2">
        <w:rPr>
          <w:lang w:val="fr-FR"/>
        </w:rPr>
        <w:fldChar w:fldCharType="separate"/>
      </w:r>
      <w:r w:rsidRPr="006B01A2">
        <w:t>£</w:t>
      </w:r>
      <w:r w:rsidRPr="006B01A2">
        <w:fldChar w:fldCharType="end"/>
      </w:r>
      <w:r w:rsidRPr="006B01A2">
        <w:t xml:space="preserve"> 115 °С»</w:t>
      </w:r>
    </w:p>
    <w:p w:rsidR="006B01A2" w:rsidRPr="006B01A2" w:rsidRDefault="006B01A2" w:rsidP="006B01A2">
      <w:pPr>
        <w:pStyle w:val="SingleTxtGR"/>
      </w:pPr>
      <w:r w:rsidRPr="006B01A2">
        <w:t>следующими примерами:</w:t>
      </w:r>
    </w:p>
    <w:p w:rsidR="00ED38E2" w:rsidRDefault="006B01A2" w:rsidP="006B01A2">
      <w:pPr>
        <w:pStyle w:val="SingleTxtGR"/>
      </w:pPr>
      <w:r w:rsidRPr="006B01A2">
        <w:t xml:space="preserve">«№ ООН 1268 НЕФТИ ДИСТИЛЛЯТЫ, Н.У.К. (НАФТА), 110 кПа &lt; д.п.50 </w:t>
      </w:r>
      <w:r w:rsidR="00C239A2">
        <w:br/>
      </w:r>
      <w:r w:rsidRPr="006B01A2">
        <w:rPr>
          <w:lang w:val="fr-FR"/>
        </w:rPr>
        <w:fldChar w:fldCharType="begin"/>
      </w:r>
      <w:r w:rsidRPr="006B01A2">
        <w:rPr>
          <w:lang w:val="fr-FR"/>
        </w:rPr>
        <w:instrText>SYMBOL</w:instrText>
      </w:r>
      <w:r w:rsidRPr="006B01A2">
        <w:instrText xml:space="preserve"> 163 \</w:instrText>
      </w:r>
      <w:r w:rsidRPr="006B01A2">
        <w:rPr>
          <w:lang w:val="fr-FR"/>
        </w:rPr>
        <w:instrText>f</w:instrText>
      </w:r>
      <w:r w:rsidRPr="006B01A2">
        <w:instrText xml:space="preserve"> "</w:instrText>
      </w:r>
      <w:r w:rsidRPr="006B01A2">
        <w:rPr>
          <w:lang w:val="fr-FR"/>
        </w:rPr>
        <w:instrText>Symbol</w:instrText>
      </w:r>
      <w:r w:rsidRPr="006B01A2">
        <w:instrText>" \</w:instrText>
      </w:r>
      <w:r w:rsidRPr="006B01A2">
        <w:rPr>
          <w:lang w:val="fr-FR"/>
        </w:rPr>
        <w:instrText>s</w:instrText>
      </w:r>
      <w:r w:rsidRPr="006B01A2">
        <w:instrText xml:space="preserve"> 10</w:instrText>
      </w:r>
      <w:r w:rsidRPr="006B01A2">
        <w:rPr>
          <w:lang w:val="fr-FR"/>
        </w:rPr>
        <w:fldChar w:fldCharType="separate"/>
      </w:r>
      <w:r w:rsidRPr="006B01A2">
        <w:t>£</w:t>
      </w:r>
      <w:r w:rsidRPr="006B01A2">
        <w:fldChar w:fldCharType="end"/>
      </w:r>
      <w:r w:rsidRPr="006B01A2">
        <w:t xml:space="preserve"> 150 кПа </w:t>
      </w:r>
    </w:p>
    <w:p w:rsidR="006B01A2" w:rsidRPr="006B01A2" w:rsidRDefault="006B01A2" w:rsidP="006B01A2">
      <w:pPr>
        <w:pStyle w:val="SingleTxtGR"/>
      </w:pPr>
      <w:r w:rsidRPr="006B01A2">
        <w:t>№ ООН 1993 ЛЕГКОВОСПЛАМЕНЯЮЩАЯСЯ ЖИДКОСТЬ, Н.У.К., С</w:t>
      </w:r>
      <w:r w:rsidRPr="006B01A2">
        <w:rPr>
          <w:lang w:val="en-GB"/>
        </w:rPr>
        <w:t> </w:t>
      </w:r>
      <w:r w:rsidRPr="006B01A2">
        <w:t xml:space="preserve">СОДЕРЖАНИЕМ БЕНЗОЛА БОЛЕЕ 10%, 60 °C &lt; ТЕМПЕРАТУРА НАЧАЛА КИПЕНИЯ </w:t>
      </w:r>
      <w:r w:rsidRPr="006B01A2">
        <w:rPr>
          <w:lang w:val="fr-FR"/>
        </w:rPr>
        <w:fldChar w:fldCharType="begin"/>
      </w:r>
      <w:r w:rsidRPr="006B01A2">
        <w:rPr>
          <w:lang w:val="fr-FR"/>
        </w:rPr>
        <w:instrText>SYMBOL</w:instrText>
      </w:r>
      <w:r w:rsidRPr="006B01A2">
        <w:instrText xml:space="preserve"> 163 \</w:instrText>
      </w:r>
      <w:r w:rsidRPr="006B01A2">
        <w:rPr>
          <w:lang w:val="fr-FR"/>
        </w:rPr>
        <w:instrText>f</w:instrText>
      </w:r>
      <w:r w:rsidRPr="006B01A2">
        <w:instrText xml:space="preserve"> "</w:instrText>
      </w:r>
      <w:r w:rsidRPr="006B01A2">
        <w:rPr>
          <w:lang w:val="fr-FR"/>
        </w:rPr>
        <w:instrText>Symbol</w:instrText>
      </w:r>
      <w:r w:rsidRPr="006B01A2">
        <w:instrText>" \</w:instrText>
      </w:r>
      <w:r w:rsidRPr="006B01A2">
        <w:rPr>
          <w:lang w:val="fr-FR"/>
        </w:rPr>
        <w:instrText>s</w:instrText>
      </w:r>
      <w:r w:rsidRPr="006B01A2">
        <w:instrText xml:space="preserve"> 10</w:instrText>
      </w:r>
      <w:r w:rsidRPr="006B01A2">
        <w:rPr>
          <w:lang w:val="fr-FR"/>
        </w:rPr>
        <w:fldChar w:fldCharType="separate"/>
      </w:r>
      <w:r w:rsidRPr="006B01A2">
        <w:t>£</w:t>
      </w:r>
      <w:r w:rsidRPr="006B01A2">
        <w:fldChar w:fldCharType="end"/>
      </w:r>
      <w:r w:rsidRPr="006B01A2">
        <w:t xml:space="preserve"> 85 °С (АЦЕТОН)». </w:t>
      </w:r>
    </w:p>
    <w:p w:rsidR="006B01A2" w:rsidRPr="006B01A2" w:rsidRDefault="006B01A2" w:rsidP="00C20949">
      <w:pPr>
        <w:pStyle w:val="H1GR"/>
      </w:pPr>
      <w:r w:rsidRPr="006B01A2">
        <w:tab/>
        <w:t>D.</w:t>
      </w:r>
      <w:r w:rsidRPr="006B01A2">
        <w:tab/>
        <w:t>№ ООН 1010</w:t>
      </w:r>
    </w:p>
    <w:p w:rsidR="006B01A2" w:rsidRPr="006B01A2" w:rsidRDefault="006B01A2" w:rsidP="006B01A2">
      <w:pPr>
        <w:pStyle w:val="SingleTxtGR"/>
      </w:pPr>
      <w:r w:rsidRPr="006B01A2">
        <w:t>15.</w:t>
      </w:r>
      <w:r w:rsidRPr="006B01A2">
        <w:tab/>
        <w:t>Согласно информации, полученной от специалистов химической промышленности, 1,2-бутадиен производится в больших количествах и в регламенте REACH для этого вещества предусмотрена отдельная позиция. Предельное значение содержания 1,3-бутадиента в смесях бутадиена (0,1%) соответствует критерию для присвоения свойств КМР (</w:t>
      </w:r>
      <w:r w:rsidRPr="006B01A2">
        <w:rPr>
          <w:bCs/>
        </w:rPr>
        <w:t>CMR)</w:t>
      </w:r>
      <w:r w:rsidRPr="006B01A2">
        <w:t>. Рабочая подгруппа считает, что нет необходимости вносить в этой связи какие-либо изменения в требования ВОПОГ.</w:t>
      </w:r>
    </w:p>
    <w:p w:rsidR="006B01A2" w:rsidRPr="006B01A2" w:rsidRDefault="006B01A2" w:rsidP="00C20949">
      <w:pPr>
        <w:pStyle w:val="H1GR"/>
      </w:pPr>
      <w:r w:rsidRPr="006B01A2">
        <w:tab/>
        <w:t>E.</w:t>
      </w:r>
      <w:r w:rsidRPr="006B01A2">
        <w:tab/>
        <w:t>№ ООН 3295, CMR</w:t>
      </w:r>
    </w:p>
    <w:p w:rsidR="006B01A2" w:rsidRPr="006B01A2" w:rsidRDefault="006B01A2" w:rsidP="006B01A2">
      <w:pPr>
        <w:pStyle w:val="SingleTxtGR"/>
      </w:pPr>
      <w:r w:rsidRPr="006B01A2">
        <w:t>16.</w:t>
      </w:r>
      <w:r w:rsidRPr="006B01A2">
        <w:tab/>
        <w:t xml:space="preserve">Рабочая подгруппа поддержала предложение, содержащееся в документе, представленном Бельгией (ECE/TRANS/WP.15/AC.2/2017/41), о добавлении в ВОПОГ на всех языках в колонку 18 таблицы С «EP» и «TOX» для </w:t>
      </w:r>
      <w:r w:rsidR="001131B4">
        <w:br/>
      </w:r>
      <w:r w:rsidRPr="006B01A2">
        <w:t>№ ООН 3295 «УГЛЕВОДОРОДЫ ЖИДКИЕ, Н.У.К., СОДЕРЖАЩИЕ ИЗОПРЕН И ПЕНТАДИЕН, СТАБИЛИЗИРОВАННЫЕ» и исключить «EP» и «TOX» для № ООН 3295 «УГЛЕВОДОРОДЫ ЖИДКИЕ, Н.У.К. (1-ОКТЕН)».</w:t>
      </w:r>
    </w:p>
    <w:p w:rsidR="006B01A2" w:rsidRPr="006B01A2" w:rsidRDefault="006B01A2" w:rsidP="00C20949">
      <w:pPr>
        <w:pStyle w:val="H1GR"/>
      </w:pPr>
      <w:r w:rsidRPr="006B01A2">
        <w:tab/>
        <w:t>F.</w:t>
      </w:r>
      <w:r w:rsidRPr="006B01A2">
        <w:tab/>
        <w:t>F (вещество, остающееся на поверхности воды (floater))</w:t>
      </w:r>
    </w:p>
    <w:p w:rsidR="006B01A2" w:rsidRPr="006B01A2" w:rsidRDefault="006B01A2" w:rsidP="006B01A2">
      <w:pPr>
        <w:pStyle w:val="SingleTxtGR"/>
      </w:pPr>
      <w:r w:rsidRPr="006B01A2">
        <w:t>17.</w:t>
      </w:r>
      <w:r w:rsidRPr="006B01A2">
        <w:tab/>
        <w:t xml:space="preserve">Рабочая подгруппа одобряет предложение Бельгии, содержащееся в документе ECE/TRANS/WP.15/AC.2/2017/41, о добавлении указания «F» в колонку 5 (в соответствующий текст в круглых скобках) таблицы С для 12 позиций </w:t>
      </w:r>
      <w:r w:rsidRPr="006B01A2">
        <w:lastRenderedPageBreak/>
        <w:t>под № ООН 3295. В то же время она выдвигает предположение, что в случае смесей, которые должны быть отнесены к позициям с температурой начала кипения ≤ 60° C, высокое давление паров не позволяет классифицировать их в качестве веществ, остающихся на поверхности воды. Однако, поскольку это дополнительное свойство указывается только в квадратных скобках как один из вариантов, внесение этого изменения не повлечет за собой практических трудностей или снижения безопасности.</w:t>
      </w:r>
    </w:p>
    <w:p w:rsidR="006B01A2" w:rsidRPr="006B01A2" w:rsidRDefault="006B01A2" w:rsidP="00C20949">
      <w:pPr>
        <w:pStyle w:val="H1GR"/>
      </w:pPr>
      <w:r w:rsidRPr="006B01A2">
        <w:tab/>
        <w:t>G.</w:t>
      </w:r>
      <w:r w:rsidRPr="006B01A2">
        <w:tab/>
        <w:t>№ ООН 9003, надлежащее отгрузочное наименование</w:t>
      </w:r>
    </w:p>
    <w:p w:rsidR="006B01A2" w:rsidRPr="006B01A2" w:rsidRDefault="006B01A2" w:rsidP="006B01A2">
      <w:pPr>
        <w:pStyle w:val="SingleTxtGR"/>
      </w:pPr>
      <w:r w:rsidRPr="006B01A2">
        <w:t>18.</w:t>
      </w:r>
      <w:r w:rsidRPr="006B01A2">
        <w:tab/>
        <w:t>Некоторые требования в таблицах A и C расходятся. В представленном Бельгией документе верно отмечено, что требования таблицы C не соблюдаются систематическим образом и в ряде случаев соблюдаются требования, указанные в таблице А.</w:t>
      </w:r>
    </w:p>
    <w:p w:rsidR="006B01A2" w:rsidRPr="006B01A2" w:rsidRDefault="006B01A2" w:rsidP="006B01A2">
      <w:pPr>
        <w:pStyle w:val="SingleTxtGR"/>
      </w:pPr>
      <w:r w:rsidRPr="006B01A2">
        <w:t>19.</w:t>
      </w:r>
      <w:r w:rsidRPr="006B01A2">
        <w:tab/>
        <w:t>Поскольку требуемые изменения выходят за рамки простой редакционной правки, рабочая подгруппа предлагает Комитету по вопросам безопасности ВОПОГ отложить рассмотрение предложений, сформулированных в представленном Бельгией документе ECE/TRANS/WP.15/AC.2/2017/41, и позволить неофициальной рабочей группе по веществам проанализировать вопрос о том, требуется ли унификация таблиц А и С. В зависимости от результатов такого анализа неофициальная рабочая группа по веществам должна будет представить предложения о внесении необходимых изменений в требования таблиц А и</w:t>
      </w:r>
      <w:r w:rsidR="00A270AC">
        <w:rPr>
          <w:lang w:val="en-US"/>
        </w:rPr>
        <w:t> </w:t>
      </w:r>
      <w:r w:rsidRPr="006B01A2">
        <w:t>С, а также в часть 3 ВОПОГ, включая необходимые сопутствующие поправки.</w:t>
      </w:r>
    </w:p>
    <w:p w:rsidR="006B01A2" w:rsidRPr="006B01A2" w:rsidRDefault="006B01A2" w:rsidP="006B01A2">
      <w:pPr>
        <w:pStyle w:val="SingleTxtGR"/>
      </w:pPr>
      <w:r w:rsidRPr="006B01A2">
        <w:t>20.</w:t>
      </w:r>
      <w:r w:rsidRPr="006B01A2">
        <w:tab/>
        <w:t xml:space="preserve">В порядке отдельного предложения рабочая подгруппа рекомендует добавить сокращение «Тв» в определение температуры вспышки в разделе 1.2.1. Это сокращение может затем использоваться в </w:t>
      </w:r>
      <w:r w:rsidRPr="006B01A2">
        <w:rPr>
          <w:bCs/>
        </w:rPr>
        <w:t>надлежащих отгрузочных наименованиях</w:t>
      </w:r>
      <w:r w:rsidRPr="006B01A2">
        <w:t xml:space="preserve">, а также в дополнениях к </w:t>
      </w:r>
      <w:r w:rsidRPr="006B01A2">
        <w:rPr>
          <w:bCs/>
        </w:rPr>
        <w:t>наименования</w:t>
      </w:r>
      <w:r w:rsidRPr="006B01A2">
        <w:t>м.</w:t>
      </w:r>
    </w:p>
    <w:p w:rsidR="006B01A2" w:rsidRPr="006B01A2" w:rsidRDefault="00C20949" w:rsidP="00C20949">
      <w:pPr>
        <w:pStyle w:val="H23GR"/>
      </w:pPr>
      <w:r>
        <w:tab/>
      </w:r>
      <w:r>
        <w:tab/>
      </w:r>
      <w:r w:rsidR="006B01A2" w:rsidRPr="006B01A2">
        <w:t>Предложение:</w:t>
      </w:r>
    </w:p>
    <w:p w:rsidR="006B01A2" w:rsidRPr="006B01A2" w:rsidRDefault="006B01A2" w:rsidP="006B01A2">
      <w:pPr>
        <w:pStyle w:val="SingleTxtGR"/>
      </w:pPr>
      <w:r w:rsidRPr="006B01A2">
        <w:t>21.</w:t>
      </w:r>
      <w:r w:rsidRPr="006B01A2">
        <w:tab/>
        <w:t>В разделе 1.2.1 ВОПОГ изменить определение "</w:t>
      </w:r>
      <w:r w:rsidRPr="006B01A2">
        <w:rPr>
          <w:b/>
          <w:bCs/>
          <w:i/>
          <w:iCs/>
        </w:rPr>
        <w:t>Температура вспышки</w:t>
      </w:r>
      <w:r w:rsidRPr="006B01A2">
        <w:t>" следующим образом:</w:t>
      </w:r>
    </w:p>
    <w:p w:rsidR="006B01A2" w:rsidRPr="006B01A2" w:rsidRDefault="006B01A2" w:rsidP="006B01A2">
      <w:pPr>
        <w:pStyle w:val="SingleTxtGR"/>
      </w:pPr>
      <w:r w:rsidRPr="006B01A2">
        <w:t>«"</w:t>
      </w:r>
      <w:r w:rsidRPr="006B01A2">
        <w:rPr>
          <w:b/>
          <w:bCs/>
          <w:i/>
          <w:iCs/>
        </w:rPr>
        <w:t>Температура вспышки</w:t>
      </w:r>
      <w:r w:rsidRPr="006B01A2">
        <w:t>"</w:t>
      </w:r>
      <w:r w:rsidRPr="006B01A2">
        <w:rPr>
          <w:b/>
          <w:bCs/>
          <w:i/>
          <w:iCs/>
        </w:rPr>
        <w:t xml:space="preserve"> (Т.в.) </w:t>
      </w:r>
      <w:r w:rsidRPr="006B01A2">
        <w:t xml:space="preserve">означает самую низкую температуру жидкости, при которой ее пары образуют воспламеняющуюся смесь с воздухом.». </w:t>
      </w:r>
    </w:p>
    <w:p w:rsidR="006B01A2" w:rsidRPr="006B01A2" w:rsidRDefault="00ED38E2" w:rsidP="00C20949">
      <w:pPr>
        <w:pStyle w:val="H1GR"/>
      </w:pPr>
      <w:r>
        <w:tab/>
        <w:t>H.</w:t>
      </w:r>
      <w:r>
        <w:tab/>
        <w:t>Замечание 27</w:t>
      </w:r>
    </w:p>
    <w:p w:rsidR="006B01A2" w:rsidRPr="006B01A2" w:rsidRDefault="006B01A2" w:rsidP="006B01A2">
      <w:pPr>
        <w:pStyle w:val="SingleTxtGR"/>
      </w:pPr>
      <w:r w:rsidRPr="006B01A2">
        <w:t>22.</w:t>
      </w:r>
      <w:r w:rsidRPr="006B01A2">
        <w:tab/>
        <w:t>Замечание 27 указано в таблице С в общей позиции для № ООН 3082. В</w:t>
      </w:r>
      <w:r w:rsidR="00D90255">
        <w:rPr>
          <w:lang w:val="en-US"/>
        </w:rPr>
        <w:t> </w:t>
      </w:r>
      <w:r w:rsidRPr="006B01A2">
        <w:t>других позициях для № ООН 3077 и 3082 в таблице С указаны конкретные виды перевозки и информация, касающаяся конкретных, частично различающихся условий перевозки. По мнению рабочей подгруппы, следует сохранить имеющиеся между соответствующими позициями различия в плане дополнительных свойств, которые вызваны различиями в отражении обязательных компонентов отгрузочных наименований, и нет необходимости вносить изменения в требования.</w:t>
      </w:r>
    </w:p>
    <w:p w:rsidR="006B01A2" w:rsidRPr="006B01A2" w:rsidRDefault="006B01A2" w:rsidP="006B01A2">
      <w:pPr>
        <w:pStyle w:val="SingleTxtGR"/>
      </w:pPr>
      <w:r w:rsidRPr="006B01A2">
        <w:t>23.</w:t>
      </w:r>
      <w:r w:rsidRPr="006B01A2">
        <w:tab/>
        <w:t>В связи с тем, что в некоторых случаях на одну позицию в таблице А приходится несколько, частично специальных позиций в таблице С, приведение в четкое соответствие специального положения 274 таблицы А и замечания 27 таблицы С не представляется целесообразным.</w:t>
      </w:r>
    </w:p>
    <w:p w:rsidR="006B01A2" w:rsidRPr="006B01A2" w:rsidRDefault="006B01A2" w:rsidP="006B01A2">
      <w:pPr>
        <w:pStyle w:val="SingleTxtGR"/>
      </w:pPr>
      <w:r w:rsidRPr="006B01A2">
        <w:t>24.</w:t>
      </w:r>
      <w:r w:rsidRPr="006B01A2">
        <w:tab/>
        <w:t xml:space="preserve">Вместе с тем рабочая подгруппа считает, что жесткость формулировки критериев применения замечания 27 в подразделах 3.2.3.3 и 3.2.4.3 вызывает трудности с точки зрения учета описанных выше оснований для обеспокоенности. По этой причине Комитету по вопросам безопасности ВОПОГ предлагается поручить изучение данного вопроса неофициальной рабочей группе по веществам. В этой связи неофициальной рабочей группе следует также рассмотреть вопросы, поднятые в документе, представленном Бельгией, относительно </w:t>
      </w:r>
      <w:r w:rsidRPr="006B01A2">
        <w:lastRenderedPageBreak/>
        <w:t>соответствующих веществ под № ООН 3295, 9003, 1993 и 1268. Помимо этого, рабочая подгруппа констатировала наличие аналогичных проблем в отношении веществ под идентификационными номерами 9005 и 9006.</w:t>
      </w:r>
    </w:p>
    <w:p w:rsidR="006B01A2" w:rsidRPr="006B01A2" w:rsidRDefault="006B01A2" w:rsidP="00C20949">
      <w:pPr>
        <w:pStyle w:val="H1GR"/>
      </w:pPr>
      <w:r w:rsidRPr="006B01A2">
        <w:tab/>
        <w:t>I.</w:t>
      </w:r>
      <w:r w:rsidRPr="006B01A2">
        <w:tab/>
        <w:t>Замечание 29</w:t>
      </w:r>
    </w:p>
    <w:p w:rsidR="006B01A2" w:rsidRPr="006B01A2" w:rsidRDefault="006B01A2" w:rsidP="006B01A2">
      <w:pPr>
        <w:pStyle w:val="SingleTxtGR"/>
      </w:pPr>
      <w:r w:rsidRPr="006B01A2">
        <w:t>25.</w:t>
      </w:r>
      <w:r w:rsidRPr="006B01A2">
        <w:tab/>
        <w:t>Рабочая подгруппа может согласиться с замечаниями, изложенными в представленном Бельгией документе, о том, что в его нынешней формулировке цель замечания 29 с точки зрения безопасности неясна и что не представляется возможным установить, исходя из какого принципа было указано замечание 29. В связи с этим предлагается последовать рекомендации Бельгии и передать данный вопрос на рассмотрение неофициальной рабочей группе по веществам.</w:t>
      </w:r>
    </w:p>
    <w:p w:rsidR="006B01A2" w:rsidRPr="006B01A2" w:rsidRDefault="006B01A2" w:rsidP="00C20949">
      <w:pPr>
        <w:pStyle w:val="H1GR"/>
      </w:pPr>
      <w:r w:rsidRPr="006B01A2">
        <w:tab/>
        <w:t>J.</w:t>
      </w:r>
      <w:r w:rsidRPr="006B01A2">
        <w:tab/>
        <w:t>Колонка 16: Определение группы взрывоопасности</w:t>
      </w:r>
    </w:p>
    <w:p w:rsidR="006B01A2" w:rsidRPr="006B01A2" w:rsidRDefault="006B01A2" w:rsidP="006B01A2">
      <w:pPr>
        <w:pStyle w:val="SingleTxtGR"/>
      </w:pPr>
      <w:r w:rsidRPr="006B01A2">
        <w:t>26.</w:t>
      </w:r>
      <w:r w:rsidRPr="006B01A2">
        <w:tab/>
        <w:t>Замечания делегации Бельгии заслуживают внимания. На данную проблему ранее уже обращалось внимание, в том числе в ходе двадцать девятой сессии Комитета по вопросам безопасности, где она без каких-либо возражений рассматривалась на основе неофициального документа INF.9 двадцать девятой сессии. Однако по причине того, что это был неофициальный документ, представленный только на немецком языке, окончательного решения принято не было.</w:t>
      </w:r>
    </w:p>
    <w:p w:rsidR="006B01A2" w:rsidRPr="006B01A2" w:rsidRDefault="006B01A2" w:rsidP="006B01A2">
      <w:pPr>
        <w:pStyle w:val="SingleTxtGR"/>
      </w:pPr>
      <w:r w:rsidRPr="006B01A2">
        <w:t>27.</w:t>
      </w:r>
      <w:r w:rsidRPr="006B01A2">
        <w:tab/>
        <w:t>Поддерживая предложения, содержащиеся в неофициальном документе</w:t>
      </w:r>
      <w:r w:rsidR="00C43102">
        <w:rPr>
          <w:lang w:val="en-US"/>
        </w:rPr>
        <w:t> </w:t>
      </w:r>
      <w:r w:rsidRPr="006B01A2">
        <w:t>INF.9 двадцать девятой сессии, которые в основном отражают вызывающие обеспокоенность вопросы, поднятые Бельгией, рабочая подгруппа предлагает внести поправки в нормативные тексты ВОПОГ, а именно – в раздел 1.2.1 «Определения», подразделы 3.2.3.3 «Схема принятия решения» и 3.2.4.3 «Критерии классификации веществ». Учитывая, что речь идет о назначении максимальных зазоров для подгрупп группы взрывоопасности II B, в отличие от Бельгии рабочая подгруппа предлагает перечислить указанные зазоры в порядке убывания. Помимо этого, в порядке редакторской правки была изменена последовательность колонок в таблице, предложенной в неофициальном документе INF.9 двадцать девятой сессии.</w:t>
      </w:r>
    </w:p>
    <w:p w:rsidR="006B01A2" w:rsidRPr="006B01A2" w:rsidRDefault="00C20949" w:rsidP="00C20949">
      <w:pPr>
        <w:pStyle w:val="H23GR"/>
      </w:pPr>
      <w:r>
        <w:tab/>
      </w:r>
      <w:r>
        <w:tab/>
      </w:r>
      <w:r w:rsidR="006B01A2" w:rsidRPr="006B01A2">
        <w:t>Предложения:</w:t>
      </w:r>
    </w:p>
    <w:p w:rsidR="006B01A2" w:rsidRPr="006B01A2" w:rsidRDefault="006B01A2" w:rsidP="006B01A2">
      <w:pPr>
        <w:pStyle w:val="SingleTxtGR"/>
      </w:pPr>
      <w:r w:rsidRPr="006B01A2">
        <w:t>28.</w:t>
      </w:r>
      <w:r w:rsidRPr="006B01A2">
        <w:tab/>
        <w:t>В разделе 1.2.1 «Определения» изменить определение «</w:t>
      </w:r>
      <w:r w:rsidRPr="006B01A2">
        <w:rPr>
          <w:b/>
          <w:bCs/>
          <w:i/>
          <w:iCs/>
        </w:rPr>
        <w:t>Группа взрывоопасности»</w:t>
      </w:r>
      <w:r w:rsidRPr="006B01A2">
        <w:t xml:space="preserve"> следующим образом (текст, который предлагается исключить, зачеркнут, новый текст выделен подчеркиванием):</w:t>
      </w:r>
    </w:p>
    <w:p w:rsidR="006B01A2" w:rsidRPr="006B01A2" w:rsidRDefault="006B01A2" w:rsidP="006B01A2">
      <w:pPr>
        <w:pStyle w:val="SingleTxtGR"/>
      </w:pPr>
      <w:r w:rsidRPr="006B01A2">
        <w:t>«"</w:t>
      </w:r>
      <w:r w:rsidRPr="006B01A2">
        <w:rPr>
          <w:b/>
          <w:bCs/>
          <w:i/>
          <w:iCs/>
        </w:rPr>
        <w:t>Группа взрывоопасности/</w:t>
      </w:r>
      <w:r w:rsidRPr="006B01A2">
        <w:rPr>
          <w:b/>
          <w:bCs/>
          <w:i/>
          <w:iCs/>
          <w:u w:val="single"/>
        </w:rPr>
        <w:t>подгруппа</w:t>
      </w:r>
      <w:r w:rsidRPr="006B01A2">
        <w:t xml:space="preserve">" означает классификацию воспламеняющихся газов и паров в зависимости от их безопасных экспериментальных максимальных зазоров (стандартной ширины, определенной в соответствии с указанными условиями) и минимальных токов воспламенения, а также классификацию </w:t>
      </w:r>
      <w:r w:rsidRPr="006B01A2">
        <w:rPr>
          <w:u w:val="single"/>
        </w:rPr>
        <w:t>автономных установок, оборудования и систем защиты</w:t>
      </w:r>
      <w:r w:rsidRPr="006B01A2">
        <w:t xml:space="preserve"> </w:t>
      </w:r>
      <w:r w:rsidRPr="008C5B5A">
        <w:rPr>
          <w:strike/>
        </w:rPr>
        <w:t>электрооборудования</w:t>
      </w:r>
      <w:r w:rsidRPr="006B01A2">
        <w:t>, предназначенн</w:t>
      </w:r>
      <w:r w:rsidRPr="008C5B5A">
        <w:rPr>
          <w:strike/>
        </w:rPr>
        <w:t>ого</w:t>
      </w:r>
      <w:r w:rsidRPr="006B01A2">
        <w:rPr>
          <w:u w:val="single"/>
        </w:rPr>
        <w:t>ых</w:t>
      </w:r>
      <w:r w:rsidRPr="006B01A2">
        <w:t xml:space="preserve"> для использования во взрывоопасной атмосфере </w:t>
      </w:r>
      <w:r w:rsidRPr="008C5B5A">
        <w:rPr>
          <w:strike/>
        </w:rPr>
        <w:t>(см. EN IEC 60079-0:2012)</w:t>
      </w:r>
      <w:r w:rsidRPr="006B01A2">
        <w:t xml:space="preserve">. </w:t>
      </w:r>
      <w:r w:rsidRPr="006B01A2">
        <w:rPr>
          <w:u w:val="single"/>
        </w:rPr>
        <w:t>Для автономных систем защиты группа взрывоопасности II B подразделяется на подгруппы.</w:t>
      </w:r>
      <w:r w:rsidRPr="006B01A2">
        <w:t>».</w:t>
      </w:r>
    </w:p>
    <w:p w:rsidR="006B01A2" w:rsidRPr="006B01A2" w:rsidRDefault="006B01A2" w:rsidP="006B01A2">
      <w:pPr>
        <w:pStyle w:val="SingleTxtGR"/>
      </w:pPr>
      <w:r w:rsidRPr="006B01A2">
        <w:t>29.</w:t>
      </w:r>
      <w:r w:rsidRPr="006B01A2">
        <w:tab/>
        <w:t>Заменить таблицу в подразделе 3.2.3.3 «Схема принятия решения, схемы и критерии для определения применимых специальных требований (колонки</w:t>
      </w:r>
      <w:r w:rsidR="00C43102">
        <w:rPr>
          <w:lang w:val="en-US"/>
        </w:rPr>
        <w:t> </w:t>
      </w:r>
      <w:r w:rsidRPr="006B01A2">
        <w:t>6−20 таблицы С)», «Колонка 16: Определение группы взрывоопасности», а также таблицу в подразделе 3.2.4.3 «Критерии классификации веществ», «H.</w:t>
      </w:r>
      <w:r w:rsidR="00C43102">
        <w:rPr>
          <w:lang w:val="en-US"/>
        </w:rPr>
        <w:t> </w:t>
      </w:r>
      <w:r w:rsidRPr="006B01A2">
        <w:t>Колонка 16: Определение группы взрывоопасности», следующей таблицей: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787"/>
        <w:gridCol w:w="1643"/>
        <w:gridCol w:w="1958"/>
        <w:gridCol w:w="1982"/>
      </w:tblGrid>
      <w:tr w:rsidR="0000186B" w:rsidRPr="00ED38E2" w:rsidTr="00ED38E2">
        <w:trPr>
          <w:tblHeader/>
        </w:trPr>
        <w:tc>
          <w:tcPr>
            <w:tcW w:w="17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B01A2" w:rsidRPr="00ED38E2" w:rsidRDefault="006B01A2" w:rsidP="00ED38E2">
            <w:pPr>
              <w:pageBreakBefore/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ED38E2">
              <w:rPr>
                <w:i/>
                <w:sz w:val="16"/>
              </w:rPr>
              <w:lastRenderedPageBreak/>
              <w:br w:type="page"/>
              <w:t xml:space="preserve">Безопасный экспериментальный максимальный зазор </w:t>
            </w:r>
            <w:r w:rsidR="00ED38E2">
              <w:rPr>
                <w:i/>
                <w:sz w:val="16"/>
              </w:rPr>
              <w:br/>
            </w:r>
            <w:r w:rsidRPr="00ED38E2">
              <w:rPr>
                <w:i/>
                <w:sz w:val="16"/>
              </w:rPr>
              <w:t>в мм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B01A2" w:rsidRPr="00ED38E2" w:rsidRDefault="006B01A2" w:rsidP="00ED38E2">
            <w:pPr>
              <w:suppressAutoHyphens/>
              <w:spacing w:before="80" w:after="80" w:line="200" w:lineRule="exact"/>
              <w:jc w:val="right"/>
              <w:rPr>
                <w:i/>
                <w:sz w:val="16"/>
              </w:rPr>
            </w:pPr>
            <w:r w:rsidRPr="00ED38E2">
              <w:rPr>
                <w:i/>
                <w:sz w:val="16"/>
              </w:rPr>
              <w:t>Группы взрывоопасности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B01A2" w:rsidRPr="00ED38E2" w:rsidRDefault="006B01A2" w:rsidP="00ED38E2">
            <w:pPr>
              <w:suppressAutoHyphens/>
              <w:spacing w:before="80" w:after="80" w:line="200" w:lineRule="exact"/>
              <w:jc w:val="right"/>
              <w:rPr>
                <w:i/>
                <w:sz w:val="16"/>
              </w:rPr>
            </w:pPr>
            <w:r w:rsidRPr="00ED38E2">
              <w:rPr>
                <w:i/>
                <w:sz w:val="16"/>
              </w:rPr>
              <w:t xml:space="preserve">Безопасный экспериментальный максимальный зазор </w:t>
            </w:r>
            <w:r w:rsidR="00D90255" w:rsidRPr="00ED38E2">
              <w:rPr>
                <w:i/>
                <w:sz w:val="16"/>
              </w:rPr>
              <w:br/>
            </w:r>
            <w:r w:rsidRPr="00ED38E2">
              <w:rPr>
                <w:i/>
                <w:sz w:val="16"/>
              </w:rPr>
              <w:t>в 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B01A2" w:rsidRPr="00ED38E2" w:rsidRDefault="006B01A2" w:rsidP="00ED38E2">
            <w:pPr>
              <w:suppressAutoHyphens/>
              <w:spacing w:before="80" w:after="80" w:line="200" w:lineRule="exact"/>
              <w:jc w:val="right"/>
              <w:rPr>
                <w:i/>
                <w:sz w:val="16"/>
              </w:rPr>
            </w:pPr>
            <w:r w:rsidRPr="00ED38E2">
              <w:rPr>
                <w:i/>
                <w:sz w:val="16"/>
              </w:rPr>
              <w:t>Подгруппа группы взрывоопасности</w:t>
            </w:r>
            <w:r w:rsidRPr="00ED38E2">
              <w:rPr>
                <w:i/>
                <w:sz w:val="16"/>
              </w:rPr>
              <w:br/>
              <w:t>II B</w:t>
            </w:r>
          </w:p>
        </w:tc>
      </w:tr>
      <w:tr w:rsidR="0000186B" w:rsidRPr="00ED38E2" w:rsidTr="00ED38E2">
        <w:tc>
          <w:tcPr>
            <w:tcW w:w="1787" w:type="dxa"/>
            <w:tcBorders>
              <w:top w:val="single" w:sz="12" w:space="0" w:color="auto"/>
            </w:tcBorders>
          </w:tcPr>
          <w:p w:rsidR="006B01A2" w:rsidRPr="00ED38E2" w:rsidRDefault="006B01A2" w:rsidP="00ED38E2">
            <w:pPr>
              <w:rPr>
                <w:sz w:val="18"/>
                <w:szCs w:val="18"/>
              </w:rPr>
            </w:pPr>
            <w:r w:rsidRPr="00ED38E2">
              <w:rPr>
                <w:sz w:val="18"/>
                <w:szCs w:val="18"/>
              </w:rPr>
              <w:t>&gt; 0,9</w:t>
            </w:r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6B01A2" w:rsidRPr="00ED38E2" w:rsidRDefault="006B01A2" w:rsidP="00ED38E2">
            <w:pPr>
              <w:jc w:val="right"/>
              <w:rPr>
                <w:sz w:val="18"/>
                <w:szCs w:val="18"/>
              </w:rPr>
            </w:pPr>
            <w:r w:rsidRPr="00ED38E2">
              <w:rPr>
                <w:sz w:val="18"/>
                <w:szCs w:val="18"/>
              </w:rPr>
              <w:t>II A</w:t>
            </w:r>
          </w:p>
        </w:tc>
        <w:tc>
          <w:tcPr>
            <w:tcW w:w="1958" w:type="dxa"/>
            <w:tcBorders>
              <w:top w:val="single" w:sz="12" w:space="0" w:color="auto"/>
            </w:tcBorders>
          </w:tcPr>
          <w:p w:rsidR="006B01A2" w:rsidRPr="00ED38E2" w:rsidRDefault="006B01A2" w:rsidP="00ED38E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  <w:tcBorders>
              <w:top w:val="single" w:sz="12" w:space="0" w:color="auto"/>
            </w:tcBorders>
          </w:tcPr>
          <w:p w:rsidR="006B01A2" w:rsidRPr="00ED38E2" w:rsidRDefault="006B01A2" w:rsidP="00ED38E2">
            <w:pPr>
              <w:jc w:val="right"/>
              <w:rPr>
                <w:sz w:val="18"/>
                <w:szCs w:val="18"/>
              </w:rPr>
            </w:pPr>
          </w:p>
        </w:tc>
      </w:tr>
      <w:tr w:rsidR="006B01A2" w:rsidRPr="00ED38E2" w:rsidTr="00ED38E2">
        <w:tc>
          <w:tcPr>
            <w:tcW w:w="1787" w:type="dxa"/>
            <w:vMerge w:val="restart"/>
          </w:tcPr>
          <w:p w:rsidR="006B01A2" w:rsidRPr="00ED38E2" w:rsidRDefault="006B01A2" w:rsidP="00ED38E2">
            <w:pPr>
              <w:rPr>
                <w:sz w:val="18"/>
                <w:szCs w:val="18"/>
              </w:rPr>
            </w:pPr>
            <w:r w:rsidRPr="00ED38E2">
              <w:rPr>
                <w:sz w:val="18"/>
                <w:szCs w:val="18"/>
              </w:rPr>
              <w:br/>
            </w:r>
            <w:r w:rsidRPr="00ED38E2">
              <w:rPr>
                <w:sz w:val="18"/>
                <w:szCs w:val="18"/>
              </w:rPr>
              <w:br/>
            </w:r>
            <w:r w:rsidRPr="00ED38E2">
              <w:rPr>
                <w:sz w:val="18"/>
                <w:szCs w:val="18"/>
              </w:rPr>
              <w:br/>
            </w:r>
            <w:r w:rsidRPr="00ED38E2">
              <w:rPr>
                <w:sz w:val="18"/>
                <w:szCs w:val="18"/>
              </w:rPr>
              <w:br/>
            </w:r>
            <w:r w:rsidRPr="00ED38E2">
              <w:rPr>
                <w:sz w:val="18"/>
                <w:szCs w:val="18"/>
              </w:rPr>
              <w:br/>
            </w:r>
            <w:r w:rsidRPr="00ED38E2">
              <w:rPr>
                <w:sz w:val="18"/>
                <w:szCs w:val="18"/>
              </w:rPr>
              <w:br/>
            </w:r>
            <w:r w:rsidRPr="00ED38E2">
              <w:rPr>
                <w:sz w:val="18"/>
                <w:szCs w:val="18"/>
              </w:rPr>
              <w:br/>
            </w:r>
            <w:r w:rsidRPr="00ED38E2">
              <w:rPr>
                <w:sz w:val="18"/>
                <w:szCs w:val="18"/>
              </w:rPr>
              <w:br/>
              <w:t>от ≥ 0,5 до ≤ 0,9</w:t>
            </w:r>
          </w:p>
        </w:tc>
        <w:tc>
          <w:tcPr>
            <w:tcW w:w="1643" w:type="dxa"/>
            <w:vMerge w:val="restart"/>
          </w:tcPr>
          <w:p w:rsidR="006B01A2" w:rsidRPr="00ED38E2" w:rsidRDefault="006B01A2" w:rsidP="00ED38E2">
            <w:pPr>
              <w:jc w:val="right"/>
              <w:rPr>
                <w:sz w:val="18"/>
                <w:szCs w:val="18"/>
              </w:rPr>
            </w:pPr>
            <w:r w:rsidRPr="00ED38E2">
              <w:rPr>
                <w:sz w:val="18"/>
                <w:szCs w:val="18"/>
              </w:rPr>
              <w:br/>
            </w:r>
            <w:r w:rsidRPr="00ED38E2">
              <w:rPr>
                <w:sz w:val="18"/>
                <w:szCs w:val="18"/>
              </w:rPr>
              <w:br/>
            </w:r>
            <w:r w:rsidRPr="00ED38E2">
              <w:rPr>
                <w:sz w:val="18"/>
                <w:szCs w:val="18"/>
              </w:rPr>
              <w:br/>
            </w:r>
            <w:r w:rsidRPr="00ED38E2">
              <w:rPr>
                <w:sz w:val="18"/>
                <w:szCs w:val="18"/>
              </w:rPr>
              <w:br/>
            </w:r>
            <w:r w:rsidRPr="00ED38E2">
              <w:rPr>
                <w:sz w:val="18"/>
                <w:szCs w:val="18"/>
              </w:rPr>
              <w:br/>
            </w:r>
            <w:r w:rsidRPr="00ED38E2">
              <w:rPr>
                <w:sz w:val="18"/>
                <w:szCs w:val="18"/>
              </w:rPr>
              <w:br/>
            </w:r>
            <w:r w:rsidRPr="00ED38E2">
              <w:rPr>
                <w:sz w:val="18"/>
                <w:szCs w:val="18"/>
              </w:rPr>
              <w:br/>
            </w:r>
            <w:r w:rsidRPr="00ED38E2">
              <w:rPr>
                <w:sz w:val="18"/>
                <w:szCs w:val="18"/>
              </w:rPr>
              <w:br/>
              <w:t>II B</w:t>
            </w:r>
          </w:p>
        </w:tc>
        <w:tc>
          <w:tcPr>
            <w:tcW w:w="1958" w:type="dxa"/>
          </w:tcPr>
          <w:p w:rsidR="006B01A2" w:rsidRPr="00ED38E2" w:rsidRDefault="006B01A2" w:rsidP="00ED38E2">
            <w:pPr>
              <w:jc w:val="right"/>
              <w:rPr>
                <w:sz w:val="18"/>
                <w:szCs w:val="18"/>
              </w:rPr>
            </w:pPr>
            <w:r w:rsidRPr="00ED38E2">
              <w:rPr>
                <w:sz w:val="18"/>
                <w:szCs w:val="18"/>
              </w:rPr>
              <w:t>от &gt; 0,85 до ≤ 0,9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</w:tcPr>
          <w:p w:rsidR="006B01A2" w:rsidRPr="00ED38E2" w:rsidRDefault="006B01A2" w:rsidP="00ED38E2">
            <w:pPr>
              <w:jc w:val="right"/>
              <w:rPr>
                <w:sz w:val="18"/>
                <w:szCs w:val="18"/>
              </w:rPr>
            </w:pPr>
            <w:r w:rsidRPr="00ED38E2">
              <w:rPr>
                <w:sz w:val="18"/>
                <w:szCs w:val="18"/>
              </w:rPr>
              <w:t>II B1</w:t>
            </w:r>
          </w:p>
        </w:tc>
      </w:tr>
      <w:tr w:rsidR="006B01A2" w:rsidRPr="00ED38E2" w:rsidTr="00ED38E2">
        <w:tc>
          <w:tcPr>
            <w:tcW w:w="1787" w:type="dxa"/>
            <w:vMerge/>
          </w:tcPr>
          <w:p w:rsidR="006B01A2" w:rsidRPr="00ED38E2" w:rsidRDefault="006B01A2" w:rsidP="00ED38E2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vMerge/>
          </w:tcPr>
          <w:p w:rsidR="006B01A2" w:rsidRPr="00ED38E2" w:rsidRDefault="006B01A2" w:rsidP="00ED38E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6B01A2" w:rsidRPr="00ED38E2" w:rsidRDefault="006B01A2" w:rsidP="00ED38E2">
            <w:pPr>
              <w:jc w:val="right"/>
              <w:rPr>
                <w:sz w:val="18"/>
                <w:szCs w:val="18"/>
              </w:rPr>
            </w:pPr>
            <w:r w:rsidRPr="00ED38E2">
              <w:rPr>
                <w:sz w:val="18"/>
                <w:szCs w:val="18"/>
              </w:rPr>
              <w:t>от &gt; 0,75 до ≤ 0,85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</w:tcPr>
          <w:p w:rsidR="006B01A2" w:rsidRPr="00ED38E2" w:rsidRDefault="006B01A2" w:rsidP="00ED38E2">
            <w:pPr>
              <w:jc w:val="right"/>
              <w:rPr>
                <w:sz w:val="18"/>
                <w:szCs w:val="18"/>
              </w:rPr>
            </w:pPr>
            <w:r w:rsidRPr="00ED38E2">
              <w:rPr>
                <w:sz w:val="18"/>
                <w:szCs w:val="18"/>
              </w:rPr>
              <w:t>II B2</w:t>
            </w:r>
          </w:p>
        </w:tc>
      </w:tr>
      <w:tr w:rsidR="006B01A2" w:rsidRPr="00ED38E2" w:rsidTr="00ED38E2">
        <w:tc>
          <w:tcPr>
            <w:tcW w:w="1787" w:type="dxa"/>
            <w:vMerge/>
          </w:tcPr>
          <w:p w:rsidR="006B01A2" w:rsidRPr="00ED38E2" w:rsidRDefault="006B01A2" w:rsidP="00ED38E2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vMerge/>
          </w:tcPr>
          <w:p w:rsidR="006B01A2" w:rsidRPr="00ED38E2" w:rsidRDefault="006B01A2" w:rsidP="00ED38E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6B01A2" w:rsidRPr="00ED38E2" w:rsidRDefault="006B01A2" w:rsidP="00ED38E2">
            <w:pPr>
              <w:jc w:val="right"/>
              <w:rPr>
                <w:sz w:val="18"/>
                <w:szCs w:val="18"/>
              </w:rPr>
            </w:pPr>
            <w:r w:rsidRPr="00ED38E2">
              <w:rPr>
                <w:sz w:val="18"/>
                <w:szCs w:val="18"/>
              </w:rPr>
              <w:t>от &gt; 0,65 до ≤ 0,75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</w:tcPr>
          <w:p w:rsidR="006B01A2" w:rsidRPr="00ED38E2" w:rsidRDefault="006B01A2" w:rsidP="00ED38E2">
            <w:pPr>
              <w:jc w:val="right"/>
              <w:rPr>
                <w:sz w:val="18"/>
                <w:szCs w:val="18"/>
              </w:rPr>
            </w:pPr>
            <w:r w:rsidRPr="00ED38E2">
              <w:rPr>
                <w:sz w:val="18"/>
                <w:szCs w:val="18"/>
              </w:rPr>
              <w:t>II B3</w:t>
            </w:r>
          </w:p>
        </w:tc>
      </w:tr>
      <w:tr w:rsidR="006B01A2" w:rsidRPr="00ED38E2" w:rsidTr="00ED38E2">
        <w:trPr>
          <w:trHeight w:val="547"/>
        </w:trPr>
        <w:tc>
          <w:tcPr>
            <w:tcW w:w="1787" w:type="dxa"/>
            <w:vMerge/>
          </w:tcPr>
          <w:p w:rsidR="006B01A2" w:rsidRPr="00ED38E2" w:rsidRDefault="006B01A2" w:rsidP="00ED38E2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vMerge/>
          </w:tcPr>
          <w:p w:rsidR="006B01A2" w:rsidRPr="00ED38E2" w:rsidRDefault="006B01A2" w:rsidP="00ED38E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6B01A2" w:rsidRPr="00ED38E2" w:rsidRDefault="006B01A2" w:rsidP="00ED38E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</w:tcPr>
          <w:p w:rsidR="006B01A2" w:rsidRPr="00ED38E2" w:rsidRDefault="006B01A2" w:rsidP="00ED38E2">
            <w:pPr>
              <w:jc w:val="right"/>
              <w:rPr>
                <w:sz w:val="18"/>
                <w:szCs w:val="18"/>
              </w:rPr>
            </w:pPr>
            <w:r w:rsidRPr="00ED38E2">
              <w:rPr>
                <w:sz w:val="18"/>
                <w:szCs w:val="18"/>
              </w:rPr>
              <w:br/>
            </w:r>
            <w:r w:rsidRPr="00ED38E2">
              <w:rPr>
                <w:sz w:val="18"/>
                <w:szCs w:val="18"/>
              </w:rPr>
              <w:br/>
            </w:r>
          </w:p>
        </w:tc>
      </w:tr>
      <w:tr w:rsidR="006B01A2" w:rsidRPr="00ED38E2" w:rsidTr="00ED38E2">
        <w:tc>
          <w:tcPr>
            <w:tcW w:w="1787" w:type="dxa"/>
          </w:tcPr>
          <w:p w:rsidR="006B01A2" w:rsidRPr="00ED38E2" w:rsidRDefault="006B01A2" w:rsidP="00ED38E2">
            <w:pPr>
              <w:rPr>
                <w:sz w:val="18"/>
                <w:szCs w:val="18"/>
              </w:rPr>
            </w:pPr>
            <w:r w:rsidRPr="00ED38E2">
              <w:rPr>
                <w:sz w:val="18"/>
                <w:szCs w:val="18"/>
              </w:rPr>
              <w:t>&lt; 0,5</w:t>
            </w:r>
          </w:p>
        </w:tc>
        <w:tc>
          <w:tcPr>
            <w:tcW w:w="1643" w:type="dxa"/>
          </w:tcPr>
          <w:p w:rsidR="006B01A2" w:rsidRPr="00ED38E2" w:rsidRDefault="006B01A2" w:rsidP="00ED38E2">
            <w:pPr>
              <w:jc w:val="right"/>
              <w:rPr>
                <w:sz w:val="18"/>
                <w:szCs w:val="18"/>
              </w:rPr>
            </w:pPr>
            <w:r w:rsidRPr="00ED38E2">
              <w:rPr>
                <w:sz w:val="18"/>
                <w:szCs w:val="18"/>
              </w:rPr>
              <w:t>II C</w:t>
            </w:r>
          </w:p>
        </w:tc>
        <w:tc>
          <w:tcPr>
            <w:tcW w:w="1958" w:type="dxa"/>
          </w:tcPr>
          <w:p w:rsidR="006B01A2" w:rsidRPr="00ED38E2" w:rsidRDefault="006B01A2" w:rsidP="00ED38E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</w:tcPr>
          <w:p w:rsidR="006B01A2" w:rsidRPr="00ED38E2" w:rsidRDefault="006B01A2" w:rsidP="00ED38E2">
            <w:pPr>
              <w:jc w:val="right"/>
              <w:rPr>
                <w:sz w:val="18"/>
                <w:szCs w:val="18"/>
              </w:rPr>
            </w:pPr>
          </w:p>
        </w:tc>
      </w:tr>
    </w:tbl>
    <w:p w:rsidR="006B01A2" w:rsidRDefault="006B01A2" w:rsidP="00D90255">
      <w:pPr>
        <w:pStyle w:val="SingleTxtGR"/>
        <w:spacing w:before="120"/>
      </w:pPr>
      <w:r w:rsidRPr="006B01A2">
        <w:t>Тексты двух вышеупомянутых подразделов остаются без изменений.</w:t>
      </w:r>
    </w:p>
    <w:p w:rsidR="00C20949" w:rsidRPr="00C20949" w:rsidRDefault="00C20949" w:rsidP="00C2094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01A2" w:rsidRDefault="006B01A2" w:rsidP="006B01A2">
      <w:pPr>
        <w:pStyle w:val="SingleTxtGR"/>
      </w:pPr>
    </w:p>
    <w:p w:rsidR="00E12C5F" w:rsidRPr="008D53B6" w:rsidRDefault="00E12C5F" w:rsidP="002E5067"/>
    <w:sectPr w:rsidR="00E12C5F" w:rsidRPr="008D53B6" w:rsidSect="006B01A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EA" w:rsidRPr="00A312BC" w:rsidRDefault="005361EA" w:rsidP="00A312BC"/>
  </w:endnote>
  <w:endnote w:type="continuationSeparator" w:id="0">
    <w:p w:rsidR="005361EA" w:rsidRPr="00A312BC" w:rsidRDefault="005361E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1A2" w:rsidRPr="006B01A2" w:rsidRDefault="006B01A2">
    <w:pPr>
      <w:pStyle w:val="Footer"/>
    </w:pPr>
    <w:r w:rsidRPr="006B01A2">
      <w:rPr>
        <w:b/>
        <w:sz w:val="18"/>
      </w:rPr>
      <w:fldChar w:fldCharType="begin"/>
    </w:r>
    <w:r w:rsidRPr="006B01A2">
      <w:rPr>
        <w:b/>
        <w:sz w:val="18"/>
      </w:rPr>
      <w:instrText xml:space="preserve"> PAGE  \* MERGEFORMAT </w:instrText>
    </w:r>
    <w:r w:rsidRPr="006B01A2">
      <w:rPr>
        <w:b/>
        <w:sz w:val="18"/>
      </w:rPr>
      <w:fldChar w:fldCharType="separate"/>
    </w:r>
    <w:r w:rsidR="00EC2B3C">
      <w:rPr>
        <w:b/>
        <w:noProof/>
        <w:sz w:val="18"/>
      </w:rPr>
      <w:t>2</w:t>
    </w:r>
    <w:r w:rsidRPr="006B01A2">
      <w:rPr>
        <w:b/>
        <w:sz w:val="18"/>
      </w:rPr>
      <w:fldChar w:fldCharType="end"/>
    </w:r>
    <w:r>
      <w:rPr>
        <w:b/>
        <w:sz w:val="18"/>
      </w:rPr>
      <w:tab/>
    </w:r>
    <w:r>
      <w:t>GE.17-19772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1A2" w:rsidRPr="006B01A2" w:rsidRDefault="006B01A2" w:rsidP="006B01A2">
    <w:pPr>
      <w:pStyle w:val="Footer"/>
      <w:tabs>
        <w:tab w:val="clear" w:pos="9639"/>
        <w:tab w:val="right" w:pos="9638"/>
      </w:tabs>
      <w:rPr>
        <w:b/>
        <w:sz w:val="18"/>
      </w:rPr>
    </w:pPr>
    <w:r>
      <w:t>GE.17-19772</w:t>
    </w:r>
    <w:r>
      <w:tab/>
    </w:r>
    <w:r w:rsidRPr="006B01A2">
      <w:rPr>
        <w:b/>
        <w:sz w:val="18"/>
      </w:rPr>
      <w:fldChar w:fldCharType="begin"/>
    </w:r>
    <w:r w:rsidRPr="006B01A2">
      <w:rPr>
        <w:b/>
        <w:sz w:val="18"/>
      </w:rPr>
      <w:instrText xml:space="preserve"> PAGE  \* MERGEFORMAT </w:instrText>
    </w:r>
    <w:r w:rsidRPr="006B01A2">
      <w:rPr>
        <w:b/>
        <w:sz w:val="18"/>
      </w:rPr>
      <w:fldChar w:fldCharType="separate"/>
    </w:r>
    <w:r w:rsidR="00EC2B3C">
      <w:rPr>
        <w:b/>
        <w:noProof/>
        <w:sz w:val="18"/>
      </w:rPr>
      <w:t>5</w:t>
    </w:r>
    <w:r w:rsidRPr="006B01A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B01A2" w:rsidRDefault="006B01A2" w:rsidP="006B01A2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17-19772  (R)</w:t>
    </w:r>
    <w:r w:rsidR="008D0EC9">
      <w:rPr>
        <w:lang w:val="en-US"/>
      </w:rPr>
      <w:t xml:space="preserve">  051217  051217</w:t>
    </w:r>
    <w:r>
      <w:br/>
    </w:r>
    <w:r w:rsidRPr="006B01A2">
      <w:rPr>
        <w:rFonts w:ascii="C39T30Lfz" w:hAnsi="C39T30Lfz"/>
        <w:spacing w:val="0"/>
        <w:w w:val="100"/>
        <w:sz w:val="56"/>
      </w:rPr>
      <w:t></w:t>
    </w:r>
    <w:r w:rsidRPr="006B01A2">
      <w:rPr>
        <w:rFonts w:ascii="C39T30Lfz" w:hAnsi="C39T30Lfz"/>
        <w:spacing w:val="0"/>
        <w:w w:val="100"/>
        <w:sz w:val="56"/>
      </w:rPr>
      <w:t></w:t>
    </w:r>
    <w:r w:rsidRPr="006B01A2">
      <w:rPr>
        <w:rFonts w:ascii="C39T30Lfz" w:hAnsi="C39T30Lfz"/>
        <w:spacing w:val="0"/>
        <w:w w:val="100"/>
        <w:sz w:val="56"/>
      </w:rPr>
      <w:t></w:t>
    </w:r>
    <w:r w:rsidRPr="006B01A2">
      <w:rPr>
        <w:rFonts w:ascii="C39T30Lfz" w:hAnsi="C39T30Lfz"/>
        <w:spacing w:val="0"/>
        <w:w w:val="100"/>
        <w:sz w:val="56"/>
      </w:rPr>
      <w:t></w:t>
    </w:r>
    <w:r w:rsidRPr="006B01A2">
      <w:rPr>
        <w:rFonts w:ascii="C39T30Lfz" w:hAnsi="C39T30Lfz"/>
        <w:spacing w:val="0"/>
        <w:w w:val="100"/>
        <w:sz w:val="56"/>
      </w:rPr>
      <w:t></w:t>
    </w:r>
    <w:r w:rsidRPr="006B01A2">
      <w:rPr>
        <w:rFonts w:ascii="C39T30Lfz" w:hAnsi="C39T30Lfz"/>
        <w:spacing w:val="0"/>
        <w:w w:val="100"/>
        <w:sz w:val="56"/>
      </w:rPr>
      <w:t></w:t>
    </w:r>
    <w:r w:rsidRPr="006B01A2">
      <w:rPr>
        <w:rFonts w:ascii="C39T30Lfz" w:hAnsi="C39T30Lfz"/>
        <w:spacing w:val="0"/>
        <w:w w:val="100"/>
        <w:sz w:val="56"/>
      </w:rPr>
      <w:t></w:t>
    </w:r>
    <w:r w:rsidRPr="006B01A2">
      <w:rPr>
        <w:rFonts w:ascii="C39T30Lfz" w:hAnsi="C39T30Lfz"/>
        <w:spacing w:val="0"/>
        <w:w w:val="100"/>
        <w:sz w:val="56"/>
      </w:rPr>
      <w:t></w:t>
    </w:r>
    <w:r w:rsidRPr="006B01A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2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2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EA" w:rsidRPr="001075E9" w:rsidRDefault="005361E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361EA" w:rsidRDefault="005361E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B01A2" w:rsidRPr="005C24CD" w:rsidRDefault="006B01A2" w:rsidP="006B01A2">
      <w:pPr>
        <w:pStyle w:val="FootnoteText"/>
        <w:rPr>
          <w:lang w:val="ru-RU"/>
        </w:rPr>
      </w:pPr>
      <w:r>
        <w:rPr>
          <w:lang w:val="ru-RU"/>
        </w:rPr>
        <w:tab/>
      </w:r>
      <w:r w:rsidRPr="008D0EC9">
        <w:rPr>
          <w:sz w:val="20"/>
          <w:lang w:val="ru-RU"/>
        </w:rPr>
        <w:t>*</w:t>
      </w:r>
      <w:r>
        <w:rPr>
          <w:lang w:val="ru-RU"/>
        </w:rPr>
        <w:tab/>
        <w:t>Распространено на немецком языке Центральной комиссией судоходства по Рейну под условным обозначением CCNR-ZKR/ADN/WP.15/AC.2/2018/22.</w:t>
      </w:r>
    </w:p>
  </w:footnote>
  <w:footnote w:id="2">
    <w:p w:rsidR="006B01A2" w:rsidRPr="005C24CD" w:rsidRDefault="006B01A2" w:rsidP="006B01A2">
      <w:pPr>
        <w:pStyle w:val="FootnoteText"/>
        <w:rPr>
          <w:lang w:val="ru-RU"/>
        </w:rPr>
      </w:pPr>
      <w:r>
        <w:rPr>
          <w:lang w:val="ru-RU"/>
        </w:rPr>
        <w:tab/>
      </w:r>
      <w:r w:rsidRPr="008D0EC9">
        <w:rPr>
          <w:sz w:val="20"/>
          <w:lang w:val="ru-RU"/>
        </w:rPr>
        <w:t>**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8D0EC9">
        <w:rPr>
          <w:lang w:val="ru-RU"/>
        </w:rPr>
        <w:br/>
      </w:r>
      <w:r>
        <w:rPr>
          <w:lang w:val="ru-RU"/>
        </w:rPr>
        <w:t>на 2017–2018 годы (ECE/TRANS/WP.15/237, приложение V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1A2" w:rsidRPr="006B01A2" w:rsidRDefault="00FF1330">
    <w:pPr>
      <w:pStyle w:val="Header"/>
    </w:pPr>
    <w:fldSimple w:instr=" TITLE  \* MERGEFORMAT ">
      <w:r w:rsidR="00EC2B3C">
        <w:t>ECE/TRANS/WP.15/AC.2/2018/22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1A2" w:rsidRPr="006B01A2" w:rsidRDefault="00FF1330" w:rsidP="006B01A2">
    <w:pPr>
      <w:pStyle w:val="Header"/>
      <w:jc w:val="right"/>
    </w:pPr>
    <w:fldSimple w:instr=" TITLE  \* MERGEFORMAT ">
      <w:r w:rsidR="00EC2B3C">
        <w:t>ECE/TRANS/WP.15/AC.2/2018/22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EA"/>
    <w:rsid w:val="0000186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31B4"/>
    <w:rsid w:val="0014152F"/>
    <w:rsid w:val="00180183"/>
    <w:rsid w:val="0018024D"/>
    <w:rsid w:val="0018649F"/>
    <w:rsid w:val="00196389"/>
    <w:rsid w:val="001B3EF6"/>
    <w:rsid w:val="001C7A89"/>
    <w:rsid w:val="00241919"/>
    <w:rsid w:val="00255343"/>
    <w:rsid w:val="00264696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138E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2D49"/>
    <w:rsid w:val="00407B78"/>
    <w:rsid w:val="00424203"/>
    <w:rsid w:val="00452493"/>
    <w:rsid w:val="00453318"/>
    <w:rsid w:val="00454AF2"/>
    <w:rsid w:val="00454E07"/>
    <w:rsid w:val="00472C5C"/>
    <w:rsid w:val="004C15AC"/>
    <w:rsid w:val="004D02EB"/>
    <w:rsid w:val="004E05B7"/>
    <w:rsid w:val="0050108D"/>
    <w:rsid w:val="00513081"/>
    <w:rsid w:val="00517901"/>
    <w:rsid w:val="00526683"/>
    <w:rsid w:val="005361EA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B01A2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268F3"/>
    <w:rsid w:val="00834B71"/>
    <w:rsid w:val="0086445C"/>
    <w:rsid w:val="00894693"/>
    <w:rsid w:val="008A08D7"/>
    <w:rsid w:val="008A37C8"/>
    <w:rsid w:val="008B6909"/>
    <w:rsid w:val="008C5B5A"/>
    <w:rsid w:val="008D0EC9"/>
    <w:rsid w:val="008D53B6"/>
    <w:rsid w:val="008F7609"/>
    <w:rsid w:val="00906890"/>
    <w:rsid w:val="00911BE4"/>
    <w:rsid w:val="00951972"/>
    <w:rsid w:val="009608F3"/>
    <w:rsid w:val="009A24AC"/>
    <w:rsid w:val="009A55A7"/>
    <w:rsid w:val="009C6FE6"/>
    <w:rsid w:val="009D7E7D"/>
    <w:rsid w:val="00A14DA8"/>
    <w:rsid w:val="00A270AC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0949"/>
    <w:rsid w:val="00C239A2"/>
    <w:rsid w:val="00C43102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90255"/>
    <w:rsid w:val="00DD78D1"/>
    <w:rsid w:val="00DE32CD"/>
    <w:rsid w:val="00DF5767"/>
    <w:rsid w:val="00DF71B9"/>
    <w:rsid w:val="00E12C5F"/>
    <w:rsid w:val="00E43C16"/>
    <w:rsid w:val="00E73F76"/>
    <w:rsid w:val="00EA2C9F"/>
    <w:rsid w:val="00EA420E"/>
    <w:rsid w:val="00EB3FD5"/>
    <w:rsid w:val="00EC2B3C"/>
    <w:rsid w:val="00EC7A9A"/>
    <w:rsid w:val="00ED0BDA"/>
    <w:rsid w:val="00ED38E2"/>
    <w:rsid w:val="00EE0FF3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D4A5669-9061-4938-9FFC-567E355A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2048</Words>
  <Characters>11675</Characters>
  <Application>Microsoft Office Word</Application>
  <DocSecurity>0</DocSecurity>
  <Lines>97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ECE/TRANS/WP.15/AC.2/2018/22</vt:lpstr>
      <vt:lpstr>ECE/TRANS/WP.15/AC.2/2018/22</vt:lpstr>
      <vt:lpstr>A/</vt:lpstr>
    </vt:vector>
  </TitlesOfParts>
  <Company>DCM</Company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ECE/TRANS/WP.15/AC.2/2018/22</dc:title>
  <dc:subject/>
  <dc:creator>Sharkina</dc:creator>
  <cp:keywords/>
  <cp:lastModifiedBy>Marie-Claude Collet</cp:lastModifiedBy>
  <cp:revision>3</cp:revision>
  <cp:lastPrinted>2017-12-07T07:26:00Z</cp:lastPrinted>
  <dcterms:created xsi:type="dcterms:W3CDTF">2017-12-07T07:25:00Z</dcterms:created>
  <dcterms:modified xsi:type="dcterms:W3CDTF">2017-12-07T07:26:00Z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