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4398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43987" w:rsidP="00B43987">
            <w:pPr>
              <w:jc w:val="right"/>
            </w:pPr>
            <w:r w:rsidRPr="00B43987">
              <w:rPr>
                <w:sz w:val="40"/>
              </w:rPr>
              <w:t>ECE</w:t>
            </w:r>
            <w:r>
              <w:t>/TRANS/WP.15/AC.2/2018/17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43987" w:rsidP="00C97039">
            <w:pPr>
              <w:spacing w:before="240"/>
            </w:pPr>
            <w:r>
              <w:t>Distr. générale</w:t>
            </w:r>
          </w:p>
          <w:p w:rsidR="00B43987" w:rsidRDefault="00B43987" w:rsidP="00B43987">
            <w:pPr>
              <w:spacing w:line="240" w:lineRule="exact"/>
            </w:pPr>
            <w:r>
              <w:t>7 novembre 2017</w:t>
            </w:r>
          </w:p>
          <w:p w:rsidR="00B43987" w:rsidRDefault="00B43987" w:rsidP="00B43987">
            <w:pPr>
              <w:spacing w:line="240" w:lineRule="exact"/>
            </w:pPr>
            <w:r>
              <w:t>Français</w:t>
            </w:r>
          </w:p>
          <w:p w:rsidR="00B43987" w:rsidRPr="00DB58B5" w:rsidRDefault="00B43987" w:rsidP="00B4398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43987" w:rsidRPr="00B43987" w:rsidRDefault="00B43987" w:rsidP="00B43987">
      <w:pPr>
        <w:spacing w:before="120"/>
        <w:rPr>
          <w:b/>
          <w:sz w:val="24"/>
          <w:lang w:val="fr-FR"/>
        </w:rPr>
      </w:pPr>
      <w:r w:rsidRPr="00B43987">
        <w:rPr>
          <w:b/>
          <w:sz w:val="24"/>
          <w:lang w:val="fr-FR"/>
        </w:rPr>
        <w:t>Groupe de travail des transports de marchandises dangereuses</w:t>
      </w:r>
    </w:p>
    <w:p w:rsidR="00B43987" w:rsidRPr="00B43987" w:rsidRDefault="00B43987" w:rsidP="009028E4">
      <w:pPr>
        <w:spacing w:before="120"/>
        <w:rPr>
          <w:b/>
        </w:rPr>
      </w:pPr>
      <w:r w:rsidRPr="00B43987">
        <w:rPr>
          <w:b/>
          <w:lang w:val="fr-FR"/>
        </w:rPr>
        <w:t>Réunion commune d’</w:t>
      </w:r>
      <w:r w:rsidR="009028E4">
        <w:rPr>
          <w:b/>
          <w:lang w:val="fr-FR"/>
        </w:rPr>
        <w:t>experts sur le Règlement annexé</w:t>
      </w:r>
      <w:r w:rsidR="009028E4">
        <w:rPr>
          <w:b/>
          <w:lang w:val="fr-FR"/>
        </w:rPr>
        <w:br/>
      </w:r>
      <w:r w:rsidRPr="00B43987">
        <w:rPr>
          <w:b/>
          <w:lang w:val="fr-FR"/>
        </w:rPr>
        <w:t>à l’Accord européen rel</w:t>
      </w:r>
      <w:r w:rsidR="000A7262">
        <w:rPr>
          <w:b/>
          <w:lang w:val="fr-FR"/>
        </w:rPr>
        <w:t>atif au transport international</w:t>
      </w:r>
      <w:r w:rsidR="009028E4">
        <w:rPr>
          <w:b/>
          <w:lang w:val="fr-FR"/>
        </w:rPr>
        <w:br/>
      </w:r>
      <w:r w:rsidRPr="00B43987">
        <w:rPr>
          <w:b/>
          <w:lang w:val="fr-FR"/>
        </w:rPr>
        <w:t>des marchandises dang</w:t>
      </w:r>
      <w:r w:rsidR="000A7262">
        <w:rPr>
          <w:b/>
          <w:lang w:val="fr-FR"/>
        </w:rPr>
        <w:t>ereuses par voies de navigation</w:t>
      </w:r>
      <w:r w:rsidR="009028E4">
        <w:rPr>
          <w:b/>
          <w:lang w:val="fr-FR"/>
        </w:rPr>
        <w:br/>
      </w:r>
      <w:r w:rsidRPr="00B43987">
        <w:rPr>
          <w:b/>
          <w:lang w:val="fr-FR"/>
        </w:rPr>
        <w:t>intérieures (ADN) (Comité de sécurité de l’ADN)</w:t>
      </w:r>
    </w:p>
    <w:p w:rsidR="00B43987" w:rsidRPr="00B43987" w:rsidRDefault="00B43987" w:rsidP="00B43987">
      <w:pPr>
        <w:spacing w:before="120"/>
        <w:rPr>
          <w:b/>
        </w:rPr>
      </w:pPr>
      <w:r w:rsidRPr="00B43987">
        <w:rPr>
          <w:b/>
          <w:lang w:val="fr-FR"/>
        </w:rPr>
        <w:t>Trente-deuxième session</w:t>
      </w:r>
    </w:p>
    <w:p w:rsidR="00B43987" w:rsidRPr="00B43987" w:rsidRDefault="009028E4" w:rsidP="00B43987">
      <w:pPr>
        <w:rPr>
          <w:lang w:val="fr-FR"/>
        </w:rPr>
      </w:pPr>
      <w:r>
        <w:rPr>
          <w:lang w:val="fr-FR"/>
        </w:rPr>
        <w:t>Genève, 22-26 </w:t>
      </w:r>
      <w:r w:rsidR="00B43987" w:rsidRPr="00B43987">
        <w:rPr>
          <w:lang w:val="fr-FR"/>
        </w:rPr>
        <w:t xml:space="preserve">janvier 2018 </w:t>
      </w:r>
    </w:p>
    <w:p w:rsidR="00B43987" w:rsidRPr="00B43987" w:rsidRDefault="009028E4" w:rsidP="00B43987">
      <w:r>
        <w:rPr>
          <w:lang w:val="fr-FR"/>
        </w:rPr>
        <w:t>Point </w:t>
      </w:r>
      <w:r w:rsidR="00B43987" w:rsidRPr="00B43987">
        <w:rPr>
          <w:lang w:val="fr-FR"/>
        </w:rPr>
        <w:t>5 b) de l’ordre du jour provisoire</w:t>
      </w:r>
    </w:p>
    <w:p w:rsidR="00B43987" w:rsidRPr="00B43987" w:rsidRDefault="00B43987" w:rsidP="00B43987">
      <w:pPr>
        <w:rPr>
          <w:b/>
        </w:rPr>
      </w:pPr>
      <w:r w:rsidRPr="00B43987">
        <w:rPr>
          <w:b/>
          <w:lang w:val="fr-FR"/>
        </w:rPr>
        <w:t>Propositions d’</w:t>
      </w:r>
      <w:r>
        <w:rPr>
          <w:b/>
          <w:lang w:val="fr-FR"/>
        </w:rPr>
        <w:t>amendements au Règlement</w:t>
      </w:r>
      <w:r>
        <w:rPr>
          <w:b/>
          <w:lang w:val="fr-FR"/>
        </w:rPr>
        <w:br/>
      </w:r>
      <w:r w:rsidRPr="00B43987">
        <w:rPr>
          <w:b/>
          <w:lang w:val="fr-FR"/>
        </w:rPr>
        <w:t>annexé à l’ADN</w:t>
      </w:r>
      <w:r>
        <w:rPr>
          <w:b/>
          <w:lang w:val="fr-FR"/>
        </w:rPr>
        <w:t> </w:t>
      </w:r>
      <w:r w:rsidRPr="00B43987">
        <w:rPr>
          <w:b/>
          <w:lang w:val="fr-FR"/>
        </w:rPr>
        <w:t>: autres propositions</w:t>
      </w:r>
    </w:p>
    <w:p w:rsidR="00B43987" w:rsidRPr="00B43987" w:rsidRDefault="00B43987" w:rsidP="00B43987">
      <w:pPr>
        <w:pStyle w:val="HChG"/>
      </w:pPr>
      <w:r w:rsidRPr="00B43987">
        <w:rPr>
          <w:lang w:val="fr-FR"/>
        </w:rPr>
        <w:tab/>
      </w:r>
      <w:r w:rsidRPr="00B43987">
        <w:rPr>
          <w:lang w:val="fr-FR"/>
        </w:rPr>
        <w:tab/>
        <w:t>Vapeurs de gaz naturel liquéfié (GNL) utilisées comme combustible (9.3.1.24.1)</w:t>
      </w:r>
    </w:p>
    <w:p w:rsidR="00B43987" w:rsidRDefault="00B43987" w:rsidP="00B43987">
      <w:pPr>
        <w:pStyle w:val="H1G"/>
        <w:rPr>
          <w:bCs/>
          <w:vertAlign w:val="superscript"/>
          <w:lang w:val="fr-FR"/>
        </w:rPr>
      </w:pPr>
      <w:r w:rsidRPr="00B43987">
        <w:rPr>
          <w:lang w:val="fr-FR"/>
        </w:rPr>
        <w:tab/>
      </w:r>
      <w:r w:rsidRPr="00B43987">
        <w:rPr>
          <w:lang w:val="fr-FR"/>
        </w:rPr>
        <w:tab/>
        <w:t>Communication des Gouvernements de la Belgique et des Pays-Bas</w:t>
      </w:r>
      <w:r w:rsidRPr="009028E4">
        <w:rPr>
          <w:b w:val="0"/>
          <w:bCs/>
          <w:sz w:val="20"/>
          <w:lang w:val="fr-FR"/>
        </w:rPr>
        <w:footnoteReference w:customMarkFollows="1" w:id="2"/>
        <w:t>*</w:t>
      </w:r>
      <w:r w:rsidRPr="00B43987">
        <w:rPr>
          <w:bCs/>
          <w:vertAlign w:val="superscript"/>
          <w:lang w:val="fr-FR"/>
        </w:rPr>
        <w:t>,</w:t>
      </w:r>
      <w:r w:rsidR="009028E4" w:rsidRPr="009028E4">
        <w:rPr>
          <w:b w:val="0"/>
          <w:bCs/>
          <w:sz w:val="20"/>
          <w:lang w:val="fr-FR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B43987" w:rsidTr="0003150D">
        <w:trPr>
          <w:jc w:val="center"/>
        </w:trPr>
        <w:tc>
          <w:tcPr>
            <w:tcW w:w="9637" w:type="dxa"/>
            <w:shd w:val="clear" w:color="auto" w:fill="auto"/>
          </w:tcPr>
          <w:p w:rsidR="00B43987" w:rsidRPr="00577F31" w:rsidRDefault="00B43987" w:rsidP="00B43987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B43987" w:rsidRPr="00B43987" w:rsidTr="0003150D">
        <w:trPr>
          <w:jc w:val="center"/>
        </w:trPr>
        <w:tc>
          <w:tcPr>
            <w:tcW w:w="9637" w:type="dxa"/>
            <w:shd w:val="clear" w:color="auto" w:fill="auto"/>
          </w:tcPr>
          <w:p w:rsidR="00B43987" w:rsidRPr="00B43987" w:rsidRDefault="00B43987" w:rsidP="00B43987">
            <w:pPr>
              <w:pStyle w:val="SingleTxtG"/>
              <w:ind w:left="3402" w:hanging="2268"/>
            </w:pPr>
            <w:r w:rsidRPr="00B43987">
              <w:t>Résumé analytique </w:t>
            </w:r>
            <w:r w:rsidRPr="00B43987">
              <w:rPr>
                <w:b/>
              </w:rPr>
              <w:t>:</w:t>
            </w:r>
            <w:r w:rsidRPr="00B43987">
              <w:rPr>
                <w:b/>
              </w:rPr>
              <w:tab/>
            </w:r>
            <w:r w:rsidRPr="00B43987">
              <w:rPr>
                <w:lang w:val="fr-FR"/>
              </w:rPr>
              <w:t>Autoriser l’utilisation des vapeurs de GNL comme combustible sans qu’une dérogation au titre de 1.5.3.2 soit nécessaire.</w:t>
            </w:r>
          </w:p>
        </w:tc>
      </w:tr>
      <w:tr w:rsidR="00B43987" w:rsidRPr="00B43987" w:rsidTr="0003150D">
        <w:trPr>
          <w:jc w:val="center"/>
        </w:trPr>
        <w:tc>
          <w:tcPr>
            <w:tcW w:w="9637" w:type="dxa"/>
            <w:shd w:val="clear" w:color="auto" w:fill="auto"/>
          </w:tcPr>
          <w:p w:rsidR="00B43987" w:rsidRPr="00B43987" w:rsidRDefault="00B43987" w:rsidP="0003150D">
            <w:pPr>
              <w:pStyle w:val="SingleTxtG"/>
              <w:ind w:left="3402" w:hanging="2268"/>
            </w:pPr>
            <w:r w:rsidRPr="00B43987">
              <w:rPr>
                <w:lang w:val="fr-FR"/>
              </w:rPr>
              <w:t>Mesures à prendre :</w:t>
            </w:r>
            <w:r w:rsidRPr="00B43987">
              <w:tab/>
            </w:r>
            <w:r w:rsidRPr="00B43987">
              <w:rPr>
                <w:lang w:val="fr-FR"/>
              </w:rPr>
              <w:t>Voir le paragraphe 3.</w:t>
            </w:r>
          </w:p>
        </w:tc>
      </w:tr>
      <w:tr w:rsidR="00B43987" w:rsidRPr="00B43987" w:rsidTr="0003150D">
        <w:trPr>
          <w:jc w:val="center"/>
        </w:trPr>
        <w:tc>
          <w:tcPr>
            <w:tcW w:w="9637" w:type="dxa"/>
            <w:shd w:val="clear" w:color="auto" w:fill="auto"/>
          </w:tcPr>
          <w:p w:rsidR="00B43987" w:rsidRPr="00B43987" w:rsidRDefault="00B43987" w:rsidP="00B43987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3402" w:hanging="2268"/>
              <w:jc w:val="left"/>
            </w:pPr>
            <w:r w:rsidRPr="00B43987">
              <w:rPr>
                <w:lang w:val="fr-FR"/>
              </w:rPr>
              <w:t>Documents connexes :</w:t>
            </w:r>
            <w:r w:rsidRPr="00B43987">
              <w:tab/>
            </w:r>
            <w:r>
              <w:tab/>
            </w:r>
            <w:r w:rsidRPr="00B43987">
              <w:rPr>
                <w:lang w:val="fr-FR"/>
              </w:rPr>
              <w:t>ECE/TRANS/WP.15/AC.2/2017/17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tab/>
              <w:t>Document</w:t>
            </w:r>
            <w:r w:rsidRPr="00B43987">
              <w:rPr>
                <w:lang w:val="fr-FR"/>
              </w:rPr>
              <w:t xml:space="preserve"> INF.28 de la trentième session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tab/>
            </w:r>
            <w:r w:rsidR="004A569F">
              <w:rPr>
                <w:lang w:val="fr-FR"/>
              </w:rPr>
              <w:t>ECE/TRANS/WP.15/AC.2/62 (par. </w:t>
            </w:r>
            <w:r w:rsidRPr="00B43987">
              <w:rPr>
                <w:lang w:val="fr-FR"/>
              </w:rPr>
              <w:t>68 et 69)</w:t>
            </w:r>
          </w:p>
        </w:tc>
      </w:tr>
      <w:tr w:rsidR="00B43987" w:rsidRPr="00B43987" w:rsidTr="0003150D">
        <w:trPr>
          <w:jc w:val="center"/>
        </w:trPr>
        <w:tc>
          <w:tcPr>
            <w:tcW w:w="9637" w:type="dxa"/>
            <w:shd w:val="clear" w:color="auto" w:fill="auto"/>
          </w:tcPr>
          <w:p w:rsidR="00B43987" w:rsidRPr="00B43987" w:rsidRDefault="00B43987" w:rsidP="0003150D"/>
        </w:tc>
      </w:tr>
    </w:tbl>
    <w:p w:rsidR="00B43987" w:rsidRPr="00B43987" w:rsidRDefault="00B43987" w:rsidP="00B43987"/>
    <w:p w:rsidR="00B43987" w:rsidRPr="00B43987" w:rsidRDefault="00B43987" w:rsidP="00B43987">
      <w:pPr>
        <w:pStyle w:val="HChG"/>
      </w:pPr>
      <w:r>
        <w:br w:type="page"/>
      </w:r>
      <w:r w:rsidRPr="00B43987">
        <w:rPr>
          <w:lang w:val="fr-FR"/>
        </w:rPr>
        <w:lastRenderedPageBreak/>
        <w:tab/>
      </w:r>
      <w:r w:rsidRPr="00B43987">
        <w:rPr>
          <w:lang w:val="fr-FR"/>
        </w:rPr>
        <w:tab/>
        <w:t>Introduction</w:t>
      </w:r>
    </w:p>
    <w:p w:rsidR="00B43987" w:rsidRPr="00B43987" w:rsidRDefault="00B43987" w:rsidP="00B43987">
      <w:pPr>
        <w:pStyle w:val="SingleTxtG"/>
      </w:pPr>
      <w:r w:rsidRPr="00B43987">
        <w:rPr>
          <w:lang w:val="fr-FR"/>
        </w:rPr>
        <w:t>1.</w:t>
      </w:r>
      <w:r w:rsidRPr="00B43987">
        <w:rPr>
          <w:lang w:val="fr-FR"/>
        </w:rPr>
        <w:tab/>
        <w:t>À sa trentième session, le Comité de sécurité de l’ADN a adopté les propositions du groupe de travail informel sur le gaz naturel liquéfié (GNL) présentées dans le document INF.28. Ces propositions visaient à autoriser l’utilisation du GNL comme combustible à partir du 1</w:t>
      </w:r>
      <w:r w:rsidRPr="00B43987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B43987">
        <w:rPr>
          <w:lang w:val="fr-FR"/>
        </w:rPr>
        <w:t>janvier 2019. Dans l’intervalle, afin de faciliter l’utilisation du GNL comme combustible, l’accord multilatéral 020 a été rédigé et signé par un grand nombre de Parties contractantes à l’ADN.</w:t>
      </w:r>
    </w:p>
    <w:p w:rsidR="00B43987" w:rsidRPr="00B43987" w:rsidRDefault="00B43987" w:rsidP="00B43987">
      <w:pPr>
        <w:pStyle w:val="SingleTxtG"/>
        <w:rPr>
          <w:lang w:val="fr-FR"/>
        </w:rPr>
      </w:pPr>
      <w:r w:rsidRPr="00B43987">
        <w:rPr>
          <w:lang w:val="fr-FR"/>
        </w:rPr>
        <w:t>2.</w:t>
      </w:r>
      <w:r w:rsidRPr="00B43987">
        <w:rPr>
          <w:lang w:val="fr-FR"/>
        </w:rPr>
        <w:tab/>
        <w:t>Étant donné que l’utilisation du GNL comme combustible ne requiert plus de dé</w:t>
      </w:r>
      <w:r>
        <w:rPr>
          <w:lang w:val="fr-FR"/>
        </w:rPr>
        <w:t>rogation au titre du paragraphe </w:t>
      </w:r>
      <w:r w:rsidRPr="00B43987">
        <w:rPr>
          <w:lang w:val="fr-FR"/>
        </w:rPr>
        <w:t>1.5.3.2 du Règlement annexé à l’ADN, il convient de mettre à jour le paragraphe</w:t>
      </w:r>
      <w:r>
        <w:rPr>
          <w:lang w:val="fr-FR"/>
        </w:rPr>
        <w:t> </w:t>
      </w:r>
      <w:r w:rsidRPr="00B43987">
        <w:rPr>
          <w:lang w:val="fr-FR"/>
        </w:rPr>
        <w:t xml:space="preserve">9.3.1.24.1. Par conséquent, la Belgique et les Pays-Bas proposent de supprimer le renvoi obsolète au paragraphe 1.5.3.2 figurant dans le </w:t>
      </w:r>
      <w:r>
        <w:rPr>
          <w:lang w:val="fr-FR"/>
        </w:rPr>
        <w:t>paragraphe </w:t>
      </w:r>
      <w:r w:rsidRPr="00B43987">
        <w:rPr>
          <w:lang w:val="fr-FR"/>
        </w:rPr>
        <w:t>9.3.1.24.1, ainsi que d’harmoniser ce dernier avec les propositions du groupe informel sur le gaz naturel liquéfié adoptées par le Comité.</w:t>
      </w:r>
    </w:p>
    <w:p w:rsidR="00B43987" w:rsidRPr="00B43987" w:rsidRDefault="00B43987" w:rsidP="00B43987">
      <w:pPr>
        <w:pStyle w:val="HChG"/>
      </w:pPr>
      <w:r w:rsidRPr="00B43987">
        <w:rPr>
          <w:lang w:val="fr-FR"/>
        </w:rPr>
        <w:tab/>
        <w:t>I.</w:t>
      </w:r>
      <w:r w:rsidRPr="00B43987">
        <w:rPr>
          <w:lang w:val="fr-FR"/>
        </w:rPr>
        <w:tab/>
        <w:t>Proposition d’amendements</w:t>
      </w:r>
    </w:p>
    <w:p w:rsidR="00B43987" w:rsidRPr="00B43987" w:rsidRDefault="00B43987" w:rsidP="00B43987">
      <w:pPr>
        <w:pStyle w:val="SingleTxtG"/>
      </w:pPr>
      <w:r w:rsidRPr="00B43987">
        <w:rPr>
          <w:lang w:val="fr-FR"/>
        </w:rPr>
        <w:t>3.</w:t>
      </w:r>
      <w:r w:rsidRPr="00B43987">
        <w:rPr>
          <w:lang w:val="fr-FR"/>
        </w:rPr>
        <w:tab/>
        <w:t>La Belgique et les Pays-Bas proposent les amendements ci-après (</w:t>
      </w:r>
      <w:r w:rsidRPr="00B43987">
        <w:rPr>
          <w:strike/>
          <w:lang w:val="fr-FR"/>
        </w:rPr>
        <w:t>les suppressions figurent en caractères biffés ;</w:t>
      </w:r>
      <w:r w:rsidRPr="00B43987">
        <w:rPr>
          <w:lang w:val="fr-FR"/>
        </w:rPr>
        <w:t xml:space="preserve"> </w:t>
      </w:r>
      <w:r w:rsidRPr="00B43987">
        <w:rPr>
          <w:b/>
          <w:u w:val="single"/>
          <w:lang w:val="fr-FR"/>
        </w:rPr>
        <w:t>les ajouts en caractères gras et soulignés</w:t>
      </w:r>
      <w:r w:rsidRPr="00B43987">
        <w:rPr>
          <w:lang w:val="fr-FR"/>
        </w:rPr>
        <w:t>) :</w:t>
      </w:r>
    </w:p>
    <w:p w:rsidR="00B43987" w:rsidRPr="00B43987" w:rsidRDefault="00B43987" w:rsidP="00B43987">
      <w:pPr>
        <w:pStyle w:val="SingleTxtG"/>
        <w:ind w:left="2268" w:hanging="1134"/>
      </w:pPr>
      <w:r w:rsidRPr="00B43987">
        <w:t>« </w:t>
      </w:r>
      <w:r w:rsidRPr="00B43987">
        <w:rPr>
          <w:lang w:val="fr-FR"/>
        </w:rPr>
        <w:t>9.3.1.24.1</w:t>
      </w:r>
      <w:r w:rsidRPr="00B43987">
        <w:rPr>
          <w:lang w:val="fr-FR"/>
        </w:rPr>
        <w:tab/>
        <w:t>À moins que tout le système de cargaison ne soit conçu pour résister à la pleine pression effective de vapeur de la cargaison aux limites supérieures des températures ambiantes de calcul, la pression des citernes doit être maintenue au-dessous de la pression de tarage maximal admissible des soupapes de sécurité, à l’aide d’un ou plusieurs des moyens ci-après</w:t>
      </w:r>
      <w:r w:rsidR="004A569F">
        <w:rPr>
          <w:lang w:val="fr-FR"/>
        </w:rPr>
        <w:t> </w:t>
      </w:r>
      <w:r w:rsidRPr="00B43987">
        <w:rPr>
          <w:lang w:val="fr-FR"/>
        </w:rPr>
        <w:t>:</w:t>
      </w:r>
    </w:p>
    <w:p w:rsidR="00B43987" w:rsidRPr="00B43987" w:rsidRDefault="00B43987" w:rsidP="00B43987">
      <w:pPr>
        <w:pStyle w:val="SingleTxtG"/>
        <w:ind w:left="2268" w:hanging="1134"/>
      </w:pPr>
      <w:r w:rsidRPr="00B43987">
        <w:rPr>
          <w:lang w:val="fr-FR"/>
        </w:rPr>
        <w:tab/>
        <w:t>a)</w:t>
      </w:r>
      <w:r w:rsidRPr="00B43987">
        <w:rPr>
          <w:lang w:val="fr-FR"/>
        </w:rPr>
        <w:tab/>
        <w:t>Un système de régulation de la pression des citernes à cargaison utilisant la réfrigération mécanique</w:t>
      </w:r>
      <w:r w:rsidR="004A569F">
        <w:rPr>
          <w:lang w:val="fr-FR"/>
        </w:rPr>
        <w:t> </w:t>
      </w:r>
      <w:r w:rsidRPr="00B43987">
        <w:rPr>
          <w:lang w:val="fr-FR"/>
        </w:rPr>
        <w:t>;</w:t>
      </w:r>
    </w:p>
    <w:p w:rsidR="00B43987" w:rsidRPr="00B43987" w:rsidRDefault="00B43987" w:rsidP="00B43987">
      <w:pPr>
        <w:pStyle w:val="SingleTxtG"/>
        <w:ind w:left="2268" w:hanging="1134"/>
      </w:pPr>
      <w:r w:rsidRPr="00B43987">
        <w:rPr>
          <w:lang w:val="fr-FR"/>
        </w:rPr>
        <w:tab/>
        <w:t>b)</w:t>
      </w:r>
      <w:r w:rsidRPr="00B43987">
        <w:rPr>
          <w:lang w:val="fr-FR"/>
        </w:rPr>
        <w:tab/>
        <w:t>Un système assurant la sécurité en cas de réchauffement ou d’accroissement de la pression de la cargaison. L’isolation ou la pression de calcul de la citerne à cargaison, ou la combinaison de ces deux éléments, doivent être de nature à laisser une marge suffisante pour la durée d’exploitation et les températures à prévoir</w:t>
      </w:r>
      <w:r w:rsidR="004A569F">
        <w:rPr>
          <w:lang w:val="fr-FR"/>
        </w:rPr>
        <w:t> </w:t>
      </w:r>
      <w:r w:rsidRPr="00B43987">
        <w:rPr>
          <w:lang w:val="fr-FR"/>
        </w:rPr>
        <w:t>; dans chaque cas le système doit être jugé acceptable par une société de classification agréée et doit assurer la sécurité pendant une période au moins égale à trois fois la durée d’exploitation</w:t>
      </w:r>
      <w:r w:rsidR="004A569F">
        <w:rPr>
          <w:lang w:val="fr-FR"/>
        </w:rPr>
        <w:t> </w:t>
      </w:r>
      <w:r w:rsidRPr="00B43987">
        <w:rPr>
          <w:lang w:val="fr-FR"/>
        </w:rPr>
        <w:t>;</w:t>
      </w:r>
    </w:p>
    <w:p w:rsidR="00B43987" w:rsidRPr="00B43987" w:rsidRDefault="00B43987" w:rsidP="00B43987">
      <w:pPr>
        <w:pStyle w:val="SingleTxtG"/>
        <w:ind w:left="2268" w:hanging="1134"/>
      </w:pPr>
      <w:r w:rsidRPr="00B43987">
        <w:rPr>
          <w:lang w:val="fr-FR"/>
        </w:rPr>
        <w:tab/>
        <w:t>c)</w:t>
      </w:r>
      <w:r w:rsidRPr="00B43987">
        <w:rPr>
          <w:lang w:val="fr-FR"/>
        </w:rPr>
        <w:tab/>
        <w:t xml:space="preserve">Pour le No ONU 1972 seulement </w:t>
      </w:r>
      <w:r w:rsidRPr="00B43987">
        <w:rPr>
          <w:strike/>
          <w:lang w:val="fr-FR"/>
        </w:rPr>
        <w:t>et lorsque le GNL est autorisé comme combustible au titre de 1.5.3.2,</w:t>
      </w:r>
      <w:r w:rsidRPr="00B43987">
        <w:rPr>
          <w:lang w:val="fr-FR"/>
        </w:rPr>
        <w:t xml:space="preserve"> un dispositif de réglage de la pression de la citerne à cargaison, grâce auquel les vapeurs provenant du boil-off sont utilisées comme combustible</w:t>
      </w:r>
      <w:r w:rsidR="004A569F">
        <w:rPr>
          <w:lang w:val="fr-FR"/>
        </w:rPr>
        <w:t> </w:t>
      </w:r>
      <w:r w:rsidRPr="00B43987">
        <w:rPr>
          <w:lang w:val="fr-FR"/>
        </w:rPr>
        <w:t>;</w:t>
      </w:r>
    </w:p>
    <w:p w:rsidR="00B43987" w:rsidRPr="00B43987" w:rsidRDefault="00B43987" w:rsidP="00B43987">
      <w:pPr>
        <w:pStyle w:val="SingleTxtG"/>
        <w:ind w:left="2268" w:hanging="1134"/>
      </w:pPr>
      <w:r>
        <w:rPr>
          <w:lang w:val="fr-FR"/>
        </w:rPr>
        <w:tab/>
      </w:r>
      <w:r w:rsidRPr="00B43987">
        <w:rPr>
          <w:lang w:val="fr-FR"/>
        </w:rPr>
        <w:t>d)</w:t>
      </w:r>
      <w:r w:rsidRPr="00B43987">
        <w:rPr>
          <w:lang w:val="fr-FR"/>
        </w:rPr>
        <w:tab/>
        <w:t>D’autres systèmes jugés acceptables par une société de classification agréée. »</w:t>
      </w:r>
      <w:r w:rsidR="009028E4">
        <w:rPr>
          <w:lang w:val="fr-FR"/>
        </w:rPr>
        <w:t>.</w:t>
      </w:r>
    </w:p>
    <w:p w:rsidR="00B43987" w:rsidRPr="00B43987" w:rsidRDefault="00B43987" w:rsidP="00B43987">
      <w:pPr>
        <w:pStyle w:val="HChG"/>
      </w:pPr>
      <w:r w:rsidRPr="00B43987">
        <w:rPr>
          <w:lang w:val="fr-FR"/>
        </w:rPr>
        <w:tab/>
        <w:t>II.</w:t>
      </w:r>
      <w:r w:rsidRPr="00B43987">
        <w:rPr>
          <w:lang w:val="fr-FR"/>
        </w:rPr>
        <w:tab/>
        <w:t>Suite à donner</w:t>
      </w:r>
    </w:p>
    <w:p w:rsidR="00B43987" w:rsidRDefault="00B43987" w:rsidP="00B43987">
      <w:pPr>
        <w:pStyle w:val="SingleTxtG"/>
        <w:rPr>
          <w:lang w:val="fr-FR"/>
        </w:rPr>
      </w:pPr>
      <w:r w:rsidRPr="00B43987">
        <w:rPr>
          <w:lang w:val="fr-FR"/>
        </w:rPr>
        <w:t>4.</w:t>
      </w:r>
      <w:r w:rsidRPr="00B43987">
        <w:rPr>
          <w:lang w:val="fr-FR"/>
        </w:rPr>
        <w:tab/>
        <w:t>Le Comité de sécurité est invité à examiner la proposition formulée au paragraphe</w:t>
      </w:r>
      <w:r>
        <w:rPr>
          <w:lang w:val="fr-FR"/>
        </w:rPr>
        <w:t> </w:t>
      </w:r>
      <w:r w:rsidRPr="00B43987">
        <w:rPr>
          <w:lang w:val="fr-FR"/>
        </w:rPr>
        <w:t xml:space="preserve">3 ci-dessus et à lui donner la suite qu’il jugera appropriée. </w:t>
      </w:r>
    </w:p>
    <w:p w:rsidR="00B43987" w:rsidRPr="00B43987" w:rsidRDefault="00B43987" w:rsidP="00B439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3987" w:rsidRPr="00B43987" w:rsidSect="00B439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FA" w:rsidRDefault="007F00FA" w:rsidP="00F95C08">
      <w:pPr>
        <w:spacing w:line="240" w:lineRule="auto"/>
      </w:pPr>
    </w:p>
  </w:endnote>
  <w:endnote w:type="continuationSeparator" w:id="0">
    <w:p w:rsidR="007F00FA" w:rsidRPr="00AC3823" w:rsidRDefault="007F00FA" w:rsidP="00AC3823">
      <w:pPr>
        <w:pStyle w:val="Footer"/>
      </w:pPr>
    </w:p>
  </w:endnote>
  <w:endnote w:type="continuationNotice" w:id="1">
    <w:p w:rsidR="007F00FA" w:rsidRDefault="007F00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87" w:rsidRPr="00B43987" w:rsidRDefault="00B43987" w:rsidP="00B43987">
    <w:pPr>
      <w:pStyle w:val="Footer"/>
      <w:tabs>
        <w:tab w:val="right" w:pos="9638"/>
      </w:tabs>
    </w:pPr>
    <w:r w:rsidRPr="00B43987">
      <w:rPr>
        <w:b/>
        <w:sz w:val="18"/>
      </w:rPr>
      <w:fldChar w:fldCharType="begin"/>
    </w:r>
    <w:r w:rsidRPr="00B43987">
      <w:rPr>
        <w:b/>
        <w:sz w:val="18"/>
      </w:rPr>
      <w:instrText xml:space="preserve"> PAGE  \* MERGEFORMAT </w:instrText>
    </w:r>
    <w:r w:rsidRPr="00B43987">
      <w:rPr>
        <w:b/>
        <w:sz w:val="18"/>
      </w:rPr>
      <w:fldChar w:fldCharType="separate"/>
    </w:r>
    <w:r w:rsidR="00C02698">
      <w:rPr>
        <w:b/>
        <w:noProof/>
        <w:sz w:val="18"/>
      </w:rPr>
      <w:t>2</w:t>
    </w:r>
    <w:r w:rsidRPr="00B43987">
      <w:rPr>
        <w:b/>
        <w:sz w:val="18"/>
      </w:rPr>
      <w:fldChar w:fldCharType="end"/>
    </w:r>
    <w:r>
      <w:rPr>
        <w:b/>
        <w:sz w:val="18"/>
      </w:rPr>
      <w:tab/>
    </w:r>
    <w:r>
      <w:t>GE.17-19658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87" w:rsidRPr="00B43987" w:rsidRDefault="00B43987" w:rsidP="00B43987">
    <w:pPr>
      <w:pStyle w:val="Footer"/>
      <w:tabs>
        <w:tab w:val="right" w:pos="9638"/>
      </w:tabs>
      <w:rPr>
        <w:b/>
        <w:sz w:val="18"/>
      </w:rPr>
    </w:pPr>
    <w:r>
      <w:t>GE.17-19658</w:t>
    </w:r>
    <w:r>
      <w:tab/>
    </w:r>
    <w:r w:rsidRPr="00B43987">
      <w:rPr>
        <w:b/>
        <w:sz w:val="18"/>
      </w:rPr>
      <w:fldChar w:fldCharType="begin"/>
    </w:r>
    <w:r w:rsidRPr="00B43987">
      <w:rPr>
        <w:b/>
        <w:sz w:val="18"/>
      </w:rPr>
      <w:instrText xml:space="preserve"> PAGE  \* MERGEFORMAT </w:instrText>
    </w:r>
    <w:r w:rsidRPr="00B43987">
      <w:rPr>
        <w:b/>
        <w:sz w:val="18"/>
      </w:rPr>
      <w:fldChar w:fldCharType="separate"/>
    </w:r>
    <w:r w:rsidR="004A569F">
      <w:rPr>
        <w:b/>
        <w:noProof/>
        <w:sz w:val="18"/>
      </w:rPr>
      <w:t>2</w:t>
    </w:r>
    <w:r w:rsidRPr="00B439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43987" w:rsidRDefault="00B43987" w:rsidP="00B4398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17-19658  (F)    211117    221117</w:t>
    </w:r>
    <w:r>
      <w:rPr>
        <w:sz w:val="20"/>
      </w:rPr>
      <w:br/>
    </w:r>
    <w:r w:rsidRPr="00B43987">
      <w:rPr>
        <w:rFonts w:ascii="C39T30Lfz" w:hAnsi="C39T30Lfz"/>
        <w:sz w:val="56"/>
      </w:rPr>
      <w:t></w:t>
    </w:r>
    <w:r w:rsidRPr="00B43987">
      <w:rPr>
        <w:rFonts w:ascii="C39T30Lfz" w:hAnsi="C39T30Lfz"/>
        <w:sz w:val="56"/>
      </w:rPr>
      <w:t></w:t>
    </w:r>
    <w:r w:rsidRPr="00B43987">
      <w:rPr>
        <w:rFonts w:ascii="C39T30Lfz" w:hAnsi="C39T30Lfz"/>
        <w:sz w:val="56"/>
      </w:rPr>
      <w:t></w:t>
    </w:r>
    <w:r w:rsidRPr="00B43987">
      <w:rPr>
        <w:rFonts w:ascii="C39T30Lfz" w:hAnsi="C39T30Lfz"/>
        <w:sz w:val="56"/>
      </w:rPr>
      <w:t></w:t>
    </w:r>
    <w:r w:rsidRPr="00B43987">
      <w:rPr>
        <w:rFonts w:ascii="C39T30Lfz" w:hAnsi="C39T30Lfz"/>
        <w:sz w:val="56"/>
      </w:rPr>
      <w:t></w:t>
    </w:r>
    <w:r w:rsidRPr="00B43987">
      <w:rPr>
        <w:rFonts w:ascii="C39T30Lfz" w:hAnsi="C39T30Lfz"/>
        <w:sz w:val="56"/>
      </w:rPr>
      <w:t></w:t>
    </w:r>
    <w:r w:rsidRPr="00B43987">
      <w:rPr>
        <w:rFonts w:ascii="C39T30Lfz" w:hAnsi="C39T30Lfz"/>
        <w:sz w:val="56"/>
      </w:rPr>
      <w:t></w:t>
    </w:r>
    <w:r w:rsidRPr="00B43987">
      <w:rPr>
        <w:rFonts w:ascii="C39T30Lfz" w:hAnsi="C39T30Lfz"/>
        <w:sz w:val="56"/>
      </w:rPr>
      <w:t></w:t>
    </w:r>
    <w:r w:rsidRPr="00B4398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FA" w:rsidRPr="00AC3823" w:rsidRDefault="007F00F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00FA" w:rsidRPr="00AC3823" w:rsidRDefault="007F00F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00FA" w:rsidRPr="00AC3823" w:rsidRDefault="007F00FA">
      <w:pPr>
        <w:spacing w:line="240" w:lineRule="auto"/>
        <w:rPr>
          <w:sz w:val="2"/>
          <w:szCs w:val="2"/>
        </w:rPr>
      </w:pPr>
    </w:p>
  </w:footnote>
  <w:footnote w:id="2">
    <w:p w:rsidR="00B43987" w:rsidRPr="003A7D20" w:rsidRDefault="00B43987" w:rsidP="00B43987">
      <w:pPr>
        <w:pStyle w:val="FootnoteText"/>
      </w:pPr>
      <w:r>
        <w:tab/>
        <w:t>*</w:t>
      </w:r>
      <w:r>
        <w:tab/>
        <w:t>Diffusé en langue allemande par la Commission centrale pour la navigation du Rhin sous la cote CCNR-ZKR/ADN/WP.15/AC.2/2018/17.</w:t>
      </w:r>
    </w:p>
  </w:footnote>
  <w:footnote w:id="3">
    <w:p w:rsidR="009028E4" w:rsidRPr="003A7D20" w:rsidRDefault="009028E4" w:rsidP="009028E4">
      <w:pPr>
        <w:pStyle w:val="FootnoteText"/>
      </w:pPr>
      <w:r>
        <w:tab/>
        <w:t>**</w:t>
      </w:r>
      <w:r>
        <w:tab/>
        <w:t>Conformément au programme de travail du Comité des transports intérieurs pour 2017-2018 (ECE/TRANS/WP.15/237, annexe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87" w:rsidRPr="00B43987" w:rsidRDefault="00C0269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87" w:rsidRPr="00B43987" w:rsidRDefault="00C02698" w:rsidP="00B4398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A"/>
    <w:rsid w:val="00017F94"/>
    <w:rsid w:val="00023842"/>
    <w:rsid w:val="000334F9"/>
    <w:rsid w:val="00045FEB"/>
    <w:rsid w:val="0007796D"/>
    <w:rsid w:val="000A7262"/>
    <w:rsid w:val="000B7790"/>
    <w:rsid w:val="000E6ABB"/>
    <w:rsid w:val="00111F2F"/>
    <w:rsid w:val="0014365E"/>
    <w:rsid w:val="00143C66"/>
    <w:rsid w:val="00176178"/>
    <w:rsid w:val="001D17B0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A569F"/>
    <w:rsid w:val="004E468C"/>
    <w:rsid w:val="005505B7"/>
    <w:rsid w:val="00573BE5"/>
    <w:rsid w:val="00586ED3"/>
    <w:rsid w:val="00596AA9"/>
    <w:rsid w:val="0071601D"/>
    <w:rsid w:val="007A62E6"/>
    <w:rsid w:val="007F00FA"/>
    <w:rsid w:val="007F20FA"/>
    <w:rsid w:val="0080684C"/>
    <w:rsid w:val="00871C75"/>
    <w:rsid w:val="008776DC"/>
    <w:rsid w:val="009028E4"/>
    <w:rsid w:val="00915108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43987"/>
    <w:rsid w:val="00B765F7"/>
    <w:rsid w:val="00BA0CA9"/>
    <w:rsid w:val="00C02698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F2C907-85A8-479B-9C4D-E6E2A604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ECE/TRANS/WP.15/AC.2/2018/17</vt:lpstr>
      <vt:lpstr>ECE/TRANS/WP.15/AC.2/2018/17</vt:lpstr>
    </vt:vector>
  </TitlesOfParts>
  <Company>DCM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ECE/TRANS/WP.15/AC.2/2018/17</dc:title>
  <dc:subject/>
  <dc:creator>Annie BEAUNEE</dc:creator>
  <cp:keywords/>
  <cp:lastModifiedBy>Marie-Claude Collet</cp:lastModifiedBy>
  <cp:revision>3</cp:revision>
  <cp:lastPrinted>2017-11-22T13:32:00Z</cp:lastPrinted>
  <dcterms:created xsi:type="dcterms:W3CDTF">2017-11-22T13:32:00Z</dcterms:created>
  <dcterms:modified xsi:type="dcterms:W3CDTF">2017-11-22T13:32:00Z</dcterms:modified>
</cp:coreProperties>
</file>