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33B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33B92" w:rsidP="00333B92">
            <w:pPr>
              <w:jc w:val="right"/>
            </w:pPr>
            <w:r w:rsidRPr="00333B92">
              <w:rPr>
                <w:sz w:val="40"/>
                <w:szCs w:val="40"/>
              </w:rPr>
              <w:t>ECE</w:t>
            </w:r>
            <w:r>
              <w:t>/TRANS/WP.15/AC.2/2017/45</w:t>
            </w:r>
          </w:p>
        </w:tc>
      </w:tr>
      <w:tr w:rsidR="002D5AAC" w:rsidRPr="00333B9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33B9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33B92" w:rsidRDefault="00333B92" w:rsidP="00333B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June 2017</w:t>
            </w:r>
          </w:p>
          <w:p w:rsidR="00333B92" w:rsidRDefault="00333B92" w:rsidP="00333B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33B92" w:rsidRPr="008D53B6" w:rsidRDefault="00333B92" w:rsidP="00333B9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33B92" w:rsidRPr="00333B92" w:rsidRDefault="00333B92" w:rsidP="00333B92">
      <w:pPr>
        <w:spacing w:before="120"/>
        <w:rPr>
          <w:bCs/>
          <w:sz w:val="28"/>
          <w:szCs w:val="28"/>
        </w:rPr>
      </w:pPr>
      <w:r w:rsidRPr="00333B92">
        <w:rPr>
          <w:bCs/>
          <w:sz w:val="28"/>
          <w:szCs w:val="28"/>
        </w:rPr>
        <w:t>Комитет по внутреннему транспорту</w:t>
      </w:r>
    </w:p>
    <w:p w:rsidR="00333B92" w:rsidRPr="00333B92" w:rsidRDefault="00333B92" w:rsidP="00333B92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группа по перевозкам</w:t>
      </w:r>
      <w:r w:rsidRPr="00333B92">
        <w:rPr>
          <w:b/>
          <w:bCs/>
          <w:sz w:val="24"/>
          <w:szCs w:val="24"/>
        </w:rPr>
        <w:br/>
        <w:t>опасных грузов</w:t>
      </w:r>
    </w:p>
    <w:p w:rsidR="00333B92" w:rsidRPr="00333B92" w:rsidRDefault="00333B92" w:rsidP="00333B92">
      <w:pPr>
        <w:spacing w:before="120"/>
        <w:rPr>
          <w:b/>
          <w:bCs/>
        </w:rPr>
      </w:pPr>
      <w:r w:rsidRPr="00333B92">
        <w:rPr>
          <w:b/>
          <w:bCs/>
        </w:rPr>
        <w:t>Совместное совещание экспертов по Правилам,</w:t>
      </w:r>
    </w:p>
    <w:p w:rsidR="00333B92" w:rsidRPr="00333B92" w:rsidRDefault="00333B92" w:rsidP="00333B92">
      <w:pPr>
        <w:rPr>
          <w:b/>
          <w:bCs/>
        </w:rPr>
      </w:pPr>
      <w:r w:rsidRPr="00333B92">
        <w:rPr>
          <w:b/>
          <w:bCs/>
        </w:rPr>
        <w:t>прилаг</w:t>
      </w:r>
      <w:r>
        <w:rPr>
          <w:b/>
          <w:bCs/>
        </w:rPr>
        <w:t>аемым к Европейскому соглашению</w:t>
      </w:r>
      <w:r w:rsidRPr="00333B92">
        <w:rPr>
          <w:b/>
          <w:bCs/>
        </w:rPr>
        <w:br/>
        <w:t>о междуна</w:t>
      </w:r>
      <w:r>
        <w:rPr>
          <w:b/>
          <w:bCs/>
        </w:rPr>
        <w:t>родной перевозке опасных грузов</w:t>
      </w:r>
      <w:r w:rsidRPr="00333B92">
        <w:rPr>
          <w:b/>
          <w:bCs/>
        </w:rPr>
        <w:br/>
        <w:t>по внутренним водным путям (ВОПОГ)</w:t>
      </w:r>
    </w:p>
    <w:p w:rsidR="00333B92" w:rsidRPr="00333B92" w:rsidRDefault="00333B92" w:rsidP="00333B92">
      <w:pPr>
        <w:rPr>
          <w:b/>
          <w:bCs/>
        </w:rPr>
      </w:pPr>
      <w:r w:rsidRPr="00333B92">
        <w:rPr>
          <w:b/>
          <w:bCs/>
        </w:rPr>
        <w:t>(Комитет по вопросам безопасности ВОПОГ)</w:t>
      </w:r>
    </w:p>
    <w:p w:rsidR="00333B92" w:rsidRPr="00333B92" w:rsidRDefault="00333B92" w:rsidP="00333B92">
      <w:pPr>
        <w:spacing w:before="120"/>
        <w:rPr>
          <w:b/>
          <w:bCs/>
        </w:rPr>
      </w:pPr>
      <w:r w:rsidRPr="00333B92">
        <w:rPr>
          <w:b/>
          <w:bCs/>
        </w:rPr>
        <w:t>Тридцать первая сессия</w:t>
      </w:r>
    </w:p>
    <w:p w:rsidR="00333B92" w:rsidRPr="00333B92" w:rsidRDefault="00333B92" w:rsidP="00333B92">
      <w:r>
        <w:t>Женева, 28</w:t>
      </w:r>
      <w:r w:rsidRPr="000111F8">
        <w:t>–</w:t>
      </w:r>
      <w:r w:rsidRPr="00333B92">
        <w:t>31 августа 2017 года</w:t>
      </w:r>
    </w:p>
    <w:p w:rsidR="00333B92" w:rsidRPr="00333B92" w:rsidRDefault="00333B92" w:rsidP="00333B92">
      <w:r w:rsidRPr="00333B92">
        <w:t>Пункт 4 b) предварительной повестки дня</w:t>
      </w:r>
    </w:p>
    <w:p w:rsidR="00333B92" w:rsidRPr="00333B92" w:rsidRDefault="00333B92" w:rsidP="00333B92">
      <w:pPr>
        <w:rPr>
          <w:b/>
          <w:bCs/>
        </w:rPr>
      </w:pPr>
      <w:r w:rsidRPr="00333B92">
        <w:rPr>
          <w:b/>
          <w:bCs/>
        </w:rPr>
        <w:t>Предложения</w:t>
      </w:r>
      <w:r>
        <w:rPr>
          <w:b/>
          <w:bCs/>
        </w:rPr>
        <w:t xml:space="preserve"> о внесении поправок в Правила,</w:t>
      </w:r>
      <w:r w:rsidRPr="00333B92">
        <w:rPr>
          <w:b/>
          <w:bCs/>
        </w:rPr>
        <w:br/>
        <w:t>прилагаемые к ВОПОГ: другие предложения</w:t>
      </w:r>
    </w:p>
    <w:p w:rsidR="00333B92" w:rsidRPr="00333B92" w:rsidRDefault="00333B92" w:rsidP="00333B92">
      <w:pPr>
        <w:pStyle w:val="HChGR"/>
      </w:pPr>
      <w:r w:rsidRPr="00333B92">
        <w:tab/>
      </w:r>
      <w:r w:rsidRPr="00333B92">
        <w:tab/>
      </w:r>
      <w:r>
        <w:t>С</w:t>
      </w:r>
      <w:r w:rsidRPr="00333B92">
        <w:t>истемы пожаротушения, в которых используются огнетушащие составы, образующие сухой аэрозоль – Поправки к ЕС-ТТСВП и ВОПОГ</w:t>
      </w:r>
    </w:p>
    <w:p w:rsidR="00333B92" w:rsidRPr="00333B92" w:rsidRDefault="00333B92" w:rsidP="00333B92">
      <w:pPr>
        <w:pStyle w:val="H1GR"/>
      </w:pPr>
      <w:r w:rsidRPr="00333B92">
        <w:tab/>
      </w:r>
      <w:r w:rsidRPr="00333B92">
        <w:tab/>
        <w:t>Передано прави</w:t>
      </w:r>
      <w:r>
        <w:t>тельствами Бельгии, Нидерландов</w:t>
      </w:r>
      <w:r>
        <w:br/>
      </w:r>
      <w:r w:rsidRPr="00333B92">
        <w:t>и Швейцарии</w:t>
      </w:r>
      <w:r w:rsidRPr="00333B92">
        <w:rPr>
          <w:b w:val="0"/>
          <w:position w:val="6"/>
          <w:sz w:val="18"/>
          <w:szCs w:val="18"/>
        </w:rPr>
        <w:footnoteReference w:customMarkFollows="1" w:id="1"/>
        <w:t xml:space="preserve">* </w:t>
      </w:r>
      <w:r w:rsidRPr="00333B92">
        <w:rPr>
          <w:b w:val="0"/>
          <w:position w:val="6"/>
          <w:sz w:val="18"/>
          <w:szCs w:val="18"/>
        </w:rPr>
        <w:footnoteReference w:customMarkFollows="1" w:id="2"/>
        <w:t>**</w:t>
      </w:r>
    </w:p>
    <w:p w:rsidR="00333B92" w:rsidRPr="00333B92" w:rsidRDefault="00333B92" w:rsidP="00333B92">
      <w:pPr>
        <w:pStyle w:val="HChGR"/>
        <w:rPr>
          <w:rFonts w:eastAsia="Calibri"/>
        </w:rPr>
      </w:pPr>
      <w:r w:rsidRPr="00333B92">
        <w:tab/>
        <w:t>I.</w:t>
      </w:r>
      <w:r w:rsidRPr="00333B92">
        <w:tab/>
        <w:t>Справочная информация</w:t>
      </w:r>
    </w:p>
    <w:p w:rsidR="00333B92" w:rsidRPr="00333B92" w:rsidRDefault="00333B92" w:rsidP="00333B92">
      <w:pPr>
        <w:pStyle w:val="SingleTxtGR"/>
        <w:rPr>
          <w:b/>
        </w:rPr>
      </w:pPr>
      <w:r w:rsidRPr="00333B92">
        <w:rPr>
          <w:b/>
        </w:rPr>
        <w:t>Справочная информация</w:t>
      </w:r>
    </w:p>
    <w:p w:rsidR="00333B92" w:rsidRPr="00333B92" w:rsidRDefault="00333B92" w:rsidP="00333B92">
      <w:pPr>
        <w:pStyle w:val="SingleTxtGR"/>
      </w:pPr>
      <w:r w:rsidRPr="00333B92">
        <w:t>1.</w:t>
      </w:r>
      <w:r w:rsidRPr="00333B92">
        <w:tab/>
        <w:t xml:space="preserve">Программа работы Европейского комитета по разработке стандартов в области внутреннего судоходства (КЕСНИ) предусматривает следующую задачу: </w:t>
      </w:r>
      <w:r w:rsidRPr="00333B92">
        <w:rPr>
          <w:b/>
        </w:rPr>
        <w:t>«</w:t>
      </w:r>
      <w:r w:rsidRPr="00333B92">
        <w:t>Разработка технических требований для систем, в которых используются огнетушащие составы с бикарбонатом натрия, образующие сухой аэрозоль, на основе принятых рекомендаций</w:t>
      </w:r>
      <w:r w:rsidRPr="00333B92">
        <w:rPr>
          <w:b/>
        </w:rPr>
        <w:t>»</w:t>
      </w:r>
      <w:r w:rsidRPr="00333B92">
        <w:t xml:space="preserve"> (2016-8; приоритетное направление II). В период с 2011 по 2017 год в соответствии со статьей 2.19 Правил освидетельство</w:t>
      </w:r>
      <w:r w:rsidRPr="00333B92">
        <w:lastRenderedPageBreak/>
        <w:t>вания судов на Рейне (ПОСР) Центральная комиссия судоходства по Рейну (ЦКСР) выпустила 9 рекомендаций</w:t>
      </w:r>
      <w:r w:rsidRPr="006B0B9B">
        <w:rPr>
          <w:sz w:val="18"/>
          <w:szCs w:val="18"/>
          <w:vertAlign w:val="superscript"/>
        </w:rPr>
        <w:footnoteReference w:id="3"/>
      </w:r>
      <w:r w:rsidR="006B0B9B">
        <w:t xml:space="preserve"> </w:t>
      </w:r>
      <w:r w:rsidRPr="00333B92">
        <w:t>в отношении систем такого типа.</w:t>
      </w:r>
    </w:p>
    <w:p w:rsidR="00333B92" w:rsidRPr="00333B92" w:rsidRDefault="00333B92" w:rsidP="00333B92">
      <w:pPr>
        <w:pStyle w:val="SingleTxtGR"/>
      </w:pPr>
      <w:r w:rsidRPr="00333B92">
        <w:t>2.</w:t>
      </w:r>
      <w:r w:rsidRPr="00333B92">
        <w:tab/>
        <w:t>В ходе январской сессии 2017 года</w:t>
      </w:r>
      <w:r w:rsidRPr="006B0B9B">
        <w:rPr>
          <w:sz w:val="18"/>
          <w:szCs w:val="18"/>
          <w:vertAlign w:val="superscript"/>
        </w:rPr>
        <w:footnoteReference w:id="4"/>
      </w:r>
      <w:r w:rsidR="006B0B9B">
        <w:t xml:space="preserve"> </w:t>
      </w:r>
      <w:r w:rsidRPr="00333B92">
        <w:t>Комитет по вопросам безопасности в принципе согласился разрешить использование огнетушащих составов в виде сухого аэрозоля в пунктах 9.1.0.40.2.1 и 9.3.X.40.2.1 (см. предложение, содержащееся в неофициальном документе INF.23 тридцатой сессии) при условии, что европейская директива 2014/90/EU будет указана лишь в качестве примера. Вместе с тем было отмечено, что эти огнетушащие составы не предусмотрены стандартом ЕС-ТТСВП и что существуют также некоторые различия между данным стандартом и положениями ВОПОГ об использовании других огнетушащих составов, таких как, например, CO</w:t>
      </w:r>
      <w:r w:rsidRPr="00333B92">
        <w:rPr>
          <w:vertAlign w:val="subscript"/>
        </w:rPr>
        <w:t>2</w:t>
      </w:r>
      <w:r w:rsidRPr="00333B92">
        <w:t>.</w:t>
      </w:r>
    </w:p>
    <w:p w:rsidR="00333B92" w:rsidRPr="00333B92" w:rsidRDefault="00333B92" w:rsidP="00333B92">
      <w:pPr>
        <w:pStyle w:val="HChGR"/>
      </w:pPr>
      <w:r w:rsidRPr="00333B92">
        <w:tab/>
        <w:t>II.</w:t>
      </w:r>
      <w:r w:rsidRPr="00333B92">
        <w:tab/>
        <w:t>Цели</w:t>
      </w:r>
    </w:p>
    <w:p w:rsidR="00333B92" w:rsidRPr="00333B92" w:rsidRDefault="00333B92" w:rsidP="00333B92">
      <w:pPr>
        <w:pStyle w:val="SingleTxtGR"/>
      </w:pPr>
      <w:r w:rsidRPr="00333B92">
        <w:t>3.</w:t>
      </w:r>
      <w:r w:rsidRPr="00333B92">
        <w:tab/>
        <w:t>В настоящем сообщении предлагается одновременно внести поправки в ЕС-ТТСВП и ВОПОГ в отношении систем пожаротушения, в которых используются огнетушащие составы, образующие сухой аэрозоль. В настоящем сообщении предлагается также на основе сравнительного анализа внести улучшения для обеспечения последователь</w:t>
      </w:r>
      <w:r w:rsidR="008F0462">
        <w:t>ности других положений ЕС-ТТСВП</w:t>
      </w:r>
      <w:r w:rsidR="008F0462">
        <w:br/>
      </w:r>
      <w:r w:rsidRPr="00333B92">
        <w:t>и ВОПОГ, касающихся систем пожаротушения.</w:t>
      </w:r>
    </w:p>
    <w:p w:rsidR="00333B92" w:rsidRPr="00333B92" w:rsidRDefault="00333B92" w:rsidP="00333B92">
      <w:pPr>
        <w:pStyle w:val="SingleTxtGR"/>
      </w:pPr>
      <w:r w:rsidRPr="00333B92">
        <w:t>4.</w:t>
      </w:r>
      <w:r w:rsidRPr="00333B92">
        <w:tab/>
        <w:t>Настоящее сообщение направляется одновременно Комитету по вопросам безопасности ВОПОГ и Рабочей группе КЕСНИ по техническим требованиям.</w:t>
      </w:r>
    </w:p>
    <w:p w:rsidR="00333B92" w:rsidRPr="00333B92" w:rsidRDefault="00333B92" w:rsidP="00333B92">
      <w:pPr>
        <w:pStyle w:val="HChGR"/>
      </w:pPr>
      <w:r w:rsidRPr="00333B92">
        <w:tab/>
        <w:t>III.</w:t>
      </w:r>
      <w:r w:rsidRPr="00333B92">
        <w:tab/>
        <w:t xml:space="preserve">Сравнительный анализ положений </w:t>
      </w:r>
      <w:r w:rsidR="008F0462">
        <w:t>ВОПОГ</w:t>
      </w:r>
      <w:r w:rsidR="008F0462">
        <w:br/>
      </w:r>
      <w:r w:rsidRPr="00333B92">
        <w:t>и ЕС-ТТСВП</w:t>
      </w:r>
    </w:p>
    <w:p w:rsidR="00333B92" w:rsidRPr="00333B92" w:rsidRDefault="00333B92" w:rsidP="00333B92">
      <w:pPr>
        <w:pStyle w:val="SingleTxtGR"/>
      </w:pPr>
      <w:r w:rsidRPr="00333B92">
        <w:t>5.</w:t>
      </w:r>
      <w:r w:rsidRPr="00333B92">
        <w:tab/>
        <w:t>Выводы, сделанные на основе сравнительного анализа (подробные сведения см. в приложении):</w:t>
      </w:r>
    </w:p>
    <w:p w:rsidR="00333B92" w:rsidRPr="00333B92" w:rsidRDefault="00333B92" w:rsidP="00333B92">
      <w:pPr>
        <w:pStyle w:val="SingleTxtGR"/>
      </w:pPr>
      <w:r>
        <w:tab/>
      </w:r>
      <w:r w:rsidRPr="00333B92">
        <w:t>a)</w:t>
      </w:r>
      <w:r w:rsidRPr="00333B92">
        <w:tab/>
        <w:t xml:space="preserve">начиная с издания 2017 года ЕС-ТТСВП содержит положения, касающиеся систем пожаротушения, использующих воду в качестве огнетушащего состава (см. пункт 14 статьи 13.05 ЕС-ТТСВП). Эти положения не фигурируют в ВОПОГ. В ожидании соответствующего решения Комитета по вопросам безопасности пункт 9.1.0.40.2.14 (и по аналогии 9.3.X.40.2.14) ВОПОГ может быть помечен как </w:t>
      </w:r>
      <w:r w:rsidRPr="00333B92">
        <w:rPr>
          <w:b/>
        </w:rPr>
        <w:t>«</w:t>
      </w:r>
      <w:r w:rsidRPr="00333B92">
        <w:t>Зарезервирован</w:t>
      </w:r>
      <w:r w:rsidRPr="00333B92">
        <w:rPr>
          <w:b/>
        </w:rPr>
        <w:t>»</w:t>
      </w:r>
      <w:r w:rsidRPr="00333B92">
        <w:t>. Перечен</w:t>
      </w:r>
      <w:r>
        <w:t>ь огнетушащих составов в пункте </w:t>
      </w:r>
      <w:r w:rsidRPr="00333B92">
        <w:t>9.1</w:t>
      </w:r>
      <w:r w:rsidR="006B0B9B">
        <w:t>.0.40.2.1 (и по аналогии 9.3.X.</w:t>
      </w:r>
      <w:r w:rsidRPr="00333B92">
        <w:t>40.2.1) может быть также изменен;</w:t>
      </w:r>
    </w:p>
    <w:p w:rsidR="00333B92" w:rsidRPr="00333B92" w:rsidRDefault="00333B92" w:rsidP="00333B92">
      <w:pPr>
        <w:pStyle w:val="SingleTxtGR"/>
      </w:pPr>
      <w:r>
        <w:tab/>
      </w:r>
      <w:r w:rsidRPr="00333B92">
        <w:t>b)</w:t>
      </w:r>
      <w:r w:rsidRPr="00333B92">
        <w:tab/>
        <w:t>с тем чтобы обеспечить структурную последовательность между ЕС-ТТСВП и ВОПОГ, положения, касающиеся систем пожаротушения, в которых используются огнетушащие составы, образующие сухой аэрозоль, могут быть включены в пункт 15 статьи 13.05 ЕС-ТТСВП и в пункт 9.1.0.40.2.15 (и по аналогии 9.3.X.40.2.15) ВОПОГ;</w:t>
      </w:r>
    </w:p>
    <w:p w:rsidR="00333B92" w:rsidRPr="00333B92" w:rsidRDefault="00333B92" w:rsidP="00333B92">
      <w:pPr>
        <w:pStyle w:val="SingleTxtGR"/>
      </w:pPr>
      <w:r>
        <w:tab/>
      </w:r>
      <w:r w:rsidRPr="00333B92">
        <w:t>с)</w:t>
      </w:r>
      <w:r w:rsidRPr="00333B92">
        <w:tab/>
        <w:t>с тем чтобы устранить расхождения между разными языковыми вариантами ВОПОГ и повысить его согласованность с ЕС-ТТСВП, желательно внести поправки в подпункт f) пункта 9.1.0.40.2.2 (и по аналогии 9.3.X.40.2.2) ВОПОГ;</w:t>
      </w:r>
    </w:p>
    <w:p w:rsidR="00333B92" w:rsidRPr="00333B92" w:rsidRDefault="00333B92" w:rsidP="00333B92">
      <w:pPr>
        <w:pStyle w:val="SingleTxtGR"/>
      </w:pPr>
      <w:r>
        <w:tab/>
      </w:r>
      <w:r w:rsidRPr="00333B92">
        <w:t>d)</w:t>
      </w:r>
      <w:r w:rsidRPr="00333B92">
        <w:tab/>
        <w:t>с тем чтобы повысить согласованность с ВОПОГ (</w:t>
      </w:r>
      <w:r>
        <w:t>пункт </w:t>
      </w:r>
      <w:r w:rsidRPr="00333B92">
        <w:t>9.1.0.40.2.7), Рабочая группа КЕСНИ могла бы рассмотреть возможность внесения соответствующей поправки в пункт 7 статьи 13.05 (см. CESNI/PT (16)m 51, пункт 3.3).</w:t>
      </w:r>
    </w:p>
    <w:p w:rsidR="00333B92" w:rsidRPr="00333B92" w:rsidRDefault="00333B92" w:rsidP="00333B92">
      <w:pPr>
        <w:pStyle w:val="SingleTxtGR"/>
      </w:pPr>
      <w:r w:rsidRPr="00333B92">
        <w:lastRenderedPageBreak/>
        <w:t>6.</w:t>
      </w:r>
      <w:r w:rsidRPr="00333B92">
        <w:tab/>
        <w:t>В свете выводов, изложенных выше, в части V настоящего сообщения приведены предлагаемые поправки к ЕС-ТТСВП и ВОПОГ.</w:t>
      </w:r>
    </w:p>
    <w:p w:rsidR="00333B92" w:rsidRPr="00333B92" w:rsidRDefault="00333B92" w:rsidP="00333B92">
      <w:pPr>
        <w:pStyle w:val="HChGR"/>
      </w:pPr>
      <w:r w:rsidRPr="00333B92">
        <w:tab/>
        <w:t>IV.</w:t>
      </w:r>
      <w:r w:rsidRPr="00333B92">
        <w:tab/>
        <w:t>Предварительные пояснения к поправкам</w:t>
      </w:r>
    </w:p>
    <w:p w:rsidR="00333B92" w:rsidRPr="00333B92" w:rsidRDefault="00333B92" w:rsidP="008F0462">
      <w:pPr>
        <w:pStyle w:val="SingleTxtGR"/>
        <w:spacing w:after="100"/>
      </w:pPr>
      <w:r w:rsidRPr="00333B92">
        <w:t>7.</w:t>
      </w:r>
      <w:r w:rsidRPr="00333B92">
        <w:tab/>
        <w:t>В девяти рекомендациях, выпущенных ЦКСР, делается ссылка на официальное утверждение типа в соответствии с европейской директивой по морскому оборудованию (директива 2014/90/EU, заменяющая директиву 96/98/EC). Эта ссылка была предложена Бельгией и Нидерландами в неофициальном документе INF.23 тридцатой сессии. Однако Комитет по вопросам безопасности ВОПОГ решил, что европейская директива 2014/90/EU должна быть указана лишь в качестве примера.</w:t>
      </w:r>
    </w:p>
    <w:p w:rsidR="00333B92" w:rsidRPr="00333B92" w:rsidRDefault="00333B92" w:rsidP="008F0462">
      <w:pPr>
        <w:pStyle w:val="SingleTxtGR"/>
        <w:spacing w:after="100"/>
      </w:pPr>
      <w:r w:rsidRPr="00333B92">
        <w:t>8.</w:t>
      </w:r>
      <w:r w:rsidRPr="00333B92">
        <w:tab/>
        <w:t>На практике эти системы, как правило, имеют свидетельство об официальном утверждении типа в соответствии с циркулярным письмом MSC/</w:t>
      </w:r>
      <w:r>
        <w:t xml:space="preserve"> </w:t>
      </w:r>
      <w:r w:rsidRPr="00333B92">
        <w:t>Circ.1270 ИМО. Кроме того, ссылки на публикации ИМО уже есть в тек</w:t>
      </w:r>
      <w:r>
        <w:t>сте</w:t>
      </w:r>
      <w:r>
        <w:br/>
      </w:r>
      <w:r w:rsidRPr="00333B92">
        <w:t>ЕС-ТТСВП (например, в пункте 14 статьи 13.05) и ВОПОГ (в пункте 9.2.0.94.4).</w:t>
      </w:r>
    </w:p>
    <w:p w:rsidR="00333B92" w:rsidRPr="00333B92" w:rsidRDefault="00333B92" w:rsidP="008F0462">
      <w:pPr>
        <w:pStyle w:val="SingleTxtGR"/>
        <w:spacing w:after="100"/>
      </w:pPr>
      <w:r w:rsidRPr="00333B92">
        <w:t>9.</w:t>
      </w:r>
      <w:r w:rsidRPr="00333B92">
        <w:tab/>
        <w:t>Таким образом, представляется целесообразным включить ссылку на циркулярное письмо MSC/Circ.1270 ИМО в положения об официальном утверждении типа систем пожаротушения, в которых используются огнетушащие составы, образующие сухой аэрозоль. Это решение отражено в предлагаемой поправке, приведенной в части V настоящего сообщения.</w:t>
      </w:r>
    </w:p>
    <w:p w:rsidR="00333B92" w:rsidRPr="00333B92" w:rsidRDefault="00333B92" w:rsidP="00333B92">
      <w:pPr>
        <w:pStyle w:val="HChGR"/>
      </w:pPr>
      <w:r w:rsidRPr="00333B92">
        <w:tab/>
        <w:t>V.</w:t>
      </w:r>
      <w:r w:rsidRPr="00333B92">
        <w:tab/>
        <w:t>Предлагаемые поправки</w:t>
      </w:r>
    </w:p>
    <w:p w:rsidR="00333B92" w:rsidRPr="00333B92" w:rsidRDefault="00333B92" w:rsidP="00333B92">
      <w:pPr>
        <w:pStyle w:val="H1GR"/>
      </w:pPr>
      <w:r w:rsidRPr="00333B92">
        <w:tab/>
      </w:r>
      <w:r w:rsidRPr="00333B92">
        <w:tab/>
        <w:t>Поправка к ВОПОГ</w:t>
      </w:r>
    </w:p>
    <w:p w:rsidR="00333B92" w:rsidRPr="00333B92" w:rsidRDefault="00333B92" w:rsidP="008F0462">
      <w:pPr>
        <w:pStyle w:val="SingleTxtGR"/>
        <w:spacing w:after="100"/>
        <w:rPr>
          <w:i/>
        </w:rPr>
      </w:pPr>
      <w:r w:rsidRPr="00333B92">
        <w:rPr>
          <w:i/>
        </w:rPr>
        <w:t>9.1.0.40.2.1</w:t>
      </w:r>
      <w:r w:rsidRPr="00333B92">
        <w:rPr>
          <w:i/>
        </w:rPr>
        <w:tab/>
        <w:t>Включить новый подпункт e) и новый подпункт f) следующего содержания:</w:t>
      </w:r>
    </w:p>
    <w:p w:rsidR="00333B92" w:rsidRPr="00333B92" w:rsidRDefault="00333B92" w:rsidP="008F0462">
      <w:pPr>
        <w:pStyle w:val="SingleTxtGR"/>
        <w:spacing w:after="100"/>
        <w:rPr>
          <w:b/>
          <w:bCs/>
        </w:rPr>
      </w:pPr>
      <w:r>
        <w:rPr>
          <w:b/>
          <w:bCs/>
        </w:rPr>
        <w:t>«</w:t>
      </w:r>
      <w:r w:rsidRPr="00333B92">
        <w:rPr>
          <w:b/>
          <w:bCs/>
        </w:rPr>
        <w:t>e)</w:t>
      </w:r>
      <w:r w:rsidRPr="00333B92">
        <w:rPr>
          <w:b/>
          <w:bCs/>
        </w:rPr>
        <w:tab/>
        <w:t>(Зарезервирован);</w:t>
      </w:r>
    </w:p>
    <w:p w:rsidR="00333B92" w:rsidRPr="00333B92" w:rsidRDefault="00333B92" w:rsidP="008F0462">
      <w:pPr>
        <w:pStyle w:val="SingleTxtGR"/>
        <w:spacing w:after="100"/>
        <w:rPr>
          <w:b/>
          <w:bCs/>
        </w:rPr>
      </w:pPr>
      <w:r w:rsidRPr="00333B92">
        <w:rPr>
          <w:b/>
          <w:bCs/>
        </w:rPr>
        <w:t>f)</w:t>
      </w:r>
      <w:r w:rsidRPr="00333B92">
        <w:rPr>
          <w:b/>
          <w:bCs/>
        </w:rPr>
        <w:tab/>
        <w:t>K</w:t>
      </w:r>
      <w:r w:rsidRPr="00333B92">
        <w:rPr>
          <w:b/>
          <w:bCs/>
          <w:vertAlign w:val="subscript"/>
        </w:rPr>
        <w:t>2</w:t>
      </w:r>
      <w:r w:rsidRPr="00333B92">
        <w:rPr>
          <w:b/>
          <w:bCs/>
        </w:rPr>
        <w:t>CO</w:t>
      </w:r>
      <w:r w:rsidRPr="00333B92">
        <w:rPr>
          <w:b/>
          <w:bCs/>
          <w:vertAlign w:val="subscript"/>
        </w:rPr>
        <w:t>3</w:t>
      </w:r>
      <w:r w:rsidRPr="00333B92">
        <w:rPr>
          <w:b/>
          <w:bCs/>
        </w:rPr>
        <w:t>, образующий сухой аэрозоль».</w:t>
      </w:r>
    </w:p>
    <w:p w:rsidR="00333B92" w:rsidRPr="00333B92" w:rsidRDefault="00333B92" w:rsidP="006B0B9B">
      <w:pPr>
        <w:pStyle w:val="SingleTxtGR"/>
        <w:tabs>
          <w:tab w:val="clear" w:pos="2835"/>
          <w:tab w:val="left" w:pos="2702"/>
        </w:tabs>
        <w:spacing w:after="100"/>
        <w:rPr>
          <w:i/>
        </w:rPr>
      </w:pPr>
      <w:r w:rsidRPr="00333B92">
        <w:rPr>
          <w:i/>
        </w:rPr>
        <w:t>9.1.0.40.2.2 f)</w:t>
      </w:r>
      <w:r w:rsidRPr="00333B92">
        <w:rPr>
          <w:i/>
        </w:rPr>
        <w:tab/>
        <w:t>Изменить следующим образом:</w:t>
      </w:r>
    </w:p>
    <w:p w:rsidR="00333B92" w:rsidRPr="00333B92" w:rsidRDefault="00333B92" w:rsidP="008F0462">
      <w:pPr>
        <w:pStyle w:val="SingleTxtGR"/>
        <w:spacing w:after="100"/>
      </w:pPr>
      <w:r w:rsidRPr="00333B92">
        <w:rPr>
          <w:b/>
        </w:rPr>
        <w:t>«</w:t>
      </w:r>
      <w:r w:rsidRPr="00333B92">
        <w:t>f)</w:t>
      </w:r>
      <w:r w:rsidRPr="00333B92">
        <w:tab/>
        <w:t xml:space="preserve">Защищаемые помещения должны </w:t>
      </w:r>
      <w:r w:rsidRPr="00333B92">
        <w:rPr>
          <w:b/>
          <w:bCs/>
        </w:rPr>
        <w:t>быть оснащены оборудованием для извлечения огнетушащего состава и горючих газов. Должна быть предусмотрена возможность управления таким оборудованием из мест, которые расположены вне защищаемых помещений и которые не должны оказаться недоступными вследствие пожара в таких местах.</w:t>
      </w:r>
      <w:r w:rsidRPr="00333B92">
        <w:t xml:space="preserve"> В случае наличия стационарных вытяжных устройств необходимо исключить возможность их включения во время тушения пожара.</w:t>
      </w:r>
      <w:r w:rsidRPr="00333B92">
        <w:rPr>
          <w:b/>
        </w:rPr>
        <w:t>»</w:t>
      </w:r>
      <w:r w:rsidRPr="00333B92">
        <w:t>.</w:t>
      </w:r>
    </w:p>
    <w:p w:rsidR="00333B92" w:rsidRPr="00333B92" w:rsidRDefault="00333B92" w:rsidP="008F0462">
      <w:pPr>
        <w:pStyle w:val="SingleTxtGR"/>
        <w:spacing w:after="100"/>
        <w:rPr>
          <w:i/>
        </w:rPr>
      </w:pPr>
      <w:r w:rsidRPr="00333B92">
        <w:rPr>
          <w:i/>
        </w:rPr>
        <w:t>9.1.0.40.2</w:t>
      </w:r>
      <w:r w:rsidRPr="00333B92">
        <w:rPr>
          <w:i/>
        </w:rPr>
        <w:tab/>
        <w:t>Добавить новый пункт 9.1.0.40.2.14 следующего содержания:</w:t>
      </w:r>
    </w:p>
    <w:p w:rsidR="00333B92" w:rsidRPr="00333B92" w:rsidRDefault="00C97F7F" w:rsidP="006B0B9B">
      <w:pPr>
        <w:pStyle w:val="SingleTxtGR"/>
        <w:tabs>
          <w:tab w:val="clear" w:pos="2835"/>
          <w:tab w:val="left" w:pos="2702"/>
        </w:tabs>
        <w:spacing w:after="100"/>
        <w:rPr>
          <w:b/>
          <w:bCs/>
          <w:i/>
        </w:rPr>
      </w:pPr>
      <w:r>
        <w:rPr>
          <w:b/>
          <w:bCs/>
        </w:rPr>
        <w:t>«9.1.0.40.2.14</w:t>
      </w:r>
      <w:r w:rsidR="00333B92" w:rsidRPr="00333B92">
        <w:rPr>
          <w:b/>
          <w:bCs/>
        </w:rPr>
        <w:tab/>
      </w:r>
      <w:r w:rsidR="00333B92" w:rsidRPr="00333B92">
        <w:rPr>
          <w:b/>
          <w:bCs/>
          <w:i/>
          <w:iCs/>
        </w:rPr>
        <w:t>(Зарезервирован)</w:t>
      </w:r>
      <w:r w:rsidR="00333B92" w:rsidRPr="00C97F7F">
        <w:rPr>
          <w:b/>
          <w:bCs/>
          <w:iCs/>
        </w:rPr>
        <w:t>»</w:t>
      </w:r>
    </w:p>
    <w:p w:rsidR="00333B92" w:rsidRPr="00333B92" w:rsidRDefault="00333B92" w:rsidP="008F0462">
      <w:pPr>
        <w:pStyle w:val="SingleTxtGR"/>
        <w:spacing w:after="100"/>
        <w:rPr>
          <w:i/>
        </w:rPr>
      </w:pPr>
      <w:r w:rsidRPr="00333B92">
        <w:rPr>
          <w:i/>
        </w:rPr>
        <w:t>9.1.0.40.2</w:t>
      </w:r>
      <w:r w:rsidRPr="00333B92">
        <w:rPr>
          <w:i/>
        </w:rPr>
        <w:tab/>
        <w:t>Добавить новый пункт 9.1.0.40.2.15 следующего содержания:</w:t>
      </w:r>
    </w:p>
    <w:p w:rsidR="00333B92" w:rsidRPr="00333B92" w:rsidRDefault="00333B92" w:rsidP="008F0462">
      <w:pPr>
        <w:pStyle w:val="SingleTxtGR"/>
        <w:spacing w:after="100"/>
      </w:pPr>
      <w:r w:rsidRPr="00333B92">
        <w:rPr>
          <w:b/>
        </w:rPr>
        <w:t>«</w:t>
      </w:r>
      <w:r w:rsidRPr="00333B92">
        <w:t xml:space="preserve">9.1.0.40.2.15 </w:t>
      </w:r>
      <w:r w:rsidRPr="00333B92">
        <w:rPr>
          <w:b/>
          <w:bCs/>
        </w:rPr>
        <w:t>Системы пожаротушения, использующие в качестве огнетушащего состава K</w:t>
      </w:r>
      <w:r w:rsidRPr="00333B92">
        <w:rPr>
          <w:b/>
          <w:bCs/>
          <w:vertAlign w:val="subscript"/>
        </w:rPr>
        <w:t>2</w:t>
      </w:r>
      <w:r w:rsidRPr="00333B92">
        <w:rPr>
          <w:b/>
          <w:bCs/>
        </w:rPr>
        <w:t>CO</w:t>
      </w:r>
      <w:r w:rsidRPr="00333B92">
        <w:rPr>
          <w:b/>
          <w:bCs/>
          <w:vertAlign w:val="subscript"/>
        </w:rPr>
        <w:t>3</w:t>
      </w:r>
      <w:r w:rsidRPr="00333B92">
        <w:rPr>
          <w:b/>
          <w:bCs/>
        </w:rPr>
        <w:t>, образующий сухой аэрозоль</w:t>
      </w:r>
    </w:p>
    <w:p w:rsidR="00333B92" w:rsidRPr="00333B92" w:rsidRDefault="00333B92" w:rsidP="008F0462">
      <w:pPr>
        <w:pStyle w:val="SingleTxtGR"/>
        <w:spacing w:after="100"/>
        <w:rPr>
          <w:b/>
          <w:bCs/>
        </w:rPr>
      </w:pPr>
      <w:r w:rsidRPr="00333B92">
        <w:rPr>
          <w:b/>
          <w:bCs/>
        </w:rPr>
        <w:t>Помимо требований, изложенных в пунктах 9.1.0.40.2.1</w:t>
      </w:r>
      <w:r w:rsidR="00C97F7F">
        <w:rPr>
          <w:b/>
          <w:bCs/>
        </w:rPr>
        <w:t>–</w:t>
      </w:r>
      <w:r w:rsidRPr="00333B92">
        <w:rPr>
          <w:b/>
          <w:bCs/>
        </w:rPr>
        <w:t>9.1.0.40.2.3, 9.1.0.40.2.5, 9.1.0.40.2.6 и 9.1.0.40.2.9, системы пожаротушения, использующие в качестве огнетушащего состава K</w:t>
      </w:r>
      <w:r w:rsidRPr="00333B92">
        <w:rPr>
          <w:b/>
          <w:bCs/>
          <w:vertAlign w:val="subscript"/>
        </w:rPr>
        <w:t>2</w:t>
      </w:r>
      <w:r w:rsidRPr="00333B92">
        <w:rPr>
          <w:b/>
          <w:bCs/>
        </w:rPr>
        <w:t>CO</w:t>
      </w:r>
      <w:r w:rsidRPr="00333B92">
        <w:rPr>
          <w:b/>
          <w:bCs/>
          <w:vertAlign w:val="subscript"/>
        </w:rPr>
        <w:t>3</w:t>
      </w:r>
      <w:r w:rsidRPr="00333B92">
        <w:rPr>
          <w:b/>
          <w:bCs/>
        </w:rPr>
        <w:t>, образующий сухой аэрозоль, должны отвечать следующим предписаниям:</w:t>
      </w:r>
    </w:p>
    <w:p w:rsidR="00333B92" w:rsidRPr="00333B92" w:rsidRDefault="00333B92" w:rsidP="008F0462">
      <w:pPr>
        <w:pStyle w:val="SingleTxtGR"/>
        <w:spacing w:after="100"/>
        <w:ind w:left="1701" w:hanging="567"/>
        <w:rPr>
          <w:b/>
          <w:bCs/>
        </w:rPr>
      </w:pPr>
      <w:r w:rsidRPr="00333B92">
        <w:rPr>
          <w:b/>
          <w:bCs/>
        </w:rPr>
        <w:lastRenderedPageBreak/>
        <w:t>a)</w:t>
      </w:r>
      <w:r w:rsidRPr="00333B92">
        <w:rPr>
          <w:b/>
          <w:bCs/>
        </w:rPr>
        <w:tab/>
        <w:t>системы пожаротушения должны иметь официальное утверждение типа в соответствии с MSC/Circ. 1270</w:t>
      </w:r>
      <w:r w:rsidRPr="006B0B9B">
        <w:rPr>
          <w:b/>
          <w:bCs/>
          <w:sz w:val="18"/>
          <w:szCs w:val="18"/>
          <w:vertAlign w:val="superscript"/>
        </w:rPr>
        <w:footnoteReference w:id="5"/>
      </w:r>
      <w:r w:rsidR="00C97F7F">
        <w:rPr>
          <w:b/>
          <w:bCs/>
        </w:rPr>
        <w:t>;</w:t>
      </w:r>
    </w:p>
    <w:p w:rsidR="00333B92" w:rsidRPr="00333B92" w:rsidRDefault="00333B92" w:rsidP="00C97F7F">
      <w:pPr>
        <w:pStyle w:val="SingleTxtGR"/>
        <w:ind w:left="1701" w:hanging="567"/>
        <w:rPr>
          <w:b/>
          <w:bCs/>
        </w:rPr>
      </w:pPr>
      <w:r w:rsidRPr="00333B92">
        <w:rPr>
          <w:b/>
          <w:bCs/>
        </w:rPr>
        <w:t>b)</w:t>
      </w:r>
      <w:r w:rsidRPr="00333B92">
        <w:rPr>
          <w:b/>
          <w:bCs/>
        </w:rPr>
        <w:tab/>
        <w:t>каждое помещение должно быть оборудовано собственной системой пожаротушения;</w:t>
      </w:r>
    </w:p>
    <w:p w:rsidR="00333B92" w:rsidRPr="00333B92" w:rsidRDefault="00333B92" w:rsidP="00C97F7F">
      <w:pPr>
        <w:pStyle w:val="SingleTxtGR"/>
        <w:ind w:left="1701" w:hanging="567"/>
        <w:rPr>
          <w:b/>
          <w:bCs/>
        </w:rPr>
      </w:pPr>
      <w:r w:rsidRPr="00333B92">
        <w:rPr>
          <w:b/>
          <w:bCs/>
        </w:rPr>
        <w:t>с)</w:t>
      </w:r>
      <w:r w:rsidRPr="00333B92">
        <w:rPr>
          <w:b/>
          <w:bCs/>
        </w:rPr>
        <w:tab/>
        <w:t>огнетушащий состав, образующий сухой аэрозоль, хранится в защищаемых помещениях, в специально предусмотренных негерметичных резервуарах; эти резервуары должны быть установлены таким образом, чтобы огнетушащий с</w:t>
      </w:r>
      <w:r w:rsidR="006B0B9B">
        <w:rPr>
          <w:b/>
          <w:bCs/>
        </w:rPr>
        <w:t>остав распределялся равномерно;</w:t>
      </w:r>
      <w:r w:rsidR="006B0B9B">
        <w:rPr>
          <w:b/>
          <w:bCs/>
        </w:rPr>
        <w:br/>
      </w:r>
      <w:r w:rsidRPr="00333B92">
        <w:rPr>
          <w:b/>
          <w:bCs/>
        </w:rPr>
        <w:t>в частности, огнетушащий состав должен также действовать под настилом палубы;</w:t>
      </w:r>
    </w:p>
    <w:p w:rsidR="00333B92" w:rsidRPr="00333B92" w:rsidRDefault="00333B92" w:rsidP="00C97F7F">
      <w:pPr>
        <w:pStyle w:val="SingleTxtGR"/>
        <w:ind w:left="1701" w:hanging="567"/>
        <w:rPr>
          <w:b/>
          <w:bCs/>
        </w:rPr>
      </w:pPr>
      <w:r w:rsidRPr="00333B92">
        <w:rPr>
          <w:b/>
          <w:bCs/>
        </w:rPr>
        <w:t>d)</w:t>
      </w:r>
      <w:r w:rsidRPr="00333B92">
        <w:rPr>
          <w:b/>
          <w:bCs/>
        </w:rPr>
        <w:tab/>
        <w:t>включение системы пожаротушения должно происходить с помощью электрического устройства у</w:t>
      </w:r>
      <w:r w:rsidR="00C97F7F">
        <w:rPr>
          <w:b/>
          <w:bCs/>
        </w:rPr>
        <w:t>правления, упомянутого в пункте </w:t>
      </w:r>
      <w:r w:rsidR="00F760E7">
        <w:rPr>
          <w:b/>
          <w:bCs/>
        </w:rPr>
        <w:t>9.1.0.40.2.15 </w:t>
      </w:r>
      <w:r w:rsidRPr="00333B92">
        <w:rPr>
          <w:b/>
          <w:bCs/>
        </w:rPr>
        <w:t>с); каждый резервуар подключается к устройству включения по отдельности;</w:t>
      </w:r>
    </w:p>
    <w:p w:rsidR="00333B92" w:rsidRPr="00C97F7F" w:rsidRDefault="00333B92" w:rsidP="00C97F7F">
      <w:pPr>
        <w:pStyle w:val="SingleTxtGR"/>
        <w:ind w:left="1701" w:hanging="567"/>
        <w:rPr>
          <w:bCs/>
        </w:rPr>
      </w:pPr>
      <w:r w:rsidRPr="00333B92">
        <w:rPr>
          <w:b/>
          <w:bCs/>
        </w:rPr>
        <w:t>e)</w:t>
      </w:r>
      <w:r w:rsidRPr="00333B92">
        <w:rPr>
          <w:b/>
          <w:bCs/>
        </w:rPr>
        <w:tab/>
        <w:t>количество огнетушащего соста</w:t>
      </w:r>
      <w:r w:rsidR="00FF73BA">
        <w:rPr>
          <w:b/>
          <w:bCs/>
        </w:rPr>
        <w:t>ва, образующего сухой аэрозоль,</w:t>
      </w:r>
      <w:r w:rsidR="00FF73BA">
        <w:rPr>
          <w:b/>
          <w:bCs/>
        </w:rPr>
        <w:br/>
      </w:r>
      <w:r w:rsidRPr="00333B92">
        <w:rPr>
          <w:b/>
          <w:bCs/>
        </w:rPr>
        <w:t>в отношении к общему объему защищаемого помещения должно составлять не менее 120 г на м</w:t>
      </w:r>
      <w:r w:rsidRPr="00333B92">
        <w:rPr>
          <w:b/>
          <w:bCs/>
          <w:vertAlign w:val="superscript"/>
        </w:rPr>
        <w:t>3</w:t>
      </w:r>
      <w:r w:rsidRPr="00333B92">
        <w:rPr>
          <w:b/>
          <w:bCs/>
        </w:rPr>
        <w:t>;</w:t>
      </w:r>
      <w:r w:rsidR="006B0B9B">
        <w:rPr>
          <w:b/>
          <w:bCs/>
        </w:rPr>
        <w:t xml:space="preserve"> и</w:t>
      </w:r>
    </w:p>
    <w:p w:rsidR="00333B92" w:rsidRPr="00333B92" w:rsidRDefault="00333B92" w:rsidP="00C97F7F">
      <w:pPr>
        <w:pStyle w:val="SingleTxtGR"/>
        <w:ind w:left="1701" w:hanging="567"/>
        <w:rPr>
          <w:b/>
          <w:bCs/>
        </w:rPr>
      </w:pPr>
      <w:r w:rsidRPr="00333B92">
        <w:rPr>
          <w:b/>
          <w:bCs/>
        </w:rPr>
        <w:t>f)</w:t>
      </w:r>
      <w:r w:rsidRPr="00333B92">
        <w:rPr>
          <w:b/>
          <w:bCs/>
        </w:rPr>
        <w:tab/>
        <w:t>резервуары с огнетушащим с</w:t>
      </w:r>
      <w:r w:rsidR="00FF73BA">
        <w:rPr>
          <w:b/>
          <w:bCs/>
        </w:rPr>
        <w:t>оставом должны заменяться через</w:t>
      </w:r>
      <w:r w:rsidR="00FF73BA">
        <w:rPr>
          <w:b/>
          <w:bCs/>
        </w:rPr>
        <w:br/>
      </w:r>
      <w:r w:rsidRPr="00333B92">
        <w:rPr>
          <w:b/>
          <w:bCs/>
        </w:rPr>
        <w:t>15 лет; батареи аварийной системы электропитания должны заменяться не более чем через 6 лет.».</w:t>
      </w:r>
    </w:p>
    <w:p w:rsidR="00333B92" w:rsidRPr="00C97F7F" w:rsidRDefault="00333B92" w:rsidP="00F760E7">
      <w:pPr>
        <w:pStyle w:val="SingleTxtGR"/>
        <w:jc w:val="left"/>
        <w:rPr>
          <w:sz w:val="18"/>
          <w:szCs w:val="18"/>
        </w:rPr>
      </w:pPr>
      <w:r w:rsidRPr="00C97F7F">
        <w:rPr>
          <w:i/>
          <w:iCs/>
          <w:sz w:val="18"/>
          <w:szCs w:val="18"/>
        </w:rPr>
        <w:t>Примечание:</w:t>
      </w:r>
      <w:r w:rsidR="00C97F7F">
        <w:rPr>
          <w:sz w:val="18"/>
          <w:szCs w:val="18"/>
        </w:rPr>
        <w:t> </w:t>
      </w:r>
      <w:r w:rsidRPr="00C97F7F">
        <w:rPr>
          <w:sz w:val="18"/>
          <w:szCs w:val="18"/>
        </w:rPr>
        <w:t>Аналогичные поправки необходимо внести в пункты 9.3.X.40.2.X ВОПОГ.</w:t>
      </w:r>
    </w:p>
    <w:p w:rsidR="00333B92" w:rsidRPr="00333B92" w:rsidRDefault="00333B92" w:rsidP="006B0B9B">
      <w:pPr>
        <w:pStyle w:val="HChGR"/>
        <w:pageBreakBefore/>
        <w:spacing w:before="240"/>
      </w:pPr>
      <w:r w:rsidRPr="00333B92">
        <w:lastRenderedPageBreak/>
        <w:t>Приложение</w:t>
      </w:r>
    </w:p>
    <w:p w:rsidR="00333B92" w:rsidRPr="00C97F7F" w:rsidRDefault="00333B92" w:rsidP="006B0B9B">
      <w:pPr>
        <w:pStyle w:val="SingleTxtGR"/>
        <w:jc w:val="left"/>
        <w:rPr>
          <w:sz w:val="18"/>
          <w:szCs w:val="18"/>
        </w:rPr>
      </w:pPr>
      <w:r w:rsidRPr="00C97F7F">
        <w:rPr>
          <w:i/>
          <w:iCs/>
          <w:sz w:val="18"/>
          <w:szCs w:val="18"/>
        </w:rPr>
        <w:t>Примечание:</w:t>
      </w:r>
      <w:r w:rsidR="00F760E7">
        <w:rPr>
          <w:sz w:val="18"/>
          <w:szCs w:val="18"/>
        </w:rPr>
        <w:t> </w:t>
      </w:r>
      <w:r w:rsidRPr="00C97F7F">
        <w:rPr>
          <w:sz w:val="18"/>
          <w:szCs w:val="18"/>
        </w:rPr>
        <w:t>Аналогичные замечания могут быть сделаны в отношении</w:t>
      </w:r>
      <w:r w:rsidR="006B0B9B">
        <w:rPr>
          <w:sz w:val="18"/>
          <w:szCs w:val="18"/>
        </w:rPr>
        <w:br/>
      </w:r>
      <w:r w:rsidRPr="00C97F7F">
        <w:rPr>
          <w:sz w:val="18"/>
          <w:szCs w:val="18"/>
        </w:rPr>
        <w:t>пунк</w:t>
      </w:r>
      <w:r w:rsidR="00C97F7F">
        <w:rPr>
          <w:sz w:val="18"/>
          <w:szCs w:val="18"/>
        </w:rPr>
        <w:t>тов </w:t>
      </w:r>
      <w:r w:rsidRPr="00C97F7F">
        <w:rPr>
          <w:sz w:val="18"/>
          <w:szCs w:val="18"/>
        </w:rPr>
        <w:t>9.3.X.40.2.X ВОПОГ.</w:t>
      </w:r>
    </w:p>
    <w:tbl>
      <w:tblPr>
        <w:tblStyle w:val="TableGrid"/>
        <w:tblW w:w="9639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288"/>
        <w:gridCol w:w="6811"/>
      </w:tblGrid>
      <w:tr w:rsidR="00333B92" w:rsidRPr="00C97F7F" w:rsidTr="00C97F7F">
        <w:trPr>
          <w:tblHeader/>
        </w:trPr>
        <w:tc>
          <w:tcPr>
            <w:tcW w:w="1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33B92" w:rsidRPr="006B0B9B" w:rsidRDefault="00C97F7F" w:rsidP="00C97F7F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ВОПОГ</w:t>
            </w:r>
            <w:r>
              <w:rPr>
                <w:i/>
                <w:iCs/>
                <w:sz w:val="16"/>
                <w:szCs w:val="16"/>
              </w:rPr>
              <w:br/>
            </w:r>
            <w:r w:rsidR="00333B92" w:rsidRPr="00C97F7F">
              <w:rPr>
                <w:i/>
                <w:iCs/>
                <w:sz w:val="16"/>
                <w:szCs w:val="16"/>
              </w:rPr>
              <w:t>2017 года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33B92" w:rsidRPr="00C97F7F" w:rsidRDefault="00C97F7F" w:rsidP="00C97F7F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ЕС-ТТСВП</w:t>
            </w:r>
            <w:r>
              <w:rPr>
                <w:i/>
                <w:iCs/>
                <w:sz w:val="16"/>
                <w:szCs w:val="16"/>
              </w:rPr>
              <w:br/>
            </w:r>
            <w:r w:rsidR="00333B92" w:rsidRPr="00C97F7F">
              <w:rPr>
                <w:i/>
                <w:iCs/>
                <w:sz w:val="16"/>
                <w:szCs w:val="16"/>
              </w:rPr>
              <w:t>2017 года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33B92" w:rsidRPr="00C97F7F" w:rsidRDefault="00333B92" w:rsidP="00C97F7F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iCs/>
                <w:sz w:val="16"/>
                <w:szCs w:val="16"/>
              </w:rPr>
            </w:pPr>
            <w:r w:rsidRPr="00C97F7F">
              <w:rPr>
                <w:i/>
                <w:iCs/>
                <w:sz w:val="16"/>
                <w:szCs w:val="16"/>
              </w:rPr>
              <w:t>Пояснение</w:t>
            </w:r>
          </w:p>
        </w:tc>
      </w:tr>
      <w:tr w:rsidR="00C97F7F" w:rsidRPr="00333B92" w:rsidTr="00C97F7F">
        <w:trPr>
          <w:trHeight w:val="798"/>
        </w:trPr>
        <w:tc>
          <w:tcPr>
            <w:tcW w:w="1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97F7F" w:rsidRPr="00C97F7F" w:rsidRDefault="00C97F7F" w:rsidP="006B0B9B">
            <w:pPr>
              <w:pStyle w:val="SingleTxtGR"/>
              <w:spacing w:before="120" w:line="220" w:lineRule="exact"/>
              <w:ind w:left="0" w:right="0"/>
            </w:pPr>
            <w:r w:rsidRPr="00333B92">
              <w:t>9.1.0.40.2.1</w:t>
            </w:r>
          </w:p>
        </w:tc>
        <w:tc>
          <w:tcPr>
            <w:tcW w:w="12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97F7F" w:rsidRPr="00C97F7F" w:rsidRDefault="00C97F7F" w:rsidP="006B0B9B">
            <w:pPr>
              <w:pStyle w:val="SingleTxtGR"/>
              <w:spacing w:before="120" w:line="220" w:lineRule="exact"/>
              <w:ind w:left="0" w:right="0"/>
            </w:pPr>
            <w:r w:rsidRPr="00333B92">
              <w:t>13.05(1)</w:t>
            </w:r>
          </w:p>
        </w:tc>
        <w:tc>
          <w:tcPr>
            <w:tcW w:w="681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97F7F" w:rsidRPr="00333B92" w:rsidRDefault="00C97F7F" w:rsidP="006B0B9B">
            <w:pPr>
              <w:pStyle w:val="SingleTxtGR"/>
              <w:spacing w:before="120" w:line="220" w:lineRule="exact"/>
              <w:ind w:left="0" w:right="0"/>
              <w:jc w:val="left"/>
            </w:pPr>
            <w:r w:rsidRPr="00333B92">
              <w:t>Перечень огнетушащих составов для стационарных систем противопожарной защиты машинных и котельных отделений и насосных помещений.</w:t>
            </w:r>
          </w:p>
        </w:tc>
      </w:tr>
      <w:tr w:rsidR="00C97F7F" w:rsidRPr="00333B92" w:rsidTr="00C97F7F">
        <w:trPr>
          <w:trHeight w:val="798"/>
        </w:trPr>
        <w:tc>
          <w:tcPr>
            <w:tcW w:w="1540" w:type="dxa"/>
            <w:vMerge/>
            <w:shd w:val="clear" w:color="auto" w:fill="auto"/>
          </w:tcPr>
          <w:p w:rsidR="00C97F7F" w:rsidRPr="00333B92" w:rsidRDefault="00C97F7F" w:rsidP="00C97F7F">
            <w:pPr>
              <w:pStyle w:val="SingleTxtGR"/>
              <w:spacing w:before="40" w:line="220" w:lineRule="exact"/>
              <w:ind w:left="0" w:right="0"/>
            </w:pPr>
          </w:p>
        </w:tc>
        <w:tc>
          <w:tcPr>
            <w:tcW w:w="1288" w:type="dxa"/>
            <w:vMerge/>
            <w:shd w:val="clear" w:color="auto" w:fill="auto"/>
          </w:tcPr>
          <w:p w:rsidR="00C97F7F" w:rsidRPr="00333B92" w:rsidRDefault="00C97F7F" w:rsidP="00C97F7F">
            <w:pPr>
              <w:pStyle w:val="SingleTxtGR"/>
              <w:spacing w:before="40" w:line="220" w:lineRule="exact"/>
              <w:ind w:left="0" w:right="0"/>
            </w:pPr>
          </w:p>
        </w:tc>
        <w:tc>
          <w:tcPr>
            <w:tcW w:w="6811" w:type="dxa"/>
            <w:tcBorders>
              <w:top w:val="nil"/>
              <w:bottom w:val="nil"/>
            </w:tcBorders>
            <w:shd w:val="clear" w:color="auto" w:fill="auto"/>
          </w:tcPr>
          <w:p w:rsidR="00C97F7F" w:rsidRPr="00333B92" w:rsidRDefault="00C97F7F" w:rsidP="00C97F7F">
            <w:pPr>
              <w:pStyle w:val="SingleTxtGR"/>
              <w:spacing w:before="40" w:line="220" w:lineRule="exact"/>
              <w:ind w:left="0" w:right="0"/>
              <w:jc w:val="left"/>
            </w:pPr>
            <w:r w:rsidRPr="00333B92">
              <w:t xml:space="preserve">Идентичны, за исключением того, что в ЕС-ТТСВП (в новом издании 2017 года) в подпункте е) включена </w:t>
            </w:r>
            <w:r w:rsidRPr="00333B92">
              <w:rPr>
                <w:b/>
              </w:rPr>
              <w:t>«</w:t>
            </w:r>
            <w:r w:rsidRPr="00333B92">
              <w:t>вода</w:t>
            </w:r>
            <w:r w:rsidRPr="00333B92">
              <w:rPr>
                <w:b/>
              </w:rPr>
              <w:t>»</w:t>
            </w:r>
            <w:r>
              <w:t>. См. также пункт 14 статьи </w:t>
            </w:r>
            <w:r w:rsidRPr="00333B92">
              <w:t>13.05 ЕС-ТТСВП.</w:t>
            </w:r>
          </w:p>
        </w:tc>
      </w:tr>
      <w:tr w:rsidR="00C97F7F" w:rsidRPr="00333B92" w:rsidTr="00C97F7F">
        <w:trPr>
          <w:trHeight w:val="314"/>
        </w:trPr>
        <w:tc>
          <w:tcPr>
            <w:tcW w:w="1540" w:type="dxa"/>
            <w:vMerge w:val="restart"/>
            <w:shd w:val="clear" w:color="auto" w:fill="auto"/>
          </w:tcPr>
          <w:p w:rsidR="00C97F7F" w:rsidRPr="00333B92" w:rsidRDefault="00C97F7F" w:rsidP="00C97F7F">
            <w:pPr>
              <w:pStyle w:val="SingleTxtGR"/>
              <w:spacing w:before="40" w:line="220" w:lineRule="exact"/>
              <w:ind w:left="0" w:right="0"/>
              <w:rPr>
                <w:lang w:val="en-GB"/>
              </w:rPr>
            </w:pPr>
            <w:r w:rsidRPr="00333B92">
              <w:t>9.1.0.40.2.2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C97F7F" w:rsidRPr="00333B92" w:rsidRDefault="00C97F7F" w:rsidP="00C97F7F">
            <w:pPr>
              <w:pStyle w:val="SingleTxtGR"/>
              <w:spacing w:before="40" w:line="220" w:lineRule="exact"/>
              <w:ind w:left="0" w:right="0"/>
              <w:rPr>
                <w:lang w:val="en-GB"/>
              </w:rPr>
            </w:pPr>
            <w:r w:rsidRPr="00333B92">
              <w:t>13.05(2)</w:t>
            </w:r>
          </w:p>
        </w:tc>
        <w:tc>
          <w:tcPr>
            <w:tcW w:w="6811" w:type="dxa"/>
            <w:tcBorders>
              <w:top w:val="nil"/>
            </w:tcBorders>
            <w:shd w:val="clear" w:color="auto" w:fill="auto"/>
          </w:tcPr>
          <w:p w:rsidR="00C97F7F" w:rsidRPr="00333B92" w:rsidRDefault="00C97F7F" w:rsidP="00C97F7F">
            <w:pPr>
              <w:pStyle w:val="SingleTxtGR"/>
              <w:spacing w:before="40" w:line="220" w:lineRule="exact"/>
              <w:ind w:left="0" w:right="0"/>
              <w:jc w:val="left"/>
            </w:pPr>
            <w:r>
              <w:t>Вентиляция, удаление воздуха.</w:t>
            </w:r>
          </w:p>
        </w:tc>
      </w:tr>
      <w:tr w:rsidR="00C97F7F" w:rsidRPr="00333B92" w:rsidTr="00C97F7F">
        <w:trPr>
          <w:trHeight w:val="349"/>
        </w:trPr>
        <w:tc>
          <w:tcPr>
            <w:tcW w:w="1540" w:type="dxa"/>
            <w:vMerge/>
            <w:shd w:val="clear" w:color="auto" w:fill="auto"/>
          </w:tcPr>
          <w:p w:rsidR="00C97F7F" w:rsidRPr="00333B92" w:rsidRDefault="00C97F7F" w:rsidP="00C97F7F">
            <w:pPr>
              <w:pStyle w:val="SingleTxtGR"/>
              <w:spacing w:before="40" w:line="220" w:lineRule="exact"/>
              <w:ind w:left="0" w:right="0"/>
            </w:pPr>
          </w:p>
        </w:tc>
        <w:tc>
          <w:tcPr>
            <w:tcW w:w="1288" w:type="dxa"/>
            <w:vMerge/>
            <w:shd w:val="clear" w:color="auto" w:fill="auto"/>
          </w:tcPr>
          <w:p w:rsidR="00C97F7F" w:rsidRPr="00333B92" w:rsidRDefault="00C97F7F" w:rsidP="00C97F7F">
            <w:pPr>
              <w:pStyle w:val="SingleTxtGR"/>
              <w:spacing w:before="40" w:line="220" w:lineRule="exact"/>
              <w:ind w:left="0" w:right="0"/>
            </w:pPr>
          </w:p>
        </w:tc>
        <w:tc>
          <w:tcPr>
            <w:tcW w:w="6811" w:type="dxa"/>
            <w:tcBorders>
              <w:top w:val="nil"/>
            </w:tcBorders>
            <w:shd w:val="clear" w:color="auto" w:fill="auto"/>
          </w:tcPr>
          <w:p w:rsidR="00C97F7F" w:rsidRDefault="00C97F7F" w:rsidP="00C97F7F">
            <w:pPr>
              <w:pStyle w:val="SingleTxtGR"/>
              <w:spacing w:before="40" w:line="220" w:lineRule="exact"/>
              <w:ind w:left="0" w:right="0"/>
              <w:jc w:val="left"/>
            </w:pPr>
            <w:r>
              <w:t>Аналогичные положения.</w:t>
            </w:r>
          </w:p>
        </w:tc>
      </w:tr>
      <w:tr w:rsidR="00C97F7F" w:rsidRPr="00333B92" w:rsidTr="00C97F7F">
        <w:trPr>
          <w:trHeight w:val="1545"/>
        </w:trPr>
        <w:tc>
          <w:tcPr>
            <w:tcW w:w="1540" w:type="dxa"/>
            <w:vMerge/>
            <w:shd w:val="clear" w:color="auto" w:fill="auto"/>
          </w:tcPr>
          <w:p w:rsidR="00C97F7F" w:rsidRPr="00333B92" w:rsidRDefault="00C97F7F" w:rsidP="00C97F7F">
            <w:pPr>
              <w:pStyle w:val="SingleTxtGR"/>
              <w:spacing w:before="40" w:line="220" w:lineRule="exact"/>
              <w:ind w:left="0" w:right="0"/>
            </w:pPr>
          </w:p>
        </w:tc>
        <w:tc>
          <w:tcPr>
            <w:tcW w:w="1288" w:type="dxa"/>
            <w:vMerge/>
            <w:shd w:val="clear" w:color="auto" w:fill="auto"/>
          </w:tcPr>
          <w:p w:rsidR="00C97F7F" w:rsidRPr="00333B92" w:rsidRDefault="00C97F7F" w:rsidP="00C97F7F">
            <w:pPr>
              <w:pStyle w:val="SingleTxtGR"/>
              <w:spacing w:before="40" w:line="220" w:lineRule="exact"/>
              <w:ind w:left="0" w:right="0"/>
            </w:pPr>
          </w:p>
        </w:tc>
        <w:tc>
          <w:tcPr>
            <w:tcW w:w="6811" w:type="dxa"/>
            <w:tcBorders>
              <w:top w:val="nil"/>
            </w:tcBorders>
            <w:shd w:val="clear" w:color="auto" w:fill="auto"/>
          </w:tcPr>
          <w:p w:rsidR="00C97F7F" w:rsidRDefault="00C97F7F" w:rsidP="00C97F7F">
            <w:pPr>
              <w:pStyle w:val="SingleTxtGR"/>
              <w:spacing w:before="40" w:line="220" w:lineRule="exact"/>
              <w:ind w:left="0" w:right="0"/>
              <w:jc w:val="left"/>
            </w:pPr>
            <w:r w:rsidRPr="00333B92">
              <w:t xml:space="preserve">Однако подпункт f) ЕС-ТТСВП 2017 года содержит следующие дополнительные положения: </w:t>
            </w:r>
            <w:r w:rsidRPr="00333B92">
              <w:rPr>
                <w:b/>
              </w:rPr>
              <w:t>«</w:t>
            </w:r>
            <w:r w:rsidRPr="00333B92">
              <w:t xml:space="preserve">Защищаемые помещения должны быть оснащены оборудованием для извлечения огнетушащего состава и </w:t>
            </w:r>
            <w:r w:rsidRPr="00333B92">
              <w:rPr>
                <w:b/>
                <w:bCs/>
              </w:rPr>
              <w:t>горючих газов. Необходимо предусмотреть возможность управления таким оборудованием из мест, которые распо</w:t>
            </w:r>
            <w:r>
              <w:rPr>
                <w:b/>
                <w:bCs/>
              </w:rPr>
              <w:t>ложены вне защищаемых помещений</w:t>
            </w:r>
            <w:r>
              <w:rPr>
                <w:b/>
                <w:bCs/>
              </w:rPr>
              <w:br/>
            </w:r>
            <w:r w:rsidRPr="00333B92">
              <w:rPr>
                <w:b/>
                <w:bCs/>
              </w:rPr>
              <w:t>и которые не должны оказаться</w:t>
            </w:r>
            <w:r>
              <w:rPr>
                <w:b/>
                <w:bCs/>
              </w:rPr>
              <w:t xml:space="preserve"> недоступными вследствие пожара</w:t>
            </w:r>
            <w:r>
              <w:rPr>
                <w:b/>
                <w:bCs/>
              </w:rPr>
              <w:br/>
            </w:r>
            <w:r w:rsidRPr="00333B92">
              <w:rPr>
                <w:b/>
                <w:bCs/>
              </w:rPr>
              <w:t>в таких местах.».</w:t>
            </w:r>
          </w:p>
        </w:tc>
      </w:tr>
      <w:tr w:rsidR="00C97F7F" w:rsidRPr="00333B92" w:rsidTr="00C97F7F">
        <w:trPr>
          <w:trHeight w:val="549"/>
        </w:trPr>
        <w:tc>
          <w:tcPr>
            <w:tcW w:w="1540" w:type="dxa"/>
            <w:vMerge/>
            <w:shd w:val="clear" w:color="auto" w:fill="auto"/>
          </w:tcPr>
          <w:p w:rsidR="00C97F7F" w:rsidRPr="00333B92" w:rsidRDefault="00C97F7F" w:rsidP="00C97F7F">
            <w:pPr>
              <w:pStyle w:val="SingleTxtGR"/>
              <w:spacing w:before="40" w:line="220" w:lineRule="exact"/>
              <w:ind w:left="0" w:right="0"/>
            </w:pPr>
          </w:p>
        </w:tc>
        <w:tc>
          <w:tcPr>
            <w:tcW w:w="1288" w:type="dxa"/>
            <w:vMerge/>
            <w:shd w:val="clear" w:color="auto" w:fill="auto"/>
          </w:tcPr>
          <w:p w:rsidR="00C97F7F" w:rsidRPr="00333B92" w:rsidRDefault="00C97F7F" w:rsidP="00C97F7F">
            <w:pPr>
              <w:pStyle w:val="SingleTxtGR"/>
              <w:spacing w:before="40" w:line="220" w:lineRule="exact"/>
              <w:ind w:left="0" w:right="0"/>
            </w:pPr>
          </w:p>
        </w:tc>
        <w:tc>
          <w:tcPr>
            <w:tcW w:w="6811" w:type="dxa"/>
            <w:tcBorders>
              <w:top w:val="nil"/>
            </w:tcBorders>
            <w:shd w:val="clear" w:color="auto" w:fill="auto"/>
          </w:tcPr>
          <w:p w:rsidR="00C97F7F" w:rsidRDefault="00C97F7F" w:rsidP="00C97F7F">
            <w:pPr>
              <w:pStyle w:val="SingleTxtGR"/>
              <w:spacing w:before="40" w:line="220" w:lineRule="exact"/>
              <w:ind w:left="0" w:right="0"/>
              <w:jc w:val="left"/>
            </w:pPr>
            <w:r w:rsidRPr="00333B92">
              <w:t>Кроме того, можно отметить некоторые несоответствия между языковыми вариантами ВОПОГ (combustion gases).</w:t>
            </w:r>
          </w:p>
        </w:tc>
      </w:tr>
      <w:tr w:rsidR="00333B92" w:rsidRPr="00333B92" w:rsidTr="00C97F7F">
        <w:tc>
          <w:tcPr>
            <w:tcW w:w="1540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rPr>
                <w:lang w:val="en-GB"/>
              </w:rPr>
            </w:pPr>
            <w:r w:rsidRPr="00333B92">
              <w:t>9.1.0.40.2.3</w:t>
            </w:r>
          </w:p>
        </w:tc>
        <w:tc>
          <w:tcPr>
            <w:tcW w:w="1288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rPr>
                <w:lang w:val="en-GB"/>
              </w:rPr>
            </w:pPr>
            <w:r w:rsidRPr="00333B92">
              <w:t>13.05(3)</w:t>
            </w:r>
          </w:p>
        </w:tc>
        <w:tc>
          <w:tcPr>
            <w:tcW w:w="6811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jc w:val="left"/>
            </w:pPr>
            <w:r w:rsidRPr="00333B92">
              <w:t>Система пожарной сигнализации</w:t>
            </w:r>
            <w:r w:rsidRPr="00333B92">
              <w:br/>
              <w:t>Аналогичные положения.</w:t>
            </w:r>
          </w:p>
        </w:tc>
      </w:tr>
      <w:tr w:rsidR="00333B92" w:rsidRPr="00333B92" w:rsidTr="00C97F7F">
        <w:tc>
          <w:tcPr>
            <w:tcW w:w="1540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</w:pPr>
            <w:r w:rsidRPr="00333B92">
              <w:t>9.1.0.40.2.4</w:t>
            </w:r>
          </w:p>
        </w:tc>
        <w:tc>
          <w:tcPr>
            <w:tcW w:w="1288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</w:pPr>
            <w:r w:rsidRPr="00333B92">
              <w:t>13.05(4)</w:t>
            </w:r>
          </w:p>
        </w:tc>
        <w:tc>
          <w:tcPr>
            <w:tcW w:w="6811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jc w:val="left"/>
            </w:pPr>
            <w:r w:rsidRPr="00333B92">
              <w:t>Система трубопроводов</w:t>
            </w:r>
            <w:r w:rsidRPr="00333B92">
              <w:br/>
              <w:t>Аналогичные положения.</w:t>
            </w:r>
          </w:p>
        </w:tc>
      </w:tr>
      <w:tr w:rsidR="00333B92" w:rsidRPr="00333B92" w:rsidTr="00C97F7F">
        <w:tc>
          <w:tcPr>
            <w:tcW w:w="1540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</w:pPr>
            <w:r w:rsidRPr="00333B92">
              <w:t>9.1.0.40.2.5</w:t>
            </w:r>
          </w:p>
        </w:tc>
        <w:tc>
          <w:tcPr>
            <w:tcW w:w="1288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</w:pPr>
            <w:r w:rsidRPr="00333B92">
              <w:t>13.05(5)</w:t>
            </w:r>
          </w:p>
        </w:tc>
        <w:tc>
          <w:tcPr>
            <w:tcW w:w="6811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jc w:val="left"/>
            </w:pPr>
            <w:r w:rsidRPr="00333B92">
              <w:t>Устройство включения</w:t>
            </w:r>
            <w:r w:rsidRPr="00333B92">
              <w:br/>
              <w:t>Аналогичные положения, за исклю</w:t>
            </w:r>
            <w:r w:rsidR="00C97F7F">
              <w:t>чением того, что в приложении 4</w:t>
            </w:r>
            <w:r w:rsidR="00C97F7F">
              <w:br/>
            </w:r>
            <w:r w:rsidRPr="00333B92">
              <w:t xml:space="preserve">к ЕС-ТТСВП приводится </w:t>
            </w:r>
            <w:r w:rsidR="00C97F7F" w:rsidRPr="00333B92">
              <w:t>соответствующий</w:t>
            </w:r>
            <w:r w:rsidRPr="00333B92">
              <w:t xml:space="preserve"> символ, а также буквенная марки</w:t>
            </w:r>
            <w:r w:rsidR="006B0B9B">
              <w:t>ровка на четырех</w:t>
            </w:r>
            <w:r w:rsidRPr="00333B92">
              <w:t xml:space="preserve"> языках.</w:t>
            </w:r>
          </w:p>
        </w:tc>
      </w:tr>
      <w:tr w:rsidR="00333B92" w:rsidRPr="00333B92" w:rsidTr="00C97F7F">
        <w:tc>
          <w:tcPr>
            <w:tcW w:w="1540" w:type="dxa"/>
            <w:shd w:val="clear" w:color="auto" w:fill="auto"/>
          </w:tcPr>
          <w:p w:rsidR="00333B92" w:rsidRPr="00C97F7F" w:rsidRDefault="00333B92" w:rsidP="00C97F7F">
            <w:pPr>
              <w:pStyle w:val="SingleTxtGR"/>
              <w:spacing w:before="40" w:line="220" w:lineRule="exact"/>
              <w:ind w:left="0" w:right="0"/>
            </w:pPr>
            <w:r w:rsidRPr="00333B92">
              <w:t>9.1.0.40.2.6</w:t>
            </w:r>
          </w:p>
        </w:tc>
        <w:tc>
          <w:tcPr>
            <w:tcW w:w="1288" w:type="dxa"/>
            <w:shd w:val="clear" w:color="auto" w:fill="auto"/>
          </w:tcPr>
          <w:p w:rsidR="00333B92" w:rsidRPr="00C97F7F" w:rsidRDefault="00333B92" w:rsidP="00C97F7F">
            <w:pPr>
              <w:pStyle w:val="SingleTxtGR"/>
              <w:spacing w:before="40" w:line="220" w:lineRule="exact"/>
              <w:ind w:left="0" w:right="0"/>
            </w:pPr>
            <w:r w:rsidRPr="00333B92">
              <w:t>13.05(6)</w:t>
            </w:r>
          </w:p>
        </w:tc>
        <w:tc>
          <w:tcPr>
            <w:tcW w:w="6811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jc w:val="left"/>
            </w:pPr>
            <w:r w:rsidRPr="00333B92">
              <w:t>Сигнальный прибор</w:t>
            </w:r>
            <w:r w:rsidRPr="00333B92">
              <w:br/>
              <w:t>Аналогичные положения, за исключением того, что в ЕС-ТТСВП приво</w:t>
            </w:r>
            <w:r w:rsidR="006B0B9B">
              <w:t>дится буквенная маркировка на четырех</w:t>
            </w:r>
            <w:r w:rsidRPr="00333B92">
              <w:t xml:space="preserve"> языках.</w:t>
            </w:r>
          </w:p>
        </w:tc>
      </w:tr>
      <w:tr w:rsidR="00333B92" w:rsidRPr="00333B92" w:rsidTr="00C97F7F">
        <w:tc>
          <w:tcPr>
            <w:tcW w:w="1540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</w:pPr>
            <w:r w:rsidRPr="00333B92">
              <w:t>9.1.0.40.2.7</w:t>
            </w:r>
          </w:p>
        </w:tc>
        <w:tc>
          <w:tcPr>
            <w:tcW w:w="1288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</w:pPr>
            <w:r w:rsidRPr="00333B92">
              <w:t>13.05(7)</w:t>
            </w:r>
          </w:p>
        </w:tc>
        <w:tc>
          <w:tcPr>
            <w:tcW w:w="6811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jc w:val="left"/>
            </w:pPr>
            <w:r w:rsidRPr="00333B92">
              <w:t>Резервуары высокого давления, арматура и трубопроводы, находящиеся под давлением</w:t>
            </w:r>
            <w:r w:rsidRPr="00333B92">
              <w:br/>
              <w:t>Аналогичные положения. Однако в подпункте a) ВОПОГ 2017 года есть ссылка на требования признанного классификационного общ</w:t>
            </w:r>
            <w:r w:rsidR="00124D4C">
              <w:t>ества.</w:t>
            </w:r>
            <w:r w:rsidR="00124D4C">
              <w:br/>
            </w:r>
            <w:r w:rsidRPr="00333B92">
              <w:t>В качестве напоминания: Рабочая группа КЕСНИ по техническим требованиям не поддержала внесение анало</w:t>
            </w:r>
            <w:r w:rsidR="00124D4C">
              <w:t>гичной поправки в ЕС-ТТСВП</w:t>
            </w:r>
            <w:r w:rsidR="00124D4C">
              <w:br/>
            </w:r>
            <w:r w:rsidRPr="00333B92">
              <w:t>(см. CESNI/PT (16) 15, CESNI/PT (16)m 24, пункт 4.3, CESNI/PT(16)m 51, пункт 3.3).</w:t>
            </w:r>
          </w:p>
        </w:tc>
      </w:tr>
      <w:tr w:rsidR="00333B92" w:rsidRPr="00333B92" w:rsidTr="00124D4C">
        <w:tc>
          <w:tcPr>
            <w:tcW w:w="1540" w:type="dxa"/>
            <w:tcBorders>
              <w:bottom w:val="nil"/>
            </w:tcBorders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rPr>
                <w:lang w:val="en-GB"/>
              </w:rPr>
            </w:pPr>
            <w:r w:rsidRPr="00333B92">
              <w:t>9.1.0.40.2.8</w:t>
            </w:r>
          </w:p>
        </w:tc>
        <w:tc>
          <w:tcPr>
            <w:tcW w:w="1288" w:type="dxa"/>
            <w:tcBorders>
              <w:bottom w:val="nil"/>
            </w:tcBorders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rPr>
                <w:lang w:val="en-GB"/>
              </w:rPr>
            </w:pPr>
            <w:r w:rsidRPr="00333B92">
              <w:t>13.05(8)</w:t>
            </w:r>
          </w:p>
        </w:tc>
        <w:tc>
          <w:tcPr>
            <w:tcW w:w="6811" w:type="dxa"/>
            <w:tcBorders>
              <w:bottom w:val="nil"/>
            </w:tcBorders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jc w:val="left"/>
            </w:pPr>
            <w:r w:rsidRPr="00333B92">
              <w:t>Количество огнетушащего состава</w:t>
            </w:r>
            <w:r w:rsidRPr="00333B92">
              <w:br/>
              <w:t>Аналогичные положения.</w:t>
            </w:r>
          </w:p>
        </w:tc>
      </w:tr>
      <w:tr w:rsidR="00333B92" w:rsidRPr="00333B92" w:rsidTr="00124D4C"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</w:pPr>
            <w:r w:rsidRPr="00333B92">
              <w:t>9.1.0.40.2.9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</w:pPr>
            <w:r w:rsidRPr="00333B92">
              <w:t>13.05(9)</w:t>
            </w:r>
          </w:p>
        </w:tc>
        <w:tc>
          <w:tcPr>
            <w:tcW w:w="6811" w:type="dxa"/>
            <w:tcBorders>
              <w:top w:val="nil"/>
              <w:bottom w:val="nil"/>
            </w:tcBorders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jc w:val="left"/>
            </w:pPr>
            <w:r w:rsidRPr="00333B92">
              <w:t>Установка, обслуживание, проверка и документация</w:t>
            </w:r>
            <w:r w:rsidRPr="00333B92">
              <w:br/>
              <w:t>Аналогичные положения.</w:t>
            </w:r>
            <w:r w:rsidRPr="00333B92">
              <w:br/>
              <w:t>Подпункт a) ЕС-ТТСВП содержит более ясные положения в отношении технического обслуживания, в частности в отношении состояния распыляющих стволов.</w:t>
            </w:r>
            <w:r w:rsidRPr="00333B92">
              <w:br/>
              <w:t>Подпункт b) ЕС-ТТСВП содержит положения, допускающие проведение пе</w:t>
            </w:r>
            <w:r w:rsidR="006B0B9B">
              <w:t>риодического контроля (раз в два</w:t>
            </w:r>
            <w:r w:rsidRPr="00333B92">
              <w:t xml:space="preserve"> года) компетентными лицами (вместо эксперта).</w:t>
            </w:r>
          </w:p>
        </w:tc>
      </w:tr>
      <w:tr w:rsidR="00333B92" w:rsidRPr="00333B92" w:rsidTr="00124D4C">
        <w:tc>
          <w:tcPr>
            <w:tcW w:w="1540" w:type="dxa"/>
            <w:tcBorders>
              <w:top w:val="nil"/>
            </w:tcBorders>
            <w:shd w:val="clear" w:color="auto" w:fill="auto"/>
          </w:tcPr>
          <w:p w:rsidR="00333B92" w:rsidRPr="00333B92" w:rsidRDefault="00333B92" w:rsidP="006B0B9B">
            <w:pPr>
              <w:pStyle w:val="SingleTxtGR"/>
              <w:spacing w:before="120" w:line="220" w:lineRule="exact"/>
              <w:ind w:left="0" w:right="0"/>
              <w:rPr>
                <w:lang w:val="en-GB"/>
              </w:rPr>
            </w:pPr>
            <w:r w:rsidRPr="00333B92">
              <w:lastRenderedPageBreak/>
              <w:t>9.1.0.40.2.10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</w:tcPr>
          <w:p w:rsidR="00333B92" w:rsidRPr="00333B92" w:rsidRDefault="00333B92" w:rsidP="006B0B9B">
            <w:pPr>
              <w:pStyle w:val="SingleTxtGR"/>
              <w:spacing w:before="120" w:line="220" w:lineRule="exact"/>
              <w:ind w:left="0" w:right="0"/>
              <w:rPr>
                <w:lang w:val="en-GB"/>
              </w:rPr>
            </w:pPr>
            <w:r w:rsidRPr="00333B92">
              <w:t>13.05(10)</w:t>
            </w:r>
          </w:p>
        </w:tc>
        <w:tc>
          <w:tcPr>
            <w:tcW w:w="6811" w:type="dxa"/>
            <w:tcBorders>
              <w:top w:val="nil"/>
            </w:tcBorders>
            <w:shd w:val="clear" w:color="auto" w:fill="auto"/>
          </w:tcPr>
          <w:p w:rsidR="00333B92" w:rsidRPr="00333B92" w:rsidRDefault="00333B92" w:rsidP="006B0B9B">
            <w:pPr>
              <w:pStyle w:val="SingleTxtGR"/>
              <w:spacing w:before="120" w:line="220" w:lineRule="exact"/>
              <w:ind w:left="0" w:right="0"/>
              <w:jc w:val="left"/>
            </w:pPr>
            <w:r w:rsidRPr="00333B92">
              <w:t>Системы пожаротушения, использующие СО</w:t>
            </w:r>
            <w:r w:rsidRPr="00333B92">
              <w:rPr>
                <w:vertAlign w:val="subscript"/>
              </w:rPr>
              <w:t>2</w:t>
            </w:r>
            <w:r w:rsidRPr="00333B92">
              <w:rPr>
                <w:vertAlign w:val="subscript"/>
              </w:rPr>
              <w:br/>
            </w:r>
            <w:r w:rsidRPr="00333B92">
              <w:t>Аналогичные положения.</w:t>
            </w:r>
          </w:p>
        </w:tc>
      </w:tr>
      <w:tr w:rsidR="00333B92" w:rsidRPr="00333B92" w:rsidTr="00C97F7F">
        <w:tc>
          <w:tcPr>
            <w:tcW w:w="1540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</w:pPr>
            <w:r w:rsidRPr="00333B92">
              <w:t>9.1.0.40.2.11</w:t>
            </w:r>
          </w:p>
        </w:tc>
        <w:tc>
          <w:tcPr>
            <w:tcW w:w="1288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</w:pPr>
            <w:r w:rsidRPr="00333B92">
              <w:t>13.05(11)</w:t>
            </w:r>
          </w:p>
        </w:tc>
        <w:tc>
          <w:tcPr>
            <w:tcW w:w="6811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jc w:val="left"/>
            </w:pPr>
            <w:r w:rsidRPr="00333B92">
              <w:t xml:space="preserve">Системы пожаротушения, использующие HFC-227 ea </w:t>
            </w:r>
            <w:r w:rsidRPr="00333B92">
              <w:br/>
              <w:t>Аналогичные положения.</w:t>
            </w:r>
          </w:p>
        </w:tc>
      </w:tr>
      <w:tr w:rsidR="00333B92" w:rsidRPr="00333B92" w:rsidTr="00C97F7F">
        <w:tc>
          <w:tcPr>
            <w:tcW w:w="1540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</w:pPr>
            <w:r w:rsidRPr="00333B92">
              <w:t>9.1.0.40.2.12</w:t>
            </w:r>
          </w:p>
        </w:tc>
        <w:tc>
          <w:tcPr>
            <w:tcW w:w="1288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</w:pPr>
            <w:r w:rsidRPr="00333B92">
              <w:t>13.05(12)</w:t>
            </w:r>
          </w:p>
        </w:tc>
        <w:tc>
          <w:tcPr>
            <w:tcW w:w="6811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jc w:val="left"/>
            </w:pPr>
            <w:r w:rsidRPr="00333B92">
              <w:t xml:space="preserve">Системы пожаротушения, использующие IG-541 </w:t>
            </w:r>
            <w:r w:rsidRPr="00333B92">
              <w:br/>
              <w:t>Аналогичные положения.</w:t>
            </w:r>
          </w:p>
        </w:tc>
      </w:tr>
      <w:tr w:rsidR="00333B92" w:rsidRPr="00333B92" w:rsidTr="00C97F7F">
        <w:tc>
          <w:tcPr>
            <w:tcW w:w="1540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rPr>
                <w:lang w:val="en-GB"/>
              </w:rPr>
            </w:pPr>
            <w:r w:rsidRPr="00333B92">
              <w:t>9.1.0.40.2.13</w:t>
            </w:r>
          </w:p>
        </w:tc>
        <w:tc>
          <w:tcPr>
            <w:tcW w:w="1288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rPr>
                <w:lang w:val="en-GB"/>
              </w:rPr>
            </w:pPr>
            <w:r w:rsidRPr="00333B92">
              <w:t>13.05(13)</w:t>
            </w:r>
          </w:p>
        </w:tc>
        <w:tc>
          <w:tcPr>
            <w:tcW w:w="6811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jc w:val="left"/>
            </w:pPr>
            <w:r w:rsidRPr="00333B92">
              <w:t xml:space="preserve">Системы пожаротушения, использующие FK-5-1-12 </w:t>
            </w:r>
            <w:r w:rsidRPr="00333B92">
              <w:br/>
              <w:t>Аналогичные положения.</w:t>
            </w:r>
          </w:p>
        </w:tc>
      </w:tr>
      <w:tr w:rsidR="00333B92" w:rsidRPr="00333B92" w:rsidTr="00C97F7F">
        <w:tc>
          <w:tcPr>
            <w:tcW w:w="1540" w:type="dxa"/>
            <w:shd w:val="clear" w:color="auto" w:fill="auto"/>
          </w:tcPr>
          <w:p w:rsidR="00333B92" w:rsidRPr="00333B92" w:rsidRDefault="00124D4C" w:rsidP="00C97F7F">
            <w:pPr>
              <w:pStyle w:val="SingleTxtGR"/>
              <w:spacing w:before="40" w:line="220" w:lineRule="exact"/>
              <w:ind w:left="0" w:right="0"/>
            </w:pPr>
            <w:r>
              <w:t>–</w:t>
            </w:r>
          </w:p>
        </w:tc>
        <w:tc>
          <w:tcPr>
            <w:tcW w:w="1288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</w:pPr>
            <w:r w:rsidRPr="00333B92">
              <w:t>13.05(14)</w:t>
            </w:r>
          </w:p>
        </w:tc>
        <w:tc>
          <w:tcPr>
            <w:tcW w:w="6811" w:type="dxa"/>
            <w:shd w:val="clear" w:color="auto" w:fill="auto"/>
          </w:tcPr>
          <w:p w:rsidR="00333B92" w:rsidRPr="00333B92" w:rsidRDefault="00333B92" w:rsidP="00C97F7F">
            <w:pPr>
              <w:pStyle w:val="SingleTxtGR"/>
              <w:spacing w:before="40" w:line="220" w:lineRule="exact"/>
              <w:ind w:left="0" w:right="0"/>
              <w:jc w:val="left"/>
            </w:pPr>
            <w:r w:rsidRPr="00333B92">
              <w:t>Системы пожаротушения, использующие воду в качестве огнетушащего состава</w:t>
            </w:r>
            <w:r w:rsidRPr="00333B92">
              <w:br/>
              <w:t>Только в ЕС-ТТСВП 2017 года.</w:t>
            </w:r>
          </w:p>
        </w:tc>
      </w:tr>
    </w:tbl>
    <w:p w:rsidR="00E12C5F" w:rsidRPr="00124D4C" w:rsidRDefault="00124D4C" w:rsidP="00124D4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24D4C" w:rsidSect="00333B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8A" w:rsidRPr="00A312BC" w:rsidRDefault="00E3768A" w:rsidP="00A312BC"/>
  </w:endnote>
  <w:endnote w:type="continuationSeparator" w:id="0">
    <w:p w:rsidR="00E3768A" w:rsidRPr="00A312BC" w:rsidRDefault="00E3768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92" w:rsidRPr="00333B92" w:rsidRDefault="00333B92">
    <w:pPr>
      <w:pStyle w:val="Footer"/>
    </w:pPr>
    <w:r w:rsidRPr="00333B92">
      <w:rPr>
        <w:b/>
        <w:sz w:val="18"/>
      </w:rPr>
      <w:fldChar w:fldCharType="begin"/>
    </w:r>
    <w:r w:rsidRPr="00333B92">
      <w:rPr>
        <w:b/>
        <w:sz w:val="18"/>
      </w:rPr>
      <w:instrText xml:space="preserve"> PAGE  \* MERGEFORMAT </w:instrText>
    </w:r>
    <w:r w:rsidRPr="00333B92">
      <w:rPr>
        <w:b/>
        <w:sz w:val="18"/>
      </w:rPr>
      <w:fldChar w:fldCharType="separate"/>
    </w:r>
    <w:r w:rsidR="000111F8">
      <w:rPr>
        <w:b/>
        <w:noProof/>
        <w:sz w:val="18"/>
      </w:rPr>
      <w:t>2</w:t>
    </w:r>
    <w:r w:rsidRPr="00333B92">
      <w:rPr>
        <w:b/>
        <w:sz w:val="18"/>
      </w:rPr>
      <w:fldChar w:fldCharType="end"/>
    </w:r>
    <w:r>
      <w:rPr>
        <w:b/>
        <w:sz w:val="18"/>
      </w:rPr>
      <w:tab/>
    </w:r>
    <w:r>
      <w:t>GE.17-09546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92" w:rsidRPr="00333B92" w:rsidRDefault="00333B92" w:rsidP="00333B92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GE.17-09546</w:t>
    </w:r>
    <w:r>
      <w:tab/>
    </w:r>
    <w:r w:rsidRPr="00333B92">
      <w:rPr>
        <w:b/>
        <w:sz w:val="18"/>
      </w:rPr>
      <w:fldChar w:fldCharType="begin"/>
    </w:r>
    <w:r w:rsidRPr="00333B92">
      <w:rPr>
        <w:b/>
        <w:sz w:val="18"/>
      </w:rPr>
      <w:instrText xml:space="preserve"> PAGE  \* MERGEFORMAT </w:instrText>
    </w:r>
    <w:r w:rsidRPr="00333B92">
      <w:rPr>
        <w:b/>
        <w:sz w:val="18"/>
      </w:rPr>
      <w:fldChar w:fldCharType="separate"/>
    </w:r>
    <w:r w:rsidR="000111F8">
      <w:rPr>
        <w:b/>
        <w:noProof/>
        <w:sz w:val="18"/>
      </w:rPr>
      <w:t>5</w:t>
    </w:r>
    <w:r w:rsidRPr="00333B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33B92" w:rsidRDefault="00333B92" w:rsidP="00333B92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E00A6C6" wp14:editId="5A0ADC7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17-09546  (R)  </w:t>
    </w:r>
    <w:r w:rsidR="0032281E">
      <w:rPr>
        <w:lang w:val="en-US"/>
      </w:rPr>
      <w:t>030717  030717</w:t>
    </w:r>
    <w:r>
      <w:br/>
    </w:r>
    <w:r w:rsidRPr="00333B92">
      <w:rPr>
        <w:rFonts w:ascii="C39T30Lfz" w:hAnsi="C39T30Lfz"/>
        <w:spacing w:val="0"/>
        <w:w w:val="100"/>
        <w:sz w:val="56"/>
      </w:rPr>
      <w:t></w:t>
    </w:r>
    <w:r w:rsidRPr="00333B92">
      <w:rPr>
        <w:rFonts w:ascii="C39T30Lfz" w:hAnsi="C39T30Lfz"/>
        <w:spacing w:val="0"/>
        <w:w w:val="100"/>
        <w:sz w:val="56"/>
      </w:rPr>
      <w:t></w:t>
    </w:r>
    <w:r w:rsidRPr="00333B92">
      <w:rPr>
        <w:rFonts w:ascii="C39T30Lfz" w:hAnsi="C39T30Lfz"/>
        <w:spacing w:val="0"/>
        <w:w w:val="100"/>
        <w:sz w:val="56"/>
      </w:rPr>
      <w:t></w:t>
    </w:r>
    <w:r w:rsidRPr="00333B92">
      <w:rPr>
        <w:rFonts w:ascii="C39T30Lfz" w:hAnsi="C39T30Lfz"/>
        <w:spacing w:val="0"/>
        <w:w w:val="100"/>
        <w:sz w:val="56"/>
      </w:rPr>
      <w:t></w:t>
    </w:r>
    <w:r w:rsidRPr="00333B92">
      <w:rPr>
        <w:rFonts w:ascii="C39T30Lfz" w:hAnsi="C39T30Lfz"/>
        <w:spacing w:val="0"/>
        <w:w w:val="100"/>
        <w:sz w:val="56"/>
      </w:rPr>
      <w:t></w:t>
    </w:r>
    <w:r w:rsidRPr="00333B92">
      <w:rPr>
        <w:rFonts w:ascii="C39T30Lfz" w:hAnsi="C39T30Lfz"/>
        <w:spacing w:val="0"/>
        <w:w w:val="100"/>
        <w:sz w:val="56"/>
      </w:rPr>
      <w:t></w:t>
    </w:r>
    <w:r w:rsidRPr="00333B92">
      <w:rPr>
        <w:rFonts w:ascii="C39T30Lfz" w:hAnsi="C39T30Lfz"/>
        <w:spacing w:val="0"/>
        <w:w w:val="100"/>
        <w:sz w:val="56"/>
      </w:rPr>
      <w:t></w:t>
    </w:r>
    <w:r w:rsidRPr="00333B92">
      <w:rPr>
        <w:rFonts w:ascii="C39T30Lfz" w:hAnsi="C39T30Lfz"/>
        <w:spacing w:val="0"/>
        <w:w w:val="100"/>
        <w:sz w:val="56"/>
      </w:rPr>
      <w:t></w:t>
    </w:r>
    <w:r w:rsidRPr="00333B9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 ECE/TRANS/WP.15/AC.2/2017/4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 ECE/TRANS/WP.15/AC.2/2017/4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8A" w:rsidRPr="001075E9" w:rsidRDefault="00E3768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768A" w:rsidRDefault="00E3768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33B92" w:rsidRPr="00C84BE7" w:rsidRDefault="00333B92" w:rsidP="00333B92">
      <w:pPr>
        <w:pStyle w:val="FootnoteText"/>
        <w:rPr>
          <w:sz w:val="16"/>
          <w:szCs w:val="16"/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Распространено на немецком языке Центральной комиссией судоходства по Рейну</w:t>
      </w:r>
      <w:r w:rsidRPr="00333B92">
        <w:rPr>
          <w:lang w:val="ru-RU"/>
        </w:rPr>
        <w:br/>
      </w:r>
      <w:r>
        <w:rPr>
          <w:lang w:val="ru-RU"/>
        </w:rPr>
        <w:t>под условным обозначением CCNR-ZKR/ADN/WP.15/AC.2/2017/45.</w:t>
      </w:r>
    </w:p>
  </w:footnote>
  <w:footnote w:id="2">
    <w:p w:rsidR="00333B92" w:rsidRPr="00C84BE7" w:rsidRDefault="00333B92" w:rsidP="00333B92">
      <w:pPr>
        <w:pStyle w:val="FootnoteText"/>
        <w:rPr>
          <w:sz w:val="16"/>
          <w:szCs w:val="16"/>
          <w:lang w:val="ru-RU"/>
        </w:rPr>
      </w:pPr>
      <w:r>
        <w:rPr>
          <w:lang w:val="ru-RU"/>
        </w:rPr>
        <w:tab/>
        <w:t>**</w:t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 w:rsidRPr="00333B92">
        <w:rPr>
          <w:lang w:val="ru-RU"/>
        </w:rPr>
        <w:br/>
      </w:r>
      <w:r>
        <w:rPr>
          <w:lang w:val="ru-RU"/>
        </w:rPr>
        <w:t>на 2016–2017 годы (ECE/TRANS/2016/28/Add.1 (9.3)).</w:t>
      </w:r>
    </w:p>
  </w:footnote>
  <w:footnote w:id="3">
    <w:p w:rsidR="00333B92" w:rsidRPr="009A5169" w:rsidRDefault="00333B92" w:rsidP="00333B92">
      <w:pPr>
        <w:pStyle w:val="FootnoteText"/>
        <w:spacing w:after="1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DE7CD4">
        <w:rPr>
          <w:rStyle w:val="FootnoteReference"/>
          <w:szCs w:val="18"/>
          <w:lang w:val="ru-RU"/>
        </w:rPr>
        <w:footnoteRef/>
      </w:r>
      <w:r w:rsidRPr="009A5169">
        <w:rPr>
          <w:lang w:val="ru-RU"/>
        </w:rPr>
        <w:tab/>
      </w:r>
      <w:r>
        <w:rPr>
          <w:lang w:val="ru-RU"/>
        </w:rPr>
        <w:t xml:space="preserve">Для </w:t>
      </w:r>
      <w:r w:rsidRPr="00C84BE7">
        <w:rPr>
          <w:lang w:val="en-US"/>
        </w:rPr>
        <w:t>Corylophida</w:t>
      </w:r>
      <w:r w:rsidRPr="009A5169">
        <w:rPr>
          <w:lang w:val="ru-RU"/>
        </w:rPr>
        <w:t xml:space="preserve">, </w:t>
      </w:r>
      <w:r w:rsidRPr="00C84BE7">
        <w:rPr>
          <w:lang w:val="en-US"/>
        </w:rPr>
        <w:t>Oostenwind</w:t>
      </w:r>
      <w:r w:rsidRPr="009A5169">
        <w:rPr>
          <w:lang w:val="ru-RU"/>
        </w:rPr>
        <w:t xml:space="preserve">, </w:t>
      </w:r>
      <w:r w:rsidRPr="00C84BE7">
        <w:rPr>
          <w:lang w:val="en-US"/>
        </w:rPr>
        <w:t>Donau</w:t>
      </w:r>
      <w:r w:rsidRPr="009A5169">
        <w:rPr>
          <w:lang w:val="ru-RU"/>
        </w:rPr>
        <w:t xml:space="preserve">, </w:t>
      </w:r>
      <w:r w:rsidRPr="00C84BE7">
        <w:rPr>
          <w:lang w:val="en-US"/>
        </w:rPr>
        <w:t>Warber</w:t>
      </w:r>
      <w:r w:rsidRPr="009A5169">
        <w:rPr>
          <w:lang w:val="ru-RU"/>
        </w:rPr>
        <w:t xml:space="preserve">, </w:t>
      </w:r>
      <w:r w:rsidRPr="00C84BE7">
        <w:rPr>
          <w:lang w:val="en-US"/>
        </w:rPr>
        <w:t>MS</w:t>
      </w:r>
      <w:r w:rsidRPr="009A5169">
        <w:rPr>
          <w:lang w:val="ru-RU"/>
        </w:rPr>
        <w:t xml:space="preserve"> </w:t>
      </w:r>
      <w:r w:rsidRPr="00C84BE7">
        <w:rPr>
          <w:lang w:val="en-US"/>
        </w:rPr>
        <w:t>Beaufort</w:t>
      </w:r>
      <w:r w:rsidRPr="009A5169">
        <w:rPr>
          <w:lang w:val="ru-RU"/>
        </w:rPr>
        <w:t xml:space="preserve">, </w:t>
      </w:r>
      <w:r w:rsidRPr="00C84BE7">
        <w:rPr>
          <w:lang w:val="en-US"/>
        </w:rPr>
        <w:t>MS</w:t>
      </w:r>
      <w:r w:rsidRPr="009A5169">
        <w:rPr>
          <w:lang w:val="ru-RU"/>
        </w:rPr>
        <w:t xml:space="preserve"> </w:t>
      </w:r>
      <w:r w:rsidRPr="00C84BE7">
        <w:rPr>
          <w:lang w:val="en-US"/>
        </w:rPr>
        <w:t>Vivadero</w:t>
      </w:r>
      <w:r w:rsidRPr="009A5169">
        <w:rPr>
          <w:lang w:val="ru-RU"/>
        </w:rPr>
        <w:t xml:space="preserve"> </w:t>
      </w:r>
      <w:r w:rsidRPr="00C84BE7">
        <w:rPr>
          <w:lang w:val="en-US"/>
        </w:rPr>
        <w:t>R</w:t>
      </w:r>
      <w:r w:rsidRPr="009A5169">
        <w:rPr>
          <w:lang w:val="ru-RU"/>
        </w:rPr>
        <w:t xml:space="preserve">, </w:t>
      </w:r>
      <w:r w:rsidRPr="00C84BE7">
        <w:rPr>
          <w:lang w:val="en-US"/>
        </w:rPr>
        <w:t>Jan</w:t>
      </w:r>
      <w:r w:rsidRPr="009A5169">
        <w:rPr>
          <w:lang w:val="ru-RU"/>
        </w:rPr>
        <w:t xml:space="preserve"> </w:t>
      </w:r>
      <w:r w:rsidRPr="00C84BE7">
        <w:rPr>
          <w:lang w:val="en-US"/>
        </w:rPr>
        <w:t>Smit</w:t>
      </w:r>
      <w:r w:rsidRPr="009A5169">
        <w:rPr>
          <w:lang w:val="ru-RU"/>
        </w:rPr>
        <w:t xml:space="preserve">, </w:t>
      </w:r>
      <w:r w:rsidRPr="00C84BE7">
        <w:rPr>
          <w:lang w:val="en-US"/>
        </w:rPr>
        <w:t>Sirocco</w:t>
      </w:r>
      <w:r w:rsidRPr="009A5169">
        <w:rPr>
          <w:lang w:val="ru-RU"/>
        </w:rPr>
        <w:t xml:space="preserve">, </w:t>
      </w:r>
      <w:r w:rsidRPr="00C84BE7">
        <w:rPr>
          <w:lang w:val="en-US"/>
        </w:rPr>
        <w:t>Abel</w:t>
      </w:r>
      <w:r w:rsidRPr="009A5169">
        <w:rPr>
          <w:lang w:val="ru-RU"/>
        </w:rPr>
        <w:t xml:space="preserve"> </w:t>
      </w:r>
      <w:r w:rsidRPr="00C84BE7">
        <w:rPr>
          <w:lang w:val="en-US"/>
        </w:rPr>
        <w:t>Tasman</w:t>
      </w:r>
      <w:r w:rsidRPr="009A5169">
        <w:rPr>
          <w:lang w:val="ru-RU"/>
        </w:rPr>
        <w:t>.</w:t>
      </w:r>
    </w:p>
  </w:footnote>
  <w:footnote w:id="4">
    <w:p w:rsidR="00333B92" w:rsidRPr="000111F8" w:rsidRDefault="00333B92" w:rsidP="00333B92">
      <w:pPr>
        <w:pStyle w:val="FootnoteText"/>
        <w:rPr>
          <w:sz w:val="16"/>
          <w:szCs w:val="16"/>
          <w:lang w:val="ru-RU"/>
        </w:rPr>
      </w:pPr>
      <w:r w:rsidRPr="009A5169">
        <w:rPr>
          <w:sz w:val="16"/>
          <w:szCs w:val="16"/>
          <w:lang w:val="ru-RU"/>
        </w:rPr>
        <w:tab/>
      </w:r>
      <w:r w:rsidRPr="00DE7CD4">
        <w:rPr>
          <w:rStyle w:val="FootnoteReference"/>
          <w:szCs w:val="18"/>
          <w:lang w:val="ru-RU"/>
        </w:rPr>
        <w:footnoteRef/>
      </w:r>
      <w:r w:rsidRPr="000111F8">
        <w:rPr>
          <w:lang w:val="ru-RU"/>
        </w:rPr>
        <w:tab/>
      </w:r>
      <w:r>
        <w:rPr>
          <w:lang w:val="ru-RU"/>
        </w:rPr>
        <w:t>См</w:t>
      </w:r>
      <w:r w:rsidRPr="000111F8">
        <w:rPr>
          <w:lang w:val="ru-RU"/>
        </w:rPr>
        <w:t xml:space="preserve">. </w:t>
      </w:r>
      <w:r>
        <w:rPr>
          <w:lang w:val="ru-RU"/>
        </w:rPr>
        <w:t>доклад</w:t>
      </w:r>
      <w:r w:rsidRPr="000111F8">
        <w:rPr>
          <w:lang w:val="ru-RU"/>
        </w:rPr>
        <w:t xml:space="preserve"> </w:t>
      </w:r>
      <w:r w:rsidRPr="00C84BE7">
        <w:rPr>
          <w:lang w:val="en-US"/>
        </w:rPr>
        <w:t>ECE</w:t>
      </w:r>
      <w:r w:rsidRPr="000111F8">
        <w:rPr>
          <w:lang w:val="ru-RU"/>
        </w:rPr>
        <w:t>/</w:t>
      </w:r>
      <w:r w:rsidRPr="00C84BE7">
        <w:rPr>
          <w:lang w:val="en-US"/>
        </w:rPr>
        <w:t>TRANS</w:t>
      </w:r>
      <w:r w:rsidRPr="000111F8">
        <w:rPr>
          <w:lang w:val="ru-RU"/>
        </w:rPr>
        <w:t>/</w:t>
      </w:r>
      <w:r w:rsidRPr="00C84BE7">
        <w:rPr>
          <w:lang w:val="en-US"/>
        </w:rPr>
        <w:t>WP</w:t>
      </w:r>
      <w:r w:rsidRPr="000111F8">
        <w:rPr>
          <w:lang w:val="ru-RU"/>
        </w:rPr>
        <w:t>.15/</w:t>
      </w:r>
      <w:r w:rsidRPr="00C84BE7">
        <w:rPr>
          <w:lang w:val="en-US"/>
        </w:rPr>
        <w:t>AC</w:t>
      </w:r>
      <w:r w:rsidRPr="000111F8">
        <w:rPr>
          <w:lang w:val="ru-RU"/>
        </w:rPr>
        <w:t xml:space="preserve">.2/62, </w:t>
      </w:r>
      <w:r>
        <w:rPr>
          <w:lang w:val="ru-RU"/>
        </w:rPr>
        <w:t>пункты</w:t>
      </w:r>
      <w:r w:rsidRPr="000111F8">
        <w:rPr>
          <w:lang w:val="ru-RU"/>
        </w:rPr>
        <w:t xml:space="preserve"> 52–54.</w:t>
      </w:r>
    </w:p>
  </w:footnote>
  <w:footnote w:id="5">
    <w:p w:rsidR="00333B92" w:rsidRPr="003523D6" w:rsidRDefault="00333B92" w:rsidP="00333B92">
      <w:pPr>
        <w:pStyle w:val="FootnoteText"/>
        <w:rPr>
          <w:i/>
          <w:iCs/>
          <w:szCs w:val="18"/>
          <w:lang w:val="ru-RU"/>
        </w:rPr>
      </w:pPr>
      <w:r w:rsidRPr="000111F8">
        <w:rPr>
          <w:rFonts w:ascii="Arial" w:hAnsi="Arial"/>
          <w:sz w:val="16"/>
          <w:szCs w:val="16"/>
          <w:lang w:val="ru-RU"/>
        </w:rPr>
        <w:tab/>
      </w:r>
      <w:r w:rsidRPr="00823214">
        <w:rPr>
          <w:rStyle w:val="FootnoteReference"/>
          <w:i/>
          <w:szCs w:val="18"/>
          <w:lang w:val="ru-RU"/>
        </w:rPr>
        <w:footnoteRef/>
      </w:r>
      <w:r>
        <w:rPr>
          <w:lang w:val="ru-RU"/>
        </w:rPr>
        <w:tab/>
      </w:r>
      <w:r w:rsidRPr="003523D6">
        <w:rPr>
          <w:i/>
          <w:iCs/>
          <w:lang w:val="ru-RU"/>
        </w:rPr>
        <w:t>Циркулярное письмо Международной морск</w:t>
      </w:r>
      <w:r w:rsidR="00C97F7F">
        <w:rPr>
          <w:i/>
          <w:iCs/>
          <w:lang w:val="ru-RU"/>
        </w:rPr>
        <w:t>ой организации MSC/Circ. 1270. –</w:t>
      </w:r>
      <w:r w:rsidRPr="003523D6">
        <w:rPr>
          <w:i/>
          <w:iCs/>
          <w:lang w:val="ru-RU"/>
        </w:rPr>
        <w:t xml:space="preserve"> Пересмотренные руководящие указания для утверждения предназначенных для машинных отделений стационарных систем аэрозольного пожаротушения, эквивалентных стационарным системам газ</w:t>
      </w:r>
      <w:r w:rsidR="008F0462">
        <w:rPr>
          <w:i/>
          <w:iCs/>
          <w:lang w:val="ru-RU"/>
        </w:rPr>
        <w:t>ового пожаротушения, упомянутым</w:t>
      </w:r>
      <w:r w:rsidR="008F0462">
        <w:rPr>
          <w:i/>
          <w:iCs/>
          <w:lang w:val="ru-RU"/>
        </w:rPr>
        <w:br/>
        <w:t>в СОЛАС 1974 года. –</w:t>
      </w:r>
      <w:r w:rsidRPr="003523D6">
        <w:rPr>
          <w:i/>
          <w:iCs/>
          <w:lang w:val="ru-RU"/>
        </w:rPr>
        <w:t xml:space="preserve"> Принято 4 июня 2008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92" w:rsidRPr="00333B92" w:rsidRDefault="00BB62B1">
    <w:pPr>
      <w:pStyle w:val="Header"/>
    </w:pPr>
    <w:fldSimple w:instr=" TITLE  \* MERGEFORMAT ">
      <w:r w:rsidR="000111F8">
        <w:t>ECE/TRANS/WP.15/AC.2/2017/45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92" w:rsidRPr="00333B92" w:rsidRDefault="00BB62B1" w:rsidP="00333B92">
    <w:pPr>
      <w:pStyle w:val="Header"/>
      <w:jc w:val="right"/>
    </w:pPr>
    <w:fldSimple w:instr=" TITLE  \* MERGEFORMAT ">
      <w:r w:rsidR="000111F8">
        <w:t>ECE/TRANS/WP.15/AC.2/2017/45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8A"/>
    <w:rsid w:val="000111F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4D4C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281E"/>
    <w:rsid w:val="00333B92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9309A"/>
    <w:rsid w:val="004D1EEA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B0B9B"/>
    <w:rsid w:val="006C2031"/>
    <w:rsid w:val="006D461A"/>
    <w:rsid w:val="006F35EE"/>
    <w:rsid w:val="00701202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0462"/>
    <w:rsid w:val="008F7609"/>
    <w:rsid w:val="00906890"/>
    <w:rsid w:val="00911BE4"/>
    <w:rsid w:val="00951972"/>
    <w:rsid w:val="009608F3"/>
    <w:rsid w:val="009A24AC"/>
    <w:rsid w:val="009C6FE6"/>
    <w:rsid w:val="00A11C18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62B1"/>
    <w:rsid w:val="00BC18B2"/>
    <w:rsid w:val="00BD33EE"/>
    <w:rsid w:val="00BE1CC7"/>
    <w:rsid w:val="00C106D6"/>
    <w:rsid w:val="00C119AE"/>
    <w:rsid w:val="00C60F0C"/>
    <w:rsid w:val="00C805C9"/>
    <w:rsid w:val="00C92939"/>
    <w:rsid w:val="00C97F7F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3768A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60E7"/>
    <w:rsid w:val="00F94155"/>
    <w:rsid w:val="00F9783F"/>
    <w:rsid w:val="00FD2EF7"/>
    <w:rsid w:val="00FE447E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878079E-DBC1-4EB1-80F2-880630C0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ECE/TRANS/WP.15/AC.2/2017/45</vt:lpstr>
      <vt:lpstr> ECE/TRANS/WP.15/AC.2/2017/45</vt:lpstr>
      <vt:lpstr>A/</vt:lpstr>
    </vt:vector>
  </TitlesOfParts>
  <Company>DCM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ECE/TRANS/WP.15/AC.2/2017/45</dc:title>
  <dc:subject/>
  <dc:creator>Kisseleva</dc:creator>
  <cp:keywords/>
  <cp:lastModifiedBy>Marie-Claude Collet</cp:lastModifiedBy>
  <cp:revision>3</cp:revision>
  <cp:lastPrinted>2017-07-10T06:15:00Z</cp:lastPrinted>
  <dcterms:created xsi:type="dcterms:W3CDTF">2017-07-10T06:15:00Z</dcterms:created>
  <dcterms:modified xsi:type="dcterms:W3CDTF">2017-07-10T06:16:00Z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