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95CC8" w:rsidP="00E95CC8">
            <w:pPr>
              <w:suppressAutoHyphens w:val="0"/>
              <w:spacing w:after="20"/>
              <w:jc w:val="right"/>
            </w:pPr>
            <w:r w:rsidRPr="00E95CC8">
              <w:rPr>
                <w:sz w:val="40"/>
              </w:rPr>
              <w:t>ECE</w:t>
            </w:r>
            <w:r>
              <w:t>/TRANS/WP.15/AC.2/2017/40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95CC8" w:rsidP="00E95CC8">
            <w:pPr>
              <w:suppressAutoHyphens w:val="0"/>
              <w:spacing w:before="240" w:line="240" w:lineRule="exact"/>
            </w:pPr>
            <w:r>
              <w:t>Distr.: General</w:t>
            </w:r>
          </w:p>
          <w:p w:rsidR="00E95CC8" w:rsidRDefault="00E95CC8" w:rsidP="00E95CC8">
            <w:pPr>
              <w:suppressAutoHyphens w:val="0"/>
            </w:pPr>
            <w:r>
              <w:t>9 June 2017</w:t>
            </w:r>
          </w:p>
          <w:p w:rsidR="00E95CC8" w:rsidRDefault="00E95CC8" w:rsidP="00E95CC8">
            <w:pPr>
              <w:suppressAutoHyphens w:val="0"/>
            </w:pPr>
            <w:r>
              <w:t>English</w:t>
            </w:r>
          </w:p>
          <w:p w:rsidR="00E95CC8" w:rsidRDefault="00E95CC8" w:rsidP="00E95CC8">
            <w:pPr>
              <w:suppressAutoHyphens w:val="0"/>
            </w:pPr>
            <w:r>
              <w:t>Original: French</w:t>
            </w:r>
          </w:p>
        </w:tc>
      </w:tr>
    </w:tbl>
    <w:p w:rsidR="000E43E6" w:rsidRDefault="000E43E6">
      <w:pPr>
        <w:spacing w:before="120"/>
        <w:rPr>
          <w:b/>
          <w:sz w:val="28"/>
          <w:szCs w:val="28"/>
        </w:rPr>
      </w:pPr>
      <w:r>
        <w:rPr>
          <w:b/>
          <w:sz w:val="28"/>
          <w:szCs w:val="28"/>
        </w:rPr>
        <w:t>Economic Commission for Europe</w:t>
      </w:r>
    </w:p>
    <w:p w:rsidR="000E43E6" w:rsidRDefault="000E43E6">
      <w:pPr>
        <w:spacing w:before="120"/>
        <w:rPr>
          <w:sz w:val="28"/>
          <w:szCs w:val="28"/>
        </w:rPr>
      </w:pPr>
      <w:r>
        <w:rPr>
          <w:sz w:val="28"/>
          <w:szCs w:val="28"/>
        </w:rPr>
        <w:t>Inland Transport Committee</w:t>
      </w:r>
    </w:p>
    <w:p w:rsidR="000E43E6" w:rsidRDefault="000E43E6">
      <w:pPr>
        <w:spacing w:before="120"/>
        <w:rPr>
          <w:b/>
          <w:sz w:val="24"/>
          <w:szCs w:val="24"/>
        </w:rPr>
      </w:pPr>
      <w:r>
        <w:rPr>
          <w:b/>
          <w:sz w:val="24"/>
          <w:szCs w:val="24"/>
        </w:rPr>
        <w:t xml:space="preserve">Working Party on the Transport </w:t>
      </w:r>
      <w:r w:rsidRPr="000E43E6">
        <w:rPr>
          <w:b/>
          <w:sz w:val="24"/>
          <w:szCs w:val="24"/>
        </w:rPr>
        <w:t>of Dangerous Goods</w:t>
      </w:r>
    </w:p>
    <w:p w:rsidR="000E43E6" w:rsidRPr="002210B8" w:rsidRDefault="000E43E6" w:rsidP="002210B8">
      <w:pPr>
        <w:spacing w:before="120"/>
        <w:rPr>
          <w:b/>
        </w:rPr>
      </w:pPr>
      <w:r w:rsidRPr="002210B8">
        <w:rPr>
          <w:b/>
        </w:rPr>
        <w:t>Joint Meeting of Experts on the Regulations annexed</w:t>
      </w:r>
      <w:r w:rsidR="002210B8" w:rsidRPr="002210B8">
        <w:rPr>
          <w:b/>
        </w:rPr>
        <w:br/>
      </w:r>
      <w:r w:rsidRPr="002210B8">
        <w:rPr>
          <w:b/>
        </w:rPr>
        <w:t>to the European Agreeme</w:t>
      </w:r>
      <w:r w:rsidR="002210B8" w:rsidRPr="002210B8">
        <w:rPr>
          <w:b/>
        </w:rPr>
        <w:t>nt concerning the International</w:t>
      </w:r>
      <w:r w:rsidR="002210B8" w:rsidRPr="002210B8">
        <w:rPr>
          <w:b/>
        </w:rPr>
        <w:br/>
      </w:r>
      <w:r w:rsidRPr="002210B8">
        <w:rPr>
          <w:b/>
        </w:rPr>
        <w:t>Carriage of Dangerous Goods by Inland Waterways (ADN)</w:t>
      </w:r>
      <w:r w:rsidR="002210B8" w:rsidRPr="002210B8">
        <w:rPr>
          <w:b/>
        </w:rPr>
        <w:br/>
      </w:r>
      <w:r w:rsidRPr="002210B8">
        <w:rPr>
          <w:b/>
        </w:rPr>
        <w:t>(ADN Safety Committee)</w:t>
      </w:r>
    </w:p>
    <w:p w:rsidR="000E43E6" w:rsidRPr="002210B8" w:rsidRDefault="000E43E6" w:rsidP="002210B8">
      <w:pPr>
        <w:spacing w:before="120"/>
        <w:rPr>
          <w:b/>
        </w:rPr>
      </w:pPr>
      <w:r w:rsidRPr="002210B8">
        <w:rPr>
          <w:b/>
        </w:rPr>
        <w:t>Thirty-first session</w:t>
      </w:r>
    </w:p>
    <w:p w:rsidR="000E43E6" w:rsidRPr="007964E7" w:rsidRDefault="000E43E6" w:rsidP="000E43E6">
      <w:r w:rsidRPr="007964E7">
        <w:t>Geneva, 28</w:t>
      </w:r>
      <w:r w:rsidR="002210B8">
        <w:t>-</w:t>
      </w:r>
      <w:r w:rsidRPr="007964E7">
        <w:t>31 August 2017</w:t>
      </w:r>
    </w:p>
    <w:p w:rsidR="000E43E6" w:rsidRPr="007964E7" w:rsidRDefault="000E43E6" w:rsidP="000E43E6">
      <w:r w:rsidRPr="007964E7">
        <w:t>Item 4 (b) of the provisional agenda</w:t>
      </w:r>
    </w:p>
    <w:p w:rsidR="000E43E6" w:rsidRPr="002210B8" w:rsidRDefault="000E43E6" w:rsidP="000E43E6">
      <w:pPr>
        <w:rPr>
          <w:b/>
        </w:rPr>
      </w:pPr>
      <w:r w:rsidRPr="002210B8">
        <w:rPr>
          <w:b/>
        </w:rPr>
        <w:t>Proposals for amendments to the Regulations annexed to ADN:</w:t>
      </w:r>
      <w:r w:rsidR="002210B8" w:rsidRPr="002210B8">
        <w:rPr>
          <w:b/>
        </w:rPr>
        <w:br/>
      </w:r>
      <w:r w:rsidRPr="002210B8">
        <w:rPr>
          <w:b/>
        </w:rPr>
        <w:t>Other proposals</w:t>
      </w:r>
    </w:p>
    <w:p w:rsidR="000E43E6" w:rsidRPr="009E6BAE" w:rsidRDefault="00A62C18" w:rsidP="009E6BAE">
      <w:pPr>
        <w:pStyle w:val="HChG"/>
      </w:pPr>
      <w:r>
        <w:tab/>
      </w:r>
      <w:r>
        <w:tab/>
      </w:r>
      <w:r w:rsidR="009E6BAE" w:rsidRPr="007964E7">
        <w:t>Construction</w:t>
      </w:r>
      <w:r w:rsidR="009E6BAE">
        <w:t xml:space="preserve"> m</w:t>
      </w:r>
      <w:r w:rsidR="009E6BAE" w:rsidRPr="009E6BAE">
        <w:t>aterials</w:t>
      </w:r>
    </w:p>
    <w:p w:rsidR="000E43E6" w:rsidRPr="007964E7" w:rsidRDefault="00A62C18" w:rsidP="00A62C18">
      <w:pPr>
        <w:pStyle w:val="H1G"/>
      </w:pPr>
      <w:r>
        <w:tab/>
      </w:r>
      <w:r>
        <w:tab/>
      </w:r>
      <w:r w:rsidR="000E43E6" w:rsidRPr="007964E7">
        <w:t>Transmitted jointly by the European Barge Union (EBU), the European River-Sea-Transport Union (ERSTU) and the European Skippers Organization (ESO)</w:t>
      </w:r>
      <w:r w:rsidR="000E43E6" w:rsidRPr="00A62C18">
        <w:rPr>
          <w:b w:val="0"/>
          <w:sz w:val="20"/>
        </w:rPr>
        <w:footnoteReference w:customMarkFollows="1" w:id="1"/>
        <w:t>*</w:t>
      </w:r>
      <w:r w:rsidR="000E43E6" w:rsidRPr="00A62C18">
        <w:rPr>
          <w:b w:val="0"/>
          <w:position w:val="8"/>
          <w:sz w:val="20"/>
        </w:rPr>
        <w:t>,</w:t>
      </w:r>
      <w:r w:rsidR="00362D09">
        <w:rPr>
          <w:b w:val="0"/>
          <w:position w:val="8"/>
          <w:sz w:val="20"/>
        </w:rPr>
        <w:t xml:space="preserve"> </w:t>
      </w:r>
      <w:r w:rsidR="000E43E6" w:rsidRPr="00A62C18">
        <w:rPr>
          <w:b w:val="0"/>
          <w:sz w:val="20"/>
        </w:rPr>
        <w:t>**</w:t>
      </w:r>
    </w:p>
    <w:p w:rsidR="000E43E6" w:rsidRPr="007964E7" w:rsidRDefault="00A62C18" w:rsidP="00A62C18">
      <w:pPr>
        <w:pStyle w:val="HChG"/>
      </w:pPr>
      <w:r>
        <w:tab/>
      </w:r>
      <w:r>
        <w:tab/>
      </w:r>
      <w:r w:rsidR="000E43E6" w:rsidRPr="007964E7">
        <w:t>Introduction</w:t>
      </w:r>
    </w:p>
    <w:p w:rsidR="000E43E6" w:rsidRPr="007964E7" w:rsidRDefault="000E43E6" w:rsidP="00A62C18">
      <w:pPr>
        <w:pStyle w:val="SingleTxtG"/>
      </w:pPr>
      <w:r w:rsidRPr="007964E7">
        <w:t>1.</w:t>
      </w:r>
      <w:r w:rsidRPr="007964E7">
        <w:tab/>
        <w:t>At its twenty-seventh session, the ADN Safety Committee again considered the</w:t>
      </w:r>
      <w:r w:rsidR="007703E6">
        <w:t xml:space="preserve"> </w:t>
      </w:r>
      <w:r w:rsidRPr="007964E7">
        <w:t>request from the industry that the provisions on the use of permissible construction materials be brought up to date and presented in a different form. The records of the meetings contain the following remarks:</w:t>
      </w:r>
    </w:p>
    <w:p w:rsidR="000E43E6" w:rsidRPr="007964E7" w:rsidRDefault="00CB5229" w:rsidP="00CB5229">
      <w:pPr>
        <w:pStyle w:val="H1G"/>
      </w:pPr>
      <w:r>
        <w:tab/>
      </w:r>
      <w:r>
        <w:tab/>
      </w:r>
      <w:r w:rsidR="000E43E6" w:rsidRPr="007964E7">
        <w:t>Twenty-seventh session (ECE/TRANS/WP.15/AC.2/56)</w:t>
      </w:r>
    </w:p>
    <w:p w:rsidR="000E43E6" w:rsidRPr="007964E7" w:rsidRDefault="00CB5229" w:rsidP="00CB5229">
      <w:pPr>
        <w:pStyle w:val="H23G"/>
      </w:pPr>
      <w:r>
        <w:tab/>
      </w:r>
      <w:r>
        <w:tab/>
      </w:r>
      <w:r w:rsidR="007703E6">
        <w:t>“</w:t>
      </w:r>
      <w:r w:rsidR="000E43E6" w:rsidRPr="007964E7">
        <w:t>16.</w:t>
      </w:r>
      <w:r w:rsidR="000E43E6" w:rsidRPr="007964E7">
        <w:tab/>
        <w:t>Construction materials</w:t>
      </w:r>
    </w:p>
    <w:p w:rsidR="000E43E6" w:rsidRPr="007964E7" w:rsidRDefault="000E43E6" w:rsidP="00A62C18">
      <w:pPr>
        <w:pStyle w:val="SingleTxtG"/>
      </w:pPr>
      <w:r w:rsidRPr="00CB5229">
        <w:rPr>
          <w:i/>
        </w:rPr>
        <w:t>Document</w:t>
      </w:r>
      <w:r w:rsidRPr="007964E7">
        <w:t>:</w:t>
      </w:r>
      <w:r w:rsidRPr="007964E7">
        <w:tab/>
        <w:t>ECE/TRANS/WP.15/AC.2/2015/19 and Corr.1 (EBU, ERSTU, ESO)</w:t>
      </w:r>
    </w:p>
    <w:p w:rsidR="000E43E6" w:rsidRPr="007964E7" w:rsidRDefault="000E43E6" w:rsidP="00A62C18">
      <w:pPr>
        <w:pStyle w:val="SingleTxtG"/>
      </w:pPr>
      <w:r w:rsidRPr="007964E7">
        <w:t>59.</w:t>
      </w:r>
      <w:r w:rsidRPr="007964E7">
        <w:tab/>
        <w:t xml:space="preserve">Several delegations supported the proposed inclusion of provisions that would take account of the increasing use of modern materials on vessels, but wished to see them </w:t>
      </w:r>
      <w:r w:rsidRPr="007964E7">
        <w:lastRenderedPageBreak/>
        <w:t>presented in a more user-friendly form, for instance, as a table. A new proposal would be submitted to the next session.</w:t>
      </w:r>
      <w:r w:rsidR="007703E6">
        <w:t>”</w:t>
      </w:r>
    </w:p>
    <w:p w:rsidR="000E43E6" w:rsidRPr="007964E7" w:rsidRDefault="000B3F64" w:rsidP="000B3F64">
      <w:pPr>
        <w:pStyle w:val="H1G"/>
      </w:pPr>
      <w:r>
        <w:tab/>
      </w:r>
      <w:r>
        <w:tab/>
      </w:r>
      <w:r w:rsidR="000E43E6" w:rsidRPr="007964E7">
        <w:t>Twenty-eighth session (ECE/TRANS/WP.15/AC.2/58)</w:t>
      </w:r>
    </w:p>
    <w:p w:rsidR="000E43E6" w:rsidRPr="007964E7" w:rsidRDefault="000B3F64" w:rsidP="000B3F64">
      <w:pPr>
        <w:pStyle w:val="H23G"/>
      </w:pPr>
      <w:bookmarkStart w:id="1" w:name="_Toc442372135"/>
      <w:r>
        <w:tab/>
      </w:r>
      <w:r>
        <w:tab/>
      </w:r>
      <w:r w:rsidR="007703E6">
        <w:t>“</w:t>
      </w:r>
      <w:r w:rsidR="000E43E6" w:rsidRPr="007964E7">
        <w:t>16.</w:t>
      </w:r>
      <w:r w:rsidR="000E43E6" w:rsidRPr="007964E7">
        <w:tab/>
        <w:t>Construction materials</w:t>
      </w:r>
      <w:bookmarkEnd w:id="1"/>
    </w:p>
    <w:p w:rsidR="000E43E6" w:rsidRPr="007964E7" w:rsidRDefault="000E43E6" w:rsidP="00A62C18">
      <w:pPr>
        <w:pStyle w:val="SingleTxtG"/>
      </w:pPr>
      <w:r w:rsidRPr="000B3F64">
        <w:rPr>
          <w:i/>
        </w:rPr>
        <w:t>Document:</w:t>
      </w:r>
      <w:r w:rsidRPr="007964E7">
        <w:tab/>
        <w:t>ECE/TRANS/WP.15/AC.2/2016/22 (EBU, ERSTU and ESO)</w:t>
      </w:r>
    </w:p>
    <w:p w:rsidR="000B3F64" w:rsidRDefault="000E43E6" w:rsidP="00A62C18">
      <w:pPr>
        <w:pStyle w:val="SingleTxtG"/>
      </w:pPr>
      <w:r w:rsidRPr="000B3F64">
        <w:rPr>
          <w:i/>
        </w:rPr>
        <w:t>Informal document</w:t>
      </w:r>
      <w:r w:rsidRPr="007964E7">
        <w:t>:</w:t>
      </w:r>
      <w:r w:rsidRPr="007964E7">
        <w:tab/>
        <w:t>INF.19 (EBU, ERSTU and ESO)</w:t>
      </w:r>
    </w:p>
    <w:p w:rsidR="000E43E6" w:rsidRPr="007964E7" w:rsidRDefault="000E43E6" w:rsidP="00A62C18">
      <w:pPr>
        <w:pStyle w:val="SingleTxtG"/>
      </w:pPr>
      <w:r w:rsidRPr="007964E7">
        <w:t>51.</w:t>
      </w:r>
      <w:r w:rsidRPr="007964E7">
        <w:tab/>
        <w:t>The Safety Committee agreed in principle to present in the form of a table the various cases where wood, aluminium alloys, plastics or rubber could be used, but considered that some of the suggested additions concerned movable items of equipment and thus came under Part 7, rather than Part 9, of the Regulations.</w:t>
      </w:r>
    </w:p>
    <w:p w:rsidR="000E43E6" w:rsidRPr="007964E7" w:rsidRDefault="000E43E6" w:rsidP="00A62C18">
      <w:pPr>
        <w:pStyle w:val="SingleTxtG"/>
      </w:pPr>
      <w:r w:rsidRPr="007964E7">
        <w:t>52.</w:t>
      </w:r>
      <w:r w:rsidRPr="007964E7">
        <w:tab/>
        <w:t>The authors were invited to draw up a new proposal that would cover both parts adequately, taking account of the comments made.</w:t>
      </w:r>
      <w:r w:rsidR="007703E6">
        <w:t>”</w:t>
      </w:r>
    </w:p>
    <w:p w:rsidR="000E43E6" w:rsidRPr="007964E7" w:rsidRDefault="00AD6BCF" w:rsidP="00AD6BCF">
      <w:pPr>
        <w:pStyle w:val="H1G"/>
      </w:pPr>
      <w:r>
        <w:tab/>
      </w:r>
      <w:r>
        <w:tab/>
      </w:r>
      <w:r w:rsidR="000E43E6" w:rsidRPr="007964E7">
        <w:t>Twenty-ninth session (ECE/TRANS/WP.15/AC.2/60)</w:t>
      </w:r>
    </w:p>
    <w:p w:rsidR="000E43E6" w:rsidRPr="007964E7" w:rsidRDefault="00AD6BCF" w:rsidP="00AD6BCF">
      <w:pPr>
        <w:pStyle w:val="H23G"/>
      </w:pPr>
      <w:r>
        <w:tab/>
      </w:r>
      <w:r>
        <w:tab/>
      </w:r>
      <w:r w:rsidR="007703E6">
        <w:t>“</w:t>
      </w:r>
      <w:r w:rsidR="000E43E6" w:rsidRPr="007964E7">
        <w:t>5.</w:t>
      </w:r>
      <w:r w:rsidR="000E43E6" w:rsidRPr="007964E7">
        <w:tab/>
        <w:t>Materials of construction</w:t>
      </w:r>
    </w:p>
    <w:p w:rsidR="000E43E6" w:rsidRPr="007964E7" w:rsidRDefault="000E43E6" w:rsidP="00A62C18">
      <w:pPr>
        <w:pStyle w:val="SingleTxtG"/>
      </w:pPr>
      <w:r w:rsidRPr="00AD6BCF">
        <w:rPr>
          <w:i/>
        </w:rPr>
        <w:t>Document</w:t>
      </w:r>
      <w:r w:rsidRPr="007964E7">
        <w:t>:</w:t>
      </w:r>
      <w:r w:rsidRPr="007964E7">
        <w:tab/>
        <w:t>ECE/TRANS/WP.15/AC.2/2016/41 (EBU, ERSTU and ESO)</w:t>
      </w:r>
    </w:p>
    <w:p w:rsidR="000E43E6" w:rsidRPr="007964E7" w:rsidRDefault="000E43E6" w:rsidP="00A62C18">
      <w:pPr>
        <w:pStyle w:val="SingleTxtG"/>
      </w:pPr>
      <w:r w:rsidRPr="007964E7">
        <w:t>33.</w:t>
      </w:r>
      <w:r w:rsidRPr="007964E7">
        <w:tab/>
        <w:t>The Safety Committee was generally in favour of the proposals, but the authors were invited to submit a new document at the next session, taking into account various comments.</w:t>
      </w:r>
      <w:r w:rsidR="007703E6">
        <w:t>”</w:t>
      </w:r>
    </w:p>
    <w:p w:rsidR="000E43E6" w:rsidRPr="007964E7" w:rsidRDefault="00AD6BCF" w:rsidP="00AD6BCF">
      <w:pPr>
        <w:pStyle w:val="H1G"/>
      </w:pPr>
      <w:r>
        <w:tab/>
      </w:r>
      <w:r>
        <w:tab/>
      </w:r>
      <w:r w:rsidR="000E43E6" w:rsidRPr="007964E7">
        <w:t>Thirtieth session (ECE/TRANS/WP.15/AC.2/62)</w:t>
      </w:r>
    </w:p>
    <w:p w:rsidR="000E43E6" w:rsidRPr="007964E7" w:rsidRDefault="00AD6BCF" w:rsidP="00AD6BCF">
      <w:pPr>
        <w:pStyle w:val="H23G"/>
      </w:pPr>
      <w:r>
        <w:tab/>
      </w:r>
      <w:r>
        <w:tab/>
      </w:r>
      <w:r w:rsidR="007703E6">
        <w:t>“</w:t>
      </w:r>
      <w:r w:rsidR="000E43E6" w:rsidRPr="007964E7">
        <w:t>10.</w:t>
      </w:r>
      <w:r>
        <w:tab/>
      </w:r>
      <w:r w:rsidR="000E43E6" w:rsidRPr="007964E7">
        <w:t>Construction materials</w:t>
      </w:r>
    </w:p>
    <w:p w:rsidR="000E43E6" w:rsidRPr="007964E7" w:rsidRDefault="000E43E6" w:rsidP="00A62C18">
      <w:pPr>
        <w:pStyle w:val="SingleTxtG"/>
      </w:pPr>
      <w:r w:rsidRPr="00AD6BCF">
        <w:rPr>
          <w:i/>
        </w:rPr>
        <w:t>Informal document</w:t>
      </w:r>
      <w:r w:rsidR="00AD6BCF">
        <w:t>:</w:t>
      </w:r>
      <w:r w:rsidR="00AD6BCF">
        <w:tab/>
        <w:t xml:space="preserve">INF.24 (EBU, </w:t>
      </w:r>
      <w:r w:rsidR="00C434FF">
        <w:t xml:space="preserve">ERSTU </w:t>
      </w:r>
      <w:r w:rsidR="00AD6BCF">
        <w:t>and</w:t>
      </w:r>
      <w:r w:rsidR="00C434FF" w:rsidRPr="00C434FF">
        <w:t xml:space="preserve"> </w:t>
      </w:r>
      <w:r w:rsidR="00C434FF">
        <w:t>ESO</w:t>
      </w:r>
      <w:r w:rsidR="00AD6BCF">
        <w:t>)</w:t>
      </w:r>
    </w:p>
    <w:p w:rsidR="000E43E6" w:rsidRPr="007964E7" w:rsidRDefault="000E43E6" w:rsidP="00A62C18">
      <w:pPr>
        <w:pStyle w:val="SingleTxtG"/>
      </w:pPr>
      <w:r w:rsidRPr="007964E7">
        <w:t>67.</w:t>
      </w:r>
      <w:r w:rsidRPr="007964E7">
        <w:tab/>
        <w:t>The Safety Committee invited those delegations interested to send their comments to the representative of EBU within two months so that an official proposal could be prepared for the next session.</w:t>
      </w:r>
      <w:r w:rsidR="007703E6">
        <w:t>”</w:t>
      </w:r>
    </w:p>
    <w:p w:rsidR="000E43E6" w:rsidRPr="007964E7" w:rsidRDefault="00AD6BCF" w:rsidP="00DC1FF9">
      <w:pPr>
        <w:pStyle w:val="HChG"/>
      </w:pPr>
      <w:r>
        <w:tab/>
      </w:r>
      <w:r>
        <w:tab/>
      </w:r>
      <w:r w:rsidR="000E43E6" w:rsidRPr="00DC1FF9">
        <w:t>Proposals</w:t>
      </w:r>
    </w:p>
    <w:p w:rsidR="000E43E6" w:rsidRPr="007964E7" w:rsidRDefault="000E43E6" w:rsidP="00A62C18">
      <w:pPr>
        <w:pStyle w:val="SingleTxtG"/>
      </w:pPr>
      <w:r w:rsidRPr="007964E7">
        <w:t>2.</w:t>
      </w:r>
      <w:r w:rsidRPr="007964E7">
        <w:tab/>
        <w:t>The navigation industry did not receive any comments on this topic at the end of the thirtieth session of the Safety Committee. EBU, ESO and ERSTU therefore submit the following proposals:</w:t>
      </w:r>
    </w:p>
    <w:p w:rsidR="000E43E6" w:rsidRPr="007964E7" w:rsidRDefault="000E43E6" w:rsidP="00A62C18">
      <w:pPr>
        <w:pStyle w:val="SingleTxtG"/>
      </w:pPr>
      <w:r w:rsidRPr="007964E7">
        <w:t>3.</w:t>
      </w:r>
      <w:r w:rsidRPr="007964E7">
        <w:tab/>
        <w:t>By analogy with 9.3.1.0.1, insert a new subsection, 7.1.2.3:</w:t>
      </w:r>
    </w:p>
    <w:p w:rsidR="000E43E6" w:rsidRPr="007964E7" w:rsidRDefault="007703E6" w:rsidP="00CE722C">
      <w:pPr>
        <w:pStyle w:val="SingleTxtG"/>
        <w:ind w:left="1701"/>
      </w:pPr>
      <w:r>
        <w:t>“</w:t>
      </w:r>
      <w:r w:rsidR="000E43E6" w:rsidRPr="007964E7">
        <w:t>In the cargo area, movable items of equipment may be used only if produced with materials which can neither be dangerously affected by the cargo nor cause decomposition of the cargo or react with it so as to form h</w:t>
      </w:r>
      <w:r w:rsidR="00CE722C">
        <w:t>armful or hazardous products.</w:t>
      </w:r>
      <w:r>
        <w:t>”</w:t>
      </w:r>
    </w:p>
    <w:p w:rsidR="000E43E6" w:rsidRPr="007964E7" w:rsidRDefault="000E43E6" w:rsidP="00A62C18">
      <w:pPr>
        <w:pStyle w:val="SingleTxtG"/>
      </w:pPr>
      <w:r w:rsidRPr="007964E7">
        <w:t>4.</w:t>
      </w:r>
      <w:r w:rsidRPr="007964E7">
        <w:tab/>
        <w:t>By analogy with 9.3.1.0.1, insert a new subsection, 7.2.2.3:</w:t>
      </w:r>
    </w:p>
    <w:p w:rsidR="000E43E6" w:rsidRPr="007964E7" w:rsidRDefault="007703E6" w:rsidP="00CE722C">
      <w:pPr>
        <w:pStyle w:val="SingleTxtG"/>
        <w:ind w:left="1701"/>
      </w:pPr>
      <w:r>
        <w:t>“</w:t>
      </w:r>
      <w:r w:rsidR="000E43E6" w:rsidRPr="007964E7">
        <w:t>In the cargo area, movable items of equipment may be used only if produced with materials which can neither be dangerously affected by the cargo nor cause decomposition of the cargo or react with it so as to form harmful or hazardous products.</w:t>
      </w:r>
      <w:r>
        <w:t>”</w:t>
      </w:r>
    </w:p>
    <w:p w:rsidR="000E43E6" w:rsidRPr="007964E7" w:rsidRDefault="000E43E6" w:rsidP="00A62C18">
      <w:pPr>
        <w:pStyle w:val="SingleTxtG"/>
      </w:pPr>
      <w:r w:rsidRPr="007964E7">
        <w:t>5.</w:t>
      </w:r>
      <w:r w:rsidRPr="007964E7">
        <w:tab/>
        <w:t>9.3.x.0.5 reads as follows:</w:t>
      </w:r>
    </w:p>
    <w:p w:rsidR="000E43E6" w:rsidRPr="007964E7" w:rsidRDefault="007703E6" w:rsidP="00CE722C">
      <w:pPr>
        <w:pStyle w:val="SingleTxtG"/>
        <w:ind w:left="1701"/>
      </w:pPr>
      <w:r>
        <w:t>“</w:t>
      </w:r>
      <w:r w:rsidR="000E43E6" w:rsidRPr="007964E7">
        <w:t>The use of plastic material for vessel</w:t>
      </w:r>
      <w:r>
        <w:t>’</w:t>
      </w:r>
      <w:r w:rsidR="000E43E6" w:rsidRPr="007964E7">
        <w:t>s boats is permitted only if the material does not readily ignite.</w:t>
      </w:r>
      <w:r>
        <w:t>”</w:t>
      </w:r>
    </w:p>
    <w:p w:rsidR="000E43E6" w:rsidRPr="007964E7" w:rsidRDefault="000E43E6" w:rsidP="00A62C18">
      <w:pPr>
        <w:pStyle w:val="SingleTxtG"/>
      </w:pPr>
      <w:r w:rsidRPr="007964E7">
        <w:lastRenderedPageBreak/>
        <w:t>The proposal is to change it as follows:</w:t>
      </w:r>
    </w:p>
    <w:p w:rsidR="000E43E6" w:rsidRPr="007964E7" w:rsidRDefault="007703E6" w:rsidP="00CE722C">
      <w:pPr>
        <w:pStyle w:val="SingleTxtG"/>
        <w:ind w:left="1701"/>
      </w:pPr>
      <w:r>
        <w:t>“</w:t>
      </w:r>
      <w:r w:rsidR="000E43E6" w:rsidRPr="007964E7">
        <w:t xml:space="preserve">The use of plastic material for lifeboats </w:t>
      </w:r>
      <w:r w:rsidR="000E43E6" w:rsidRPr="00DC1FF9">
        <w:rPr>
          <w:u w:val="single"/>
        </w:rPr>
        <w:t>in the cargo</w:t>
      </w:r>
      <w:r w:rsidR="000E43E6" w:rsidRPr="007964E7">
        <w:t xml:space="preserve"> area is permitted only if the material does not readily ignite.</w:t>
      </w:r>
    </w:p>
    <w:p w:rsidR="000E43E6" w:rsidRPr="00DC1FF9" w:rsidRDefault="007703E6" w:rsidP="00CE722C">
      <w:pPr>
        <w:pStyle w:val="SingleTxtG"/>
        <w:ind w:left="1701"/>
        <w:rPr>
          <w:u w:val="single"/>
        </w:rPr>
      </w:pPr>
      <w:r w:rsidRPr="00DC1FF9">
        <w:rPr>
          <w:u w:val="single"/>
        </w:rPr>
        <w:t>“</w:t>
      </w:r>
      <w:r w:rsidR="000E43E6" w:rsidRPr="00DC1FF9">
        <w:rPr>
          <w:u w:val="single"/>
        </w:rPr>
        <w:t>The use of aluminium alloys or plastic material for passageways (gangways) in the cargo area is permitted only if the material does not readily ignite or conduct electricity.</w:t>
      </w:r>
      <w:r w:rsidRPr="00DC1FF9">
        <w:rPr>
          <w:u w:val="single"/>
        </w:rPr>
        <w:t>”</w:t>
      </w:r>
      <w:r w:rsidR="000E43E6" w:rsidRPr="00DC1FF9">
        <w:rPr>
          <w:u w:val="single"/>
        </w:rPr>
        <w:t xml:space="preserve"> </w:t>
      </w:r>
    </w:p>
    <w:p w:rsidR="000E43E6" w:rsidRPr="007964E7" w:rsidRDefault="000E43E6" w:rsidP="00A62C18">
      <w:pPr>
        <w:pStyle w:val="SingleTxtG"/>
      </w:pPr>
      <w:r w:rsidRPr="007964E7">
        <w:t>6.</w:t>
      </w:r>
      <w:r w:rsidRPr="007964E7">
        <w:tab/>
        <w:t>The content of subsections 9.3.x.0.3 is presented in tabular form; see annex.</w:t>
      </w:r>
    </w:p>
    <w:p w:rsidR="000E43E6" w:rsidRPr="007964E7" w:rsidRDefault="000E43E6" w:rsidP="00A62C18">
      <w:pPr>
        <w:pStyle w:val="SingleTxtG"/>
      </w:pPr>
      <w:r w:rsidRPr="007964E7">
        <w:t>7.</w:t>
      </w:r>
      <w:r w:rsidRPr="007964E7">
        <w:tab/>
        <w:t>The following changes have been made to the earlier versions of the table:</w:t>
      </w:r>
    </w:p>
    <w:p w:rsidR="000E43E6" w:rsidRPr="007964E7" w:rsidRDefault="000E43E6" w:rsidP="00444E11">
      <w:pPr>
        <w:pStyle w:val="Bullet1G"/>
      </w:pPr>
      <w:r w:rsidRPr="007964E7">
        <w:t>A footnote referring to subsection 9.3.x.0.5 has been added to the line External ladders and passageways (gangways);</w:t>
      </w:r>
    </w:p>
    <w:p w:rsidR="000E43E6" w:rsidRPr="007964E7" w:rsidRDefault="000E43E6" w:rsidP="00444E11">
      <w:pPr>
        <w:pStyle w:val="Bullet1G"/>
      </w:pPr>
      <w:r w:rsidRPr="007964E7">
        <w:t xml:space="preserve">A new line has been inserted for </w:t>
      </w:r>
      <w:r w:rsidR="007703E6">
        <w:t>“</w:t>
      </w:r>
      <w:r w:rsidRPr="007964E7">
        <w:t xml:space="preserve">Portable fire extinguishers </w:t>
      </w:r>
      <w:r w:rsidRPr="008C02AD">
        <w:rPr>
          <w:u w:val="single"/>
        </w:rPr>
        <w:t>made of plastic</w:t>
      </w:r>
      <w:r w:rsidR="007703E6" w:rsidRPr="008C02AD">
        <w:rPr>
          <w:u w:val="single"/>
        </w:rPr>
        <w:t>”</w:t>
      </w:r>
      <w:r w:rsidRPr="007964E7">
        <w:t xml:space="preserve">; </w:t>
      </w:r>
    </w:p>
    <w:p w:rsidR="000E43E6" w:rsidRPr="007964E7" w:rsidRDefault="007703E6" w:rsidP="00444E11">
      <w:pPr>
        <w:pStyle w:val="Bullet1G"/>
      </w:pPr>
      <w:r>
        <w:t>“</w:t>
      </w:r>
      <w:r w:rsidR="000E43E6" w:rsidRPr="007964E7">
        <w:t xml:space="preserve">Protective </w:t>
      </w:r>
      <w:r w:rsidR="000E43E6" w:rsidRPr="008C02AD">
        <w:rPr>
          <w:i/>
        </w:rPr>
        <w:t>casing</w:t>
      </w:r>
      <w:r>
        <w:t>”</w:t>
      </w:r>
      <w:r w:rsidR="000E43E6" w:rsidRPr="007964E7">
        <w:t xml:space="preserve"> was previously used in the line </w:t>
      </w:r>
      <w:r>
        <w:t>“</w:t>
      </w:r>
      <w:r w:rsidR="000E43E6" w:rsidRPr="007964E7">
        <w:t xml:space="preserve">Protective </w:t>
      </w:r>
      <w:r w:rsidR="000E43E6" w:rsidRPr="008C02AD">
        <w:rPr>
          <w:u w:val="single"/>
        </w:rPr>
        <w:t>covers</w:t>
      </w:r>
      <w:r w:rsidR="000E43E6" w:rsidRPr="007964E7">
        <w:t xml:space="preserve"> for motors and pumps</w:t>
      </w:r>
      <w:r>
        <w:t>”</w:t>
      </w:r>
      <w:r w:rsidR="000E43E6" w:rsidRPr="007964E7">
        <w:t xml:space="preserve">; </w:t>
      </w:r>
    </w:p>
    <w:p w:rsidR="00444E11" w:rsidRDefault="000E43E6" w:rsidP="00444E11">
      <w:pPr>
        <w:pStyle w:val="Bullet1G"/>
      </w:pPr>
      <w:r w:rsidRPr="007964E7">
        <w:t xml:space="preserve">Boxes, lockers or containers located on deck for the storage of movable items of equipment can also be made of wood; the </w:t>
      </w:r>
      <w:r w:rsidR="007703E6">
        <w:t>“</w:t>
      </w:r>
      <w:r w:rsidRPr="007964E7">
        <w:t>X</w:t>
      </w:r>
      <w:r w:rsidR="007703E6">
        <w:t>”</w:t>
      </w:r>
      <w:r w:rsidRPr="007964E7">
        <w:t xml:space="preserve"> was previously missing from the Wood column. </w:t>
      </w:r>
    </w:p>
    <w:p w:rsidR="000E43E6" w:rsidRPr="007964E7" w:rsidRDefault="00444E11" w:rsidP="0004195F">
      <w:pPr>
        <w:pStyle w:val="HChG"/>
      </w:pPr>
      <w:r>
        <w:br w:type="page"/>
      </w:r>
      <w:r w:rsidR="000E43E6" w:rsidRPr="007964E7">
        <w:t>Annex</w:t>
      </w:r>
    </w:p>
    <w:p w:rsidR="000E43E6" w:rsidRPr="007964E7" w:rsidRDefault="0004195F" w:rsidP="0004195F">
      <w:pPr>
        <w:pStyle w:val="H23G"/>
      </w:pPr>
      <w:r>
        <w:tab/>
      </w:r>
      <w:r>
        <w:tab/>
      </w:r>
      <w:r w:rsidR="000E43E6" w:rsidRPr="007964E7">
        <w:t>9.3.1.0.3, 9.3.2.0.3, 9.3.3.0.3</w:t>
      </w:r>
    </w:p>
    <w:p w:rsidR="000E43E6" w:rsidRPr="007964E7" w:rsidRDefault="0004195F" w:rsidP="00A62C18">
      <w:pPr>
        <w:pStyle w:val="SingleTxtG"/>
      </w:pPr>
      <w:r>
        <w:tab/>
      </w:r>
      <w:r w:rsidR="000E43E6" w:rsidRPr="007964E7">
        <w:t>The use of wood, aluminium alloys, plastic materials or rubber in the cargo area is permitted only as shown in the following table (</w:t>
      </w:r>
      <w:r w:rsidR="000E43E6" w:rsidRPr="001A2D00">
        <w:rPr>
          <w:i/>
        </w:rPr>
        <w:t>X means permitted</w:t>
      </w:r>
      <w:r w:rsidR="000E43E6" w:rsidRPr="007964E7">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987"/>
        <w:gridCol w:w="1553"/>
        <w:gridCol w:w="1550"/>
        <w:gridCol w:w="1440"/>
        <w:gridCol w:w="1109"/>
      </w:tblGrid>
      <w:tr w:rsidR="0004195F" w:rsidRPr="0004195F" w:rsidTr="001A2D00">
        <w:trPr>
          <w:trHeight w:val="227"/>
          <w:tblHeader/>
        </w:trPr>
        <w:tc>
          <w:tcPr>
            <w:tcW w:w="5115" w:type="dxa"/>
            <w:tcBorders>
              <w:top w:val="single" w:sz="4" w:space="0" w:color="auto"/>
              <w:bottom w:val="single" w:sz="12" w:space="0" w:color="auto"/>
            </w:tcBorders>
            <w:shd w:val="clear" w:color="auto" w:fill="auto"/>
            <w:noWrap/>
            <w:vAlign w:val="bottom"/>
            <w:hideMark/>
          </w:tcPr>
          <w:p w:rsidR="000E43E6" w:rsidRPr="0004195F" w:rsidRDefault="000E43E6" w:rsidP="0004195F">
            <w:pPr>
              <w:suppressAutoHyphens w:val="0"/>
              <w:spacing w:before="80" w:after="80" w:line="200" w:lineRule="exact"/>
              <w:ind w:right="113"/>
              <w:rPr>
                <w:i/>
                <w:sz w:val="16"/>
              </w:rPr>
            </w:pPr>
          </w:p>
        </w:tc>
        <w:tc>
          <w:tcPr>
            <w:tcW w:w="1988" w:type="dxa"/>
            <w:tcBorders>
              <w:top w:val="single" w:sz="4" w:space="0" w:color="auto"/>
              <w:bottom w:val="single" w:sz="12" w:space="0" w:color="auto"/>
            </w:tcBorders>
            <w:shd w:val="clear" w:color="auto" w:fill="auto"/>
            <w:noWrap/>
            <w:vAlign w:val="bottom"/>
            <w:hideMark/>
          </w:tcPr>
          <w:p w:rsidR="000E43E6" w:rsidRPr="0004195F" w:rsidRDefault="000E43E6" w:rsidP="0004195F">
            <w:pPr>
              <w:suppressAutoHyphens w:val="0"/>
              <w:spacing w:before="80" w:after="80" w:line="200" w:lineRule="exact"/>
              <w:ind w:right="113"/>
              <w:rPr>
                <w:i/>
                <w:sz w:val="16"/>
              </w:rPr>
            </w:pPr>
            <w:r w:rsidRPr="0004195F">
              <w:rPr>
                <w:i/>
                <w:sz w:val="16"/>
              </w:rPr>
              <w:t>Wood</w:t>
            </w:r>
          </w:p>
        </w:tc>
        <w:tc>
          <w:tcPr>
            <w:tcW w:w="1984" w:type="dxa"/>
            <w:tcBorders>
              <w:top w:val="single" w:sz="4" w:space="0" w:color="auto"/>
              <w:bottom w:val="single" w:sz="12" w:space="0" w:color="auto"/>
            </w:tcBorders>
            <w:shd w:val="clear" w:color="auto" w:fill="auto"/>
            <w:noWrap/>
            <w:vAlign w:val="bottom"/>
            <w:hideMark/>
          </w:tcPr>
          <w:p w:rsidR="000E43E6" w:rsidRPr="0004195F" w:rsidRDefault="000E43E6" w:rsidP="0004195F">
            <w:pPr>
              <w:suppressAutoHyphens w:val="0"/>
              <w:spacing w:before="80" w:after="80" w:line="200" w:lineRule="exact"/>
              <w:ind w:right="113"/>
              <w:rPr>
                <w:i/>
                <w:sz w:val="16"/>
              </w:rPr>
            </w:pPr>
            <w:r w:rsidRPr="0004195F">
              <w:rPr>
                <w:i/>
                <w:sz w:val="16"/>
              </w:rPr>
              <w:t>Aluminium alloys</w:t>
            </w:r>
          </w:p>
        </w:tc>
        <w:tc>
          <w:tcPr>
            <w:tcW w:w="1843" w:type="dxa"/>
            <w:tcBorders>
              <w:top w:val="single" w:sz="4" w:space="0" w:color="auto"/>
              <w:bottom w:val="single" w:sz="12" w:space="0" w:color="auto"/>
            </w:tcBorders>
            <w:shd w:val="clear" w:color="auto" w:fill="auto"/>
            <w:noWrap/>
            <w:vAlign w:val="bottom"/>
            <w:hideMark/>
          </w:tcPr>
          <w:p w:rsidR="000E43E6" w:rsidRPr="0004195F" w:rsidRDefault="000E43E6" w:rsidP="0004195F">
            <w:pPr>
              <w:suppressAutoHyphens w:val="0"/>
              <w:spacing w:before="80" w:after="80" w:line="200" w:lineRule="exact"/>
              <w:ind w:right="113"/>
              <w:rPr>
                <w:i/>
                <w:sz w:val="16"/>
              </w:rPr>
            </w:pPr>
            <w:r w:rsidRPr="0004195F">
              <w:rPr>
                <w:i/>
                <w:sz w:val="16"/>
              </w:rPr>
              <w:t>Plastic materials</w:t>
            </w:r>
          </w:p>
        </w:tc>
        <w:tc>
          <w:tcPr>
            <w:tcW w:w="1418" w:type="dxa"/>
            <w:tcBorders>
              <w:top w:val="single" w:sz="4" w:space="0" w:color="auto"/>
              <w:bottom w:val="single" w:sz="12" w:space="0" w:color="auto"/>
            </w:tcBorders>
            <w:shd w:val="clear" w:color="auto" w:fill="auto"/>
            <w:noWrap/>
            <w:vAlign w:val="bottom"/>
            <w:hideMark/>
          </w:tcPr>
          <w:p w:rsidR="000E43E6" w:rsidRPr="0004195F" w:rsidRDefault="000E43E6" w:rsidP="0004195F">
            <w:pPr>
              <w:suppressAutoHyphens w:val="0"/>
              <w:spacing w:before="80" w:after="80" w:line="200" w:lineRule="exact"/>
              <w:ind w:right="113"/>
              <w:rPr>
                <w:i/>
                <w:sz w:val="16"/>
              </w:rPr>
            </w:pPr>
            <w:r w:rsidRPr="0004195F">
              <w:rPr>
                <w:i/>
                <w:sz w:val="16"/>
              </w:rPr>
              <w:t>Rubber</w:t>
            </w:r>
          </w:p>
        </w:tc>
      </w:tr>
      <w:tr w:rsidR="0004195F" w:rsidRPr="0004195F" w:rsidTr="001A2D00">
        <w:trPr>
          <w:trHeight w:val="227"/>
        </w:trPr>
        <w:tc>
          <w:tcPr>
            <w:tcW w:w="5115" w:type="dxa"/>
            <w:tcBorders>
              <w:top w:val="single" w:sz="12" w:space="0" w:color="auto"/>
            </w:tcBorders>
            <w:shd w:val="clear" w:color="auto" w:fill="auto"/>
            <w:hideMark/>
          </w:tcPr>
          <w:p w:rsidR="000E43E6" w:rsidRPr="0004195F" w:rsidRDefault="000E43E6" w:rsidP="0004195F">
            <w:pPr>
              <w:suppressAutoHyphens w:val="0"/>
              <w:spacing w:before="40" w:after="120" w:line="220" w:lineRule="exact"/>
              <w:ind w:right="113"/>
            </w:pPr>
            <w:r w:rsidRPr="0004195F">
              <w:t>Gangways</w:t>
            </w:r>
          </w:p>
        </w:tc>
        <w:tc>
          <w:tcPr>
            <w:tcW w:w="1988" w:type="dxa"/>
            <w:tcBorders>
              <w:top w:val="single" w:sz="12" w:space="0" w:color="auto"/>
            </w:tcBorders>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984" w:type="dxa"/>
            <w:tcBorders>
              <w:top w:val="single" w:sz="12" w:space="0" w:color="auto"/>
            </w:tcBorders>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tcBorders>
              <w:top w:val="single" w:sz="12" w:space="0" w:color="auto"/>
            </w:tcBorders>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tcBorders>
              <w:top w:val="single" w:sz="12" w:space="0" w:color="auto"/>
            </w:tcBorders>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External ladders and passageways (gangways)*</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Chocking of cargo tanks which are independent of the vessel</w:t>
            </w:r>
            <w:r w:rsidR="007703E6">
              <w:t>’</w:t>
            </w:r>
            <w:r w:rsidRPr="0004195F">
              <w:t>s hull and chocking of installations and equipment</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984" w:type="dxa"/>
            <w:shd w:val="clear" w:color="auto" w:fill="auto"/>
            <w:noWrap/>
            <w:hideMark/>
          </w:tcPr>
          <w:p w:rsidR="000E43E6" w:rsidRPr="0004195F" w:rsidRDefault="000E43E6" w:rsidP="0004195F">
            <w:pPr>
              <w:suppressAutoHyphens w:val="0"/>
              <w:spacing w:before="40" w:after="120" w:line="220" w:lineRule="exact"/>
              <w:ind w:right="113"/>
            </w:pP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Masts, flagpoles and similar round timber</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Engine parts</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Protective covers for motors and pumps</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Parts of the electrical installation, including insulation, gaskets, etc.</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Parts of the loading and unloading equipment, including gaskets, etc.</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 xml:space="preserve">Boxes, lockers or containers located on deck for the storage of movable items of equipment </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Supports and stops of any kind</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984" w:type="dxa"/>
            <w:shd w:val="clear" w:color="auto" w:fill="auto"/>
            <w:noWrap/>
            <w:hideMark/>
          </w:tcPr>
          <w:p w:rsidR="000E43E6" w:rsidRPr="0004195F" w:rsidRDefault="000E43E6" w:rsidP="0004195F">
            <w:pPr>
              <w:suppressAutoHyphens w:val="0"/>
              <w:spacing w:before="40" w:after="120" w:line="220" w:lineRule="exact"/>
              <w:ind w:right="113"/>
            </w:pP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Ventilators, including hose assemblies for ventilation</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Portable fire extinguishers</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 xml:space="preserve">Parts of the water spray and shower system and of the eye and face bath installation </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Insulation of cargo tanks, piping for loading and unloading and venting and heating piping</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Coating of cargo tanks and of pipes for loading and unloading</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r w:rsidR="0004195F" w:rsidRPr="0004195F" w:rsidTr="001A2D00">
        <w:trPr>
          <w:trHeight w:val="227"/>
        </w:trPr>
        <w:tc>
          <w:tcPr>
            <w:tcW w:w="5115" w:type="dxa"/>
            <w:shd w:val="clear" w:color="auto" w:fill="auto"/>
            <w:hideMark/>
          </w:tcPr>
          <w:p w:rsidR="000E43E6" w:rsidRPr="0004195F" w:rsidRDefault="000E43E6" w:rsidP="0004195F">
            <w:pPr>
              <w:suppressAutoHyphens w:val="0"/>
              <w:spacing w:before="40" w:after="120" w:line="220" w:lineRule="exact"/>
              <w:ind w:right="113"/>
            </w:pPr>
            <w:r w:rsidRPr="0004195F">
              <w:t>Photo-optical copies of the full certificate of approval according to 8.1.2.6 or 8.1.2.7, of the vessel certificate, of the measurement certificate and of the certificate of belonging to the navigation of the Rhine</w:t>
            </w:r>
          </w:p>
        </w:tc>
        <w:tc>
          <w:tcPr>
            <w:tcW w:w="1988" w:type="dxa"/>
            <w:shd w:val="clear" w:color="auto" w:fill="auto"/>
            <w:noWrap/>
            <w:hideMark/>
          </w:tcPr>
          <w:p w:rsidR="000E43E6" w:rsidRPr="0004195F" w:rsidRDefault="000E43E6" w:rsidP="0004195F">
            <w:pPr>
              <w:suppressAutoHyphens w:val="0"/>
              <w:spacing w:before="40" w:after="120" w:line="220" w:lineRule="exact"/>
              <w:ind w:right="113"/>
            </w:pPr>
          </w:p>
        </w:tc>
        <w:tc>
          <w:tcPr>
            <w:tcW w:w="1984"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843" w:type="dxa"/>
            <w:shd w:val="clear" w:color="auto" w:fill="auto"/>
            <w:noWrap/>
            <w:hideMark/>
          </w:tcPr>
          <w:p w:rsidR="000E43E6" w:rsidRPr="0004195F" w:rsidRDefault="000E43E6" w:rsidP="0004195F">
            <w:pPr>
              <w:suppressAutoHyphens w:val="0"/>
              <w:spacing w:before="40" w:after="120" w:line="220" w:lineRule="exact"/>
              <w:ind w:right="113"/>
            </w:pPr>
            <w:r w:rsidRPr="0004195F">
              <w:t>X</w:t>
            </w:r>
          </w:p>
        </w:tc>
        <w:tc>
          <w:tcPr>
            <w:tcW w:w="1418" w:type="dxa"/>
            <w:shd w:val="clear" w:color="auto" w:fill="auto"/>
            <w:noWrap/>
            <w:hideMark/>
          </w:tcPr>
          <w:p w:rsidR="000E43E6" w:rsidRPr="0004195F" w:rsidRDefault="000E43E6" w:rsidP="0004195F">
            <w:pPr>
              <w:suppressAutoHyphens w:val="0"/>
              <w:spacing w:before="40" w:after="120" w:line="220" w:lineRule="exact"/>
              <w:ind w:right="113"/>
            </w:pPr>
          </w:p>
        </w:tc>
      </w:tr>
    </w:tbl>
    <w:p w:rsidR="000E43E6" w:rsidRPr="005B77EA" w:rsidRDefault="000E43E6" w:rsidP="002574E0">
      <w:pPr>
        <w:spacing w:before="120"/>
        <w:ind w:left="1134" w:firstLine="170"/>
        <w:rPr>
          <w:sz w:val="18"/>
        </w:rPr>
      </w:pPr>
      <w:r w:rsidRPr="005B77EA">
        <w:rPr>
          <w:sz w:val="18"/>
        </w:rPr>
        <w:t>(*) See: 9.3.x.0.5.</w:t>
      </w:r>
    </w:p>
    <w:p w:rsidR="007268F9" w:rsidRPr="00CE1C84" w:rsidRDefault="000E43E6" w:rsidP="00351496">
      <w:pPr>
        <w:pStyle w:val="SingleTxtG"/>
        <w:ind w:right="0"/>
        <w:rPr>
          <w:sz w:val="18"/>
          <w:szCs w:val="18"/>
        </w:rPr>
      </w:pPr>
      <w:r w:rsidRPr="00CE1C84">
        <w:rPr>
          <w:sz w:val="18"/>
          <w:szCs w:val="18"/>
        </w:rPr>
        <w:t>All permanently fitted materials in the accommodation or wheelhouse, with the exception of furniture, shall not readily ignite. They shall not evolve fumes or toxic gases in dangerous quantities, if involved in a fire.</w:t>
      </w:r>
    </w:p>
    <w:p w:rsidR="005B77EA" w:rsidRPr="00106A43" w:rsidRDefault="005B77EA">
      <w:pPr>
        <w:spacing w:before="240"/>
        <w:jc w:val="center"/>
        <w:rPr>
          <w:u w:val="single"/>
        </w:rPr>
      </w:pPr>
      <w:r>
        <w:rPr>
          <w:u w:val="single"/>
        </w:rPr>
        <w:tab/>
      </w:r>
      <w:r>
        <w:rPr>
          <w:u w:val="single"/>
        </w:rPr>
        <w:tab/>
      </w:r>
      <w:r>
        <w:rPr>
          <w:u w:val="single"/>
        </w:rPr>
        <w:tab/>
      </w:r>
    </w:p>
    <w:sectPr w:rsidR="005B77EA" w:rsidRPr="00106A43" w:rsidSect="00E95C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4E" w:rsidRPr="00FB1744" w:rsidRDefault="0004484E" w:rsidP="00FB1744">
      <w:pPr>
        <w:pStyle w:val="Footer"/>
      </w:pPr>
    </w:p>
  </w:endnote>
  <w:endnote w:type="continuationSeparator" w:id="0">
    <w:p w:rsidR="0004484E" w:rsidRPr="00FB1744" w:rsidRDefault="0004484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8" w:rsidRPr="00E95CC8" w:rsidRDefault="00E95CC8" w:rsidP="00E95CC8">
    <w:pPr>
      <w:pStyle w:val="Footer"/>
      <w:tabs>
        <w:tab w:val="right" w:pos="9598"/>
      </w:tabs>
    </w:pPr>
    <w:r w:rsidRPr="00E95CC8">
      <w:rPr>
        <w:b/>
        <w:sz w:val="18"/>
      </w:rPr>
      <w:fldChar w:fldCharType="begin"/>
    </w:r>
    <w:r w:rsidRPr="00E95CC8">
      <w:rPr>
        <w:b/>
        <w:sz w:val="18"/>
      </w:rPr>
      <w:instrText xml:space="preserve"> PAGE  \* MERGEFORMAT </w:instrText>
    </w:r>
    <w:r w:rsidRPr="00E95CC8">
      <w:rPr>
        <w:b/>
        <w:sz w:val="18"/>
      </w:rPr>
      <w:fldChar w:fldCharType="separate"/>
    </w:r>
    <w:r w:rsidR="003011F7">
      <w:rPr>
        <w:b/>
        <w:noProof/>
        <w:sz w:val="18"/>
      </w:rPr>
      <w:t>2</w:t>
    </w:r>
    <w:r w:rsidRPr="00E95CC8">
      <w:rPr>
        <w:b/>
        <w:sz w:val="18"/>
      </w:rPr>
      <w:fldChar w:fldCharType="end"/>
    </w:r>
    <w:r>
      <w:rPr>
        <w:sz w:val="18"/>
      </w:rPr>
      <w:tab/>
    </w:r>
    <w:r>
      <w:t>GE.17-08990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8" w:rsidRPr="00E95CC8" w:rsidRDefault="00E95CC8" w:rsidP="00E95CC8">
    <w:pPr>
      <w:pStyle w:val="Footer"/>
      <w:tabs>
        <w:tab w:val="right" w:pos="9598"/>
      </w:tabs>
      <w:rPr>
        <w:b/>
        <w:sz w:val="18"/>
      </w:rPr>
    </w:pPr>
    <w:r>
      <w:t>GE.17-08990</w:t>
    </w:r>
    <w:r>
      <w:tab/>
    </w:r>
    <w:r w:rsidRPr="00E95CC8">
      <w:rPr>
        <w:b/>
        <w:sz w:val="18"/>
      </w:rPr>
      <w:fldChar w:fldCharType="begin"/>
    </w:r>
    <w:r w:rsidRPr="00E95CC8">
      <w:rPr>
        <w:b/>
        <w:sz w:val="18"/>
      </w:rPr>
      <w:instrText xml:space="preserve"> PAGE  \* MERGEFORMAT </w:instrText>
    </w:r>
    <w:r w:rsidRPr="00E95CC8">
      <w:rPr>
        <w:b/>
        <w:sz w:val="18"/>
      </w:rPr>
      <w:fldChar w:fldCharType="separate"/>
    </w:r>
    <w:r w:rsidR="003011F7">
      <w:rPr>
        <w:b/>
        <w:noProof/>
        <w:sz w:val="18"/>
      </w:rPr>
      <w:t>3</w:t>
    </w:r>
    <w:r w:rsidRPr="00E95C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CC8" w:rsidRDefault="00E95CC8" w:rsidP="00E95CC8">
    <w:r>
      <w:t>GE.17-08990  (E)</w:t>
    </w:r>
    <w:r w:rsidR="00362D09">
      <w:t xml:space="preserve">    030717    050717</w:t>
    </w:r>
  </w:p>
  <w:p w:rsidR="00E95CC8" w:rsidRPr="00E95CC8" w:rsidRDefault="00E95CC8" w:rsidP="00E95CC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40&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0&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4E" w:rsidRPr="00FB1744" w:rsidRDefault="0004484E" w:rsidP="00FB1744">
      <w:pPr>
        <w:tabs>
          <w:tab w:val="right" w:pos="2155"/>
        </w:tabs>
        <w:spacing w:after="80" w:line="240" w:lineRule="auto"/>
        <w:ind w:left="680"/>
      </w:pPr>
      <w:r>
        <w:rPr>
          <w:u w:val="single"/>
        </w:rPr>
        <w:tab/>
      </w:r>
    </w:p>
  </w:footnote>
  <w:footnote w:type="continuationSeparator" w:id="0">
    <w:p w:rsidR="0004484E" w:rsidRPr="00FB1744" w:rsidRDefault="0004484E" w:rsidP="00FB1744">
      <w:pPr>
        <w:tabs>
          <w:tab w:val="right" w:pos="2155"/>
        </w:tabs>
        <w:spacing w:after="80" w:line="240" w:lineRule="auto"/>
        <w:ind w:left="680"/>
      </w:pPr>
      <w:r>
        <w:rPr>
          <w:u w:val="single"/>
        </w:rPr>
        <w:tab/>
      </w:r>
    </w:p>
  </w:footnote>
  <w:footnote w:id="1">
    <w:p w:rsidR="000E43E6" w:rsidRPr="00B0472C" w:rsidRDefault="000E43E6" w:rsidP="00CB5229">
      <w:pPr>
        <w:pStyle w:val="FootnoteText"/>
        <w:rPr>
          <w:szCs w:val="18"/>
        </w:rPr>
      </w:pPr>
      <w:r>
        <w:tab/>
        <w:t>*</w:t>
      </w:r>
      <w:r>
        <w:tab/>
        <w:t>Distributed in German by the Central Commission for the Navigation of the Rhine under the symbol CCNR/ZKR/ADN/WP.15/AC.2/2017/40.</w:t>
      </w:r>
    </w:p>
    <w:p w:rsidR="000E43E6" w:rsidRPr="0042348F" w:rsidRDefault="000E43E6" w:rsidP="00CB5229">
      <w:pPr>
        <w:pStyle w:val="FootnoteText"/>
      </w:pPr>
      <w:r>
        <w:tab/>
        <w:t>**</w:t>
      </w:r>
      <w:r>
        <w:tab/>
        <w:t xml:space="preserve">In accordance with the programme of work of the Inland Transport Committee for </w:t>
      </w:r>
      <w:r w:rsidR="00362D09">
        <w:t>2016-</w:t>
      </w:r>
      <w:r>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8" w:rsidRPr="00E95CC8" w:rsidRDefault="00E95CC8" w:rsidP="00E95CC8">
    <w:pPr>
      <w:pStyle w:val="Header"/>
    </w:pPr>
    <w:r w:rsidRPr="00E95CC8">
      <w:t>ECE/TRANS/WP.15/AC.2/2017/40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C8" w:rsidRPr="00E95CC8" w:rsidRDefault="00E95CC8" w:rsidP="00E95CC8">
    <w:pPr>
      <w:pStyle w:val="Header"/>
      <w:jc w:val="right"/>
    </w:pPr>
    <w:r w:rsidRPr="00E95CC8">
      <w:t>ECE/TRANS/WP.15/AC.2/2017/40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082187"/>
    <w:multiLevelType w:val="hybridMultilevel"/>
    <w:tmpl w:val="00AE8278"/>
    <w:lvl w:ilvl="0" w:tplc="C50C0A28">
      <w:numFmt w:val="bullet"/>
      <w:lvlText w:val="-"/>
      <w:lvlJc w:val="left"/>
      <w:pPr>
        <w:ind w:left="1689" w:hanging="555"/>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BC33170"/>
    <w:multiLevelType w:val="hybridMultilevel"/>
    <w:tmpl w:val="8FBA6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8"/>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4E"/>
    <w:rsid w:val="0004195F"/>
    <w:rsid w:val="0004484E"/>
    <w:rsid w:val="00046E92"/>
    <w:rsid w:val="000B3F64"/>
    <w:rsid w:val="000D1B89"/>
    <w:rsid w:val="000E43E6"/>
    <w:rsid w:val="001170DC"/>
    <w:rsid w:val="001A2D00"/>
    <w:rsid w:val="002210B8"/>
    <w:rsid w:val="00247E2C"/>
    <w:rsid w:val="002574E0"/>
    <w:rsid w:val="002D6C53"/>
    <w:rsid w:val="002F5595"/>
    <w:rsid w:val="003011F7"/>
    <w:rsid w:val="00334F6A"/>
    <w:rsid w:val="00342AC8"/>
    <w:rsid w:val="00351496"/>
    <w:rsid w:val="00362D09"/>
    <w:rsid w:val="003B4550"/>
    <w:rsid w:val="00444E11"/>
    <w:rsid w:val="00461253"/>
    <w:rsid w:val="005042C2"/>
    <w:rsid w:val="0056599A"/>
    <w:rsid w:val="00587690"/>
    <w:rsid w:val="005B77EA"/>
    <w:rsid w:val="00671529"/>
    <w:rsid w:val="00717266"/>
    <w:rsid w:val="007268F9"/>
    <w:rsid w:val="007703E6"/>
    <w:rsid w:val="007C2986"/>
    <w:rsid w:val="007C52B0"/>
    <w:rsid w:val="008C02AD"/>
    <w:rsid w:val="009139B8"/>
    <w:rsid w:val="009411B4"/>
    <w:rsid w:val="009D0139"/>
    <w:rsid w:val="009E6BAE"/>
    <w:rsid w:val="009F5CDC"/>
    <w:rsid w:val="00A62C18"/>
    <w:rsid w:val="00A775CF"/>
    <w:rsid w:val="00AB3C7E"/>
    <w:rsid w:val="00AD6BCF"/>
    <w:rsid w:val="00B06045"/>
    <w:rsid w:val="00C33BED"/>
    <w:rsid w:val="00C35A27"/>
    <w:rsid w:val="00C434FF"/>
    <w:rsid w:val="00CB5229"/>
    <w:rsid w:val="00CE1C84"/>
    <w:rsid w:val="00CE722C"/>
    <w:rsid w:val="00DC1FF9"/>
    <w:rsid w:val="00DF7BE3"/>
    <w:rsid w:val="00E02C2B"/>
    <w:rsid w:val="00E95CC8"/>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E1F1AB-E56A-44D0-B57D-679594C4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2DD8-7BBD-4176-9CAE-481CDBF5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1708990</vt:lpstr>
    </vt:vector>
  </TitlesOfParts>
  <Company>DCM</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1708990</dc:title>
  <dc:subject>ECE/TRANS/WP.15/AC.2/2017/40</dc:subject>
  <dc:creator>Anni Vi TIROL</dc:creator>
  <cp:keywords/>
  <dc:description/>
  <cp:lastModifiedBy>Marie-Claude Collet</cp:lastModifiedBy>
  <cp:revision>2</cp:revision>
  <cp:lastPrinted>2017-07-04T16:47:00Z</cp:lastPrinted>
  <dcterms:created xsi:type="dcterms:W3CDTF">2017-07-06T06:00:00Z</dcterms:created>
  <dcterms:modified xsi:type="dcterms:W3CDTF">2017-07-06T06:00:00Z</dcterms:modified>
</cp:coreProperties>
</file>