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235406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A30C25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</w:t>
            </w:r>
            <w:r w:rsidR="0027472B">
              <w:t>7</w:t>
            </w:r>
            <w:r w:rsidR="008041D0">
              <w:t>/</w:t>
            </w:r>
            <w:r w:rsidR="00A30C25">
              <w:t>33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37555D" w:rsidP="001A5D77">
            <w:pPr>
              <w:suppressAutoHyphens w:val="0"/>
            </w:pPr>
            <w:r w:rsidRPr="0037555D">
              <w:t>12 J</w:t>
            </w:r>
            <w:r w:rsidR="00A30C25">
              <w:t>une</w:t>
            </w:r>
            <w:r w:rsidR="003D0A73">
              <w:t xml:space="preserve"> 2017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A30C25" w:rsidRPr="001A0DBA" w:rsidRDefault="00A30C25" w:rsidP="00A30C25">
      <w:pPr>
        <w:spacing w:before="120"/>
        <w:rPr>
          <w:b/>
        </w:rPr>
      </w:pPr>
      <w:r w:rsidRPr="001A0DBA">
        <w:rPr>
          <w:b/>
        </w:rPr>
        <w:t>Joint Meeting of Experts on the Regulations annexed to the</w:t>
      </w:r>
    </w:p>
    <w:p w:rsidR="00A30C25" w:rsidRPr="001A0DBA" w:rsidRDefault="00A30C25" w:rsidP="00A30C25">
      <w:pPr>
        <w:rPr>
          <w:b/>
        </w:rPr>
      </w:pPr>
      <w:r w:rsidRPr="001A0DBA">
        <w:rPr>
          <w:b/>
        </w:rPr>
        <w:t xml:space="preserve">European Agreement concerning the International Carriage </w:t>
      </w:r>
    </w:p>
    <w:p w:rsidR="00A30C25" w:rsidRPr="001A0DBA" w:rsidRDefault="00A30C25" w:rsidP="00A30C25">
      <w:pPr>
        <w:rPr>
          <w:b/>
        </w:rPr>
      </w:pPr>
      <w:proofErr w:type="gramStart"/>
      <w:r w:rsidRPr="001A0DBA">
        <w:rPr>
          <w:b/>
        </w:rPr>
        <w:t>of</w:t>
      </w:r>
      <w:proofErr w:type="gramEnd"/>
      <w:r w:rsidRPr="001A0DBA">
        <w:rPr>
          <w:b/>
        </w:rPr>
        <w:t xml:space="preserve"> Dangerous Goods by Inland Waterways (ADN)</w:t>
      </w:r>
    </w:p>
    <w:p w:rsidR="001A5D77" w:rsidRPr="001A5D77" w:rsidRDefault="00A30C25" w:rsidP="00A30C25">
      <w:pPr>
        <w:spacing w:after="120"/>
        <w:rPr>
          <w:b/>
          <w:bCs/>
        </w:rPr>
      </w:pPr>
      <w:r w:rsidRPr="001A0DBA">
        <w:rPr>
          <w:b/>
        </w:rPr>
        <w:t>(ADN) Safety Committee</w:t>
      </w:r>
    </w:p>
    <w:p w:rsidR="00A30C25" w:rsidRPr="001A0DBA" w:rsidRDefault="00A30C25" w:rsidP="00A30C25">
      <w:pPr>
        <w:rPr>
          <w:b/>
          <w:bCs/>
        </w:rPr>
      </w:pPr>
      <w:r w:rsidRPr="001A0DBA">
        <w:rPr>
          <w:b/>
          <w:bCs/>
        </w:rPr>
        <w:t>Thirty-first session</w:t>
      </w:r>
    </w:p>
    <w:p w:rsidR="001A5D77" w:rsidRPr="00FB7356" w:rsidRDefault="00A30C25" w:rsidP="00A30C25">
      <w:r w:rsidRPr="001A0DBA">
        <w:t>Geneva, 28-31 August 2017</w:t>
      </w:r>
    </w:p>
    <w:p w:rsidR="001A5D77" w:rsidRPr="00FB7356" w:rsidRDefault="008041D0" w:rsidP="001A5D77">
      <w:r>
        <w:t xml:space="preserve">Item </w:t>
      </w:r>
      <w:r w:rsidR="00F64336">
        <w:t>4</w:t>
      </w:r>
      <w:r w:rsidR="001A5D77" w:rsidRPr="005F05CF">
        <w:t xml:space="preserve"> (</w:t>
      </w:r>
      <w:r w:rsidR="00F64336">
        <w:t>b</w:t>
      </w:r>
      <w:r w:rsidR="001A5D77" w:rsidRPr="005F05CF">
        <w:t>)</w:t>
      </w:r>
      <w:r w:rsidR="001A5D77" w:rsidRPr="00FB7356">
        <w:t xml:space="preserve"> of the provisional agenda</w:t>
      </w:r>
    </w:p>
    <w:p w:rsidR="00F64336" w:rsidRPr="0082690B" w:rsidRDefault="00F64336" w:rsidP="00F64336">
      <w:pPr>
        <w:rPr>
          <w:b/>
          <w:bCs/>
        </w:rPr>
      </w:pPr>
      <w:r w:rsidRPr="0082690B">
        <w:rPr>
          <w:b/>
          <w:bCs/>
        </w:rPr>
        <w:t>Proposals for amendments to the Regulations annexed to ADN:</w:t>
      </w:r>
    </w:p>
    <w:p w:rsidR="001A5D77" w:rsidRPr="00BB589D" w:rsidRDefault="00F64336" w:rsidP="00F64336">
      <w:pPr>
        <w:rPr>
          <w:b/>
          <w:bCs/>
          <w:lang w:val="en-US"/>
        </w:rPr>
      </w:pPr>
      <w:proofErr w:type="gramStart"/>
      <w:r w:rsidRPr="0082690B">
        <w:rPr>
          <w:b/>
        </w:rPr>
        <w:t>other</w:t>
      </w:r>
      <w:proofErr w:type="gramEnd"/>
      <w:r w:rsidRPr="0082690B">
        <w:rPr>
          <w:b/>
        </w:rPr>
        <w:t xml:space="preserve"> proposals</w:t>
      </w:r>
    </w:p>
    <w:p w:rsidR="00EA42BD" w:rsidRPr="002B2F4B" w:rsidRDefault="00A30C25" w:rsidP="00A30C25">
      <w:pPr>
        <w:pStyle w:val="HChG"/>
      </w:pPr>
      <w:r>
        <w:tab/>
      </w:r>
      <w:r>
        <w:tab/>
      </w:r>
      <w:r w:rsidR="00873799">
        <w:t xml:space="preserve">Class A-60 Fire Protection </w:t>
      </w:r>
    </w:p>
    <w:p w:rsidR="00EA42BD" w:rsidRDefault="00EA42BD" w:rsidP="00A30C25">
      <w:pPr>
        <w:pStyle w:val="H1G"/>
        <w:rPr>
          <w:szCs w:val="24"/>
          <w:vertAlign w:val="superscript"/>
        </w:rPr>
      </w:pPr>
      <w:r w:rsidRPr="00EA42BD">
        <w:tab/>
      </w:r>
      <w:r w:rsidRPr="00EA42BD">
        <w:tab/>
      </w:r>
      <w:r w:rsidR="00ED1F24" w:rsidRPr="00ED1F24">
        <w:t xml:space="preserve">Transmitted by the </w:t>
      </w:r>
      <w:r w:rsidR="001847F6" w:rsidRPr="001847F6">
        <w:rPr>
          <w:lang w:val="en-US"/>
        </w:rPr>
        <w:t>Recommended ADN Classification Societies</w:t>
      </w:r>
      <w:r w:rsidR="00A30C25" w:rsidRPr="0018466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30C25" w:rsidRPr="00A30C25">
        <w:rPr>
          <w:b w:val="0"/>
          <w:sz w:val="20"/>
          <w:vertAlign w:val="superscript"/>
        </w:rPr>
        <w:t>,</w:t>
      </w:r>
      <w:r w:rsidR="00A30C25" w:rsidRPr="0018466B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9A1FBA" w:rsidRPr="0037555D" w:rsidRDefault="007E4888" w:rsidP="007E4888">
      <w:pPr>
        <w:pStyle w:val="HChG"/>
      </w:pPr>
      <w:r w:rsidRPr="0037555D">
        <w:tab/>
      </w:r>
      <w:r w:rsidRPr="0037555D">
        <w:tab/>
      </w:r>
      <w:r w:rsidR="009A1FBA" w:rsidRPr="0037555D">
        <w:t xml:space="preserve">Introduction </w:t>
      </w:r>
    </w:p>
    <w:p w:rsidR="009A1FBA" w:rsidRPr="00F64336" w:rsidRDefault="00F64336" w:rsidP="007E4888">
      <w:pPr>
        <w:pStyle w:val="SingleTxtG"/>
      </w:pPr>
      <w:proofErr w:type="gramStart"/>
      <w:r>
        <w:t>1.</w:t>
      </w:r>
      <w:r>
        <w:tab/>
      </w:r>
      <w:r w:rsidR="009A1FBA" w:rsidRPr="00F64336">
        <w:t xml:space="preserve">During the </w:t>
      </w:r>
      <w:r w:rsidRPr="00F64336">
        <w:t>twenty-eighth</w:t>
      </w:r>
      <w:r>
        <w:t xml:space="preserve"> s</w:t>
      </w:r>
      <w:r w:rsidR="009A1FBA" w:rsidRPr="00F64336">
        <w:t xml:space="preserve">ession of the ADN Safety Committee, the proposed amendments </w:t>
      </w:r>
      <w:r w:rsidRPr="00F64336">
        <w:rPr>
          <w:bCs/>
        </w:rPr>
        <w:t xml:space="preserve">to 9.3.X.11.3 (a) </w:t>
      </w:r>
      <w:r w:rsidR="009A1FBA" w:rsidRPr="00F64336">
        <w:rPr>
          <w:bCs/>
        </w:rPr>
        <w:t xml:space="preserve">(see </w:t>
      </w:r>
      <w:r w:rsidRPr="00F64336">
        <w:rPr>
          <w:iCs/>
        </w:rPr>
        <w:t>informal document</w:t>
      </w:r>
      <w:r w:rsidR="009A1FBA" w:rsidRPr="00F64336">
        <w:rPr>
          <w:iCs/>
        </w:rPr>
        <w:t xml:space="preserve"> </w:t>
      </w:r>
      <w:r w:rsidR="009A1FBA" w:rsidRPr="00F64336">
        <w:t xml:space="preserve">INF.26 </w:t>
      </w:r>
      <w:r w:rsidRPr="00F64336">
        <w:t xml:space="preserve">of said session </w:t>
      </w:r>
      <w:r>
        <w:t xml:space="preserve">submitted </w:t>
      </w:r>
      <w:r w:rsidR="009A1FBA" w:rsidRPr="00F64336">
        <w:t xml:space="preserve">by </w:t>
      </w:r>
      <w:r w:rsidRPr="00F64336">
        <w:t xml:space="preserve">the </w:t>
      </w:r>
      <w:r w:rsidR="009A1FBA" w:rsidRPr="00F64336">
        <w:t xml:space="preserve">Recommended ADN </w:t>
      </w:r>
      <w:r w:rsidRPr="00F64336">
        <w:t>C</w:t>
      </w:r>
      <w:r w:rsidR="009A1FBA" w:rsidRPr="00F64336">
        <w:t xml:space="preserve">lassification </w:t>
      </w:r>
      <w:r w:rsidRPr="00F64336">
        <w:t>S</w:t>
      </w:r>
      <w:r w:rsidR="009A1FBA" w:rsidRPr="00F64336">
        <w:t xml:space="preserve">ocieties) </w:t>
      </w:r>
      <w:r>
        <w:t>were</w:t>
      </w:r>
      <w:r w:rsidR="009A1FBA" w:rsidRPr="00F64336">
        <w:t xml:space="preserve"> ado</w:t>
      </w:r>
      <w:r>
        <w:t>pted by the Safety Committee</w:t>
      </w:r>
      <w:proofErr w:type="gramEnd"/>
      <w:r>
        <w:t>. (</w:t>
      </w:r>
      <w:r w:rsidR="009A1FBA" w:rsidRPr="00F64336">
        <w:t>After “from the accommoda</w:t>
      </w:r>
      <w:r w:rsidR="00E95AF5">
        <w:t>tion” insert “, engine rooms”. (</w:t>
      </w:r>
      <w:r w:rsidR="009A1FBA" w:rsidRPr="00F64336">
        <w:t>See document ECE/A</w:t>
      </w:r>
      <w:r w:rsidRPr="00F64336">
        <w:t>DN</w:t>
      </w:r>
      <w:r w:rsidR="009A1FBA" w:rsidRPr="00F64336">
        <w:t>/36).</w:t>
      </w:r>
    </w:p>
    <w:p w:rsidR="009A1FBA" w:rsidRDefault="00F64336" w:rsidP="007E4888">
      <w:pPr>
        <w:pStyle w:val="SingleTxtG"/>
      </w:pPr>
      <w:proofErr w:type="gramStart"/>
      <w:r>
        <w:t>2.</w:t>
      </w:r>
      <w:r>
        <w:tab/>
      </w:r>
      <w:r w:rsidR="009A1FBA" w:rsidRPr="002B4092">
        <w:t>But</w:t>
      </w:r>
      <w:proofErr w:type="gramEnd"/>
      <w:r w:rsidR="009A1FBA" w:rsidRPr="002B4092">
        <w:t xml:space="preserve"> some inconsistences in the references to bulkheads with insulation of Class “A-60” according to SOLAS 74 were highlighted (e.g., in paragraphs 9.3.X.11.3 (a), 9.3.X.17.5 and 9.3.X.17.6) and the Recommended ADN Classification Societies were invited to study the matter.</w:t>
      </w:r>
    </w:p>
    <w:p w:rsidR="00F64336" w:rsidRPr="002B4092" w:rsidRDefault="00F64336" w:rsidP="007E4888">
      <w:pPr>
        <w:pStyle w:val="SingleTxtG"/>
      </w:pPr>
      <w:r>
        <w:t>3.</w:t>
      </w:r>
      <w:r>
        <w:tab/>
        <w:t xml:space="preserve">The current text of these paragraphs </w:t>
      </w:r>
      <w:proofErr w:type="gramStart"/>
      <w:r>
        <w:t>is provided</w:t>
      </w:r>
      <w:proofErr w:type="gramEnd"/>
      <w:r>
        <w:t xml:space="preserve"> below.</w:t>
      </w:r>
    </w:p>
    <w:p w:rsidR="00E95AF5" w:rsidRDefault="00E95AF5">
      <w:pPr>
        <w:suppressAutoHyphens w:val="0"/>
        <w:spacing w:after="200" w:line="276" w:lineRule="auto"/>
        <w:rPr>
          <w:rFonts w:eastAsia="SimSun"/>
          <w:b/>
          <w:iCs/>
          <w:lang w:eastAsia="zh-CN"/>
        </w:rPr>
      </w:pPr>
      <w:r>
        <w:rPr>
          <w:b/>
          <w:iCs/>
        </w:rPr>
        <w:br w:type="page"/>
      </w:r>
    </w:p>
    <w:p w:rsidR="009A1FBA" w:rsidRPr="00F64336" w:rsidRDefault="009A1FBA" w:rsidP="00C72B0F">
      <w:pPr>
        <w:pStyle w:val="SingleTxtG"/>
        <w:tabs>
          <w:tab w:val="left" w:pos="2410"/>
        </w:tabs>
        <w:rPr>
          <w:lang w:val="nl-BE"/>
        </w:rPr>
      </w:pPr>
      <w:r w:rsidRPr="00F64336">
        <w:rPr>
          <w:b/>
          <w:iCs/>
        </w:rPr>
        <w:lastRenderedPageBreak/>
        <w:t>9.3.1.11.3 (a)</w:t>
      </w:r>
      <w:r w:rsidRPr="002B4092">
        <w:rPr>
          <w:iCs/>
        </w:rPr>
        <w:t xml:space="preserve"> </w:t>
      </w:r>
      <w:r w:rsidR="007A3304">
        <w:rPr>
          <w:iCs/>
        </w:rPr>
        <w:tab/>
      </w:r>
      <w:r w:rsidRPr="002B4092">
        <w:rPr>
          <w:iCs/>
        </w:rPr>
        <w:t xml:space="preserve">The hold spaces shall be separated from the accommodation </w:t>
      </w:r>
      <w:r w:rsidR="003F357A">
        <w:rPr>
          <w:iCs/>
        </w:rPr>
        <w:t xml:space="preserve">,engine rooms </w:t>
      </w:r>
      <w:r w:rsidRPr="002B4092">
        <w:rPr>
          <w:iCs/>
        </w:rPr>
        <w:t xml:space="preserve">and service spaces outside the cargo area below deck by bulkheads </w:t>
      </w:r>
      <w:r w:rsidRPr="002B4092">
        <w:rPr>
          <w:b/>
          <w:iCs/>
          <w:u w:val="single"/>
        </w:rPr>
        <w:t>provided with a Class A-60 fire protection insulation according to SOLAS 74, Chapter II-2, Regulation 3</w:t>
      </w:r>
      <w:r w:rsidRPr="002B4092">
        <w:rPr>
          <w:iCs/>
        </w:rPr>
        <w:t xml:space="preserve">. A space of not less than 0.20 m </w:t>
      </w:r>
      <w:proofErr w:type="gramStart"/>
      <w:r w:rsidRPr="002B4092">
        <w:rPr>
          <w:iCs/>
        </w:rPr>
        <w:t>shall be provided</w:t>
      </w:r>
      <w:proofErr w:type="gramEnd"/>
      <w:r w:rsidRPr="002B4092">
        <w:rPr>
          <w:iCs/>
        </w:rPr>
        <w:t xml:space="preserve"> between the cargo tanks and the end bulkheads of the hold spaces. Where the cargo tanks have plane end bulkheads this space shall be not less than 0.50 m.</w:t>
      </w:r>
    </w:p>
    <w:p w:rsidR="009A1FBA" w:rsidRPr="002B4092" w:rsidRDefault="00F64336" w:rsidP="00C72B0F">
      <w:pPr>
        <w:pStyle w:val="SingleTxtG"/>
        <w:tabs>
          <w:tab w:val="left" w:pos="2410"/>
        </w:tabs>
      </w:pPr>
      <w:r w:rsidRPr="00F64336">
        <w:rPr>
          <w:b/>
        </w:rPr>
        <w:t>9.3.2.11.3 a)</w:t>
      </w:r>
      <w:r w:rsidRPr="00F64336">
        <w:rPr>
          <w:b/>
        </w:rPr>
        <w:tab/>
      </w:r>
      <w:r w:rsidR="009A1FBA" w:rsidRPr="002B4092">
        <w:t>The cargo tanks shall be separated by cofferdams of at least 0.60 m in width from the accommodation, engine room</w:t>
      </w:r>
      <w:r w:rsidR="003F357A">
        <w:t>s</w:t>
      </w:r>
      <w:r w:rsidR="009A1FBA" w:rsidRPr="002B4092">
        <w:t xml:space="preserve"> and service spaces outside the cargo area below deck or, if there are no such accommodation, engine room and service spaces, from the vessel’s ends. Where the cargo tanks </w:t>
      </w:r>
      <w:proofErr w:type="gramStart"/>
      <w:r w:rsidR="009A1FBA" w:rsidRPr="002B4092">
        <w:t>are installed</w:t>
      </w:r>
      <w:proofErr w:type="gramEnd"/>
      <w:r w:rsidR="009A1FBA" w:rsidRPr="002B4092">
        <w:t xml:space="preserve"> in a hold space, a space of not less than 0.50 m shall be provided between such tanks and the end bulkheads of the hold space. In this </w:t>
      </w:r>
      <w:proofErr w:type="gramStart"/>
      <w:r w:rsidR="009A1FBA" w:rsidRPr="002B4092">
        <w:t>case</w:t>
      </w:r>
      <w:proofErr w:type="gramEnd"/>
      <w:r w:rsidR="009A1FBA" w:rsidRPr="002B4092">
        <w:t xml:space="preserve"> an end bulkhead </w:t>
      </w:r>
      <w:r w:rsidR="009A1FBA" w:rsidRPr="002B4092">
        <w:rPr>
          <w:b/>
          <w:u w:val="single"/>
        </w:rPr>
        <w:t>meeting at least the definition for Class “A-60” according to SOLAS 74, Chapter II-2, Regulation 3</w:t>
      </w:r>
      <w:r w:rsidR="009A1FBA" w:rsidRPr="002B4092">
        <w:t xml:space="preserve">, shall be deemed equivalent to a cofferdam. For pressure cargo tanks, the 0.50 m distance </w:t>
      </w:r>
      <w:proofErr w:type="gramStart"/>
      <w:r w:rsidR="009A1FBA" w:rsidRPr="002B4092">
        <w:t>may be reduced</w:t>
      </w:r>
      <w:proofErr w:type="gramEnd"/>
      <w:r w:rsidR="009A1FBA" w:rsidRPr="002B4092">
        <w:t xml:space="preserve"> to 0.20 m.</w:t>
      </w:r>
    </w:p>
    <w:p w:rsidR="009A1FBA" w:rsidRPr="0037555D" w:rsidRDefault="009A1FBA" w:rsidP="00C72B0F">
      <w:pPr>
        <w:pStyle w:val="SingleTxtG"/>
        <w:tabs>
          <w:tab w:val="left" w:pos="2410"/>
        </w:tabs>
      </w:pPr>
      <w:r w:rsidRPr="00F64336">
        <w:rPr>
          <w:b/>
        </w:rPr>
        <w:t>9.3.</w:t>
      </w:r>
      <w:r w:rsidR="00364F91" w:rsidRPr="00F64336">
        <w:rPr>
          <w:b/>
        </w:rPr>
        <w:t>3</w:t>
      </w:r>
      <w:r w:rsidR="00F64336" w:rsidRPr="00F64336">
        <w:rPr>
          <w:b/>
        </w:rPr>
        <w:t>.11.3 (a)</w:t>
      </w:r>
      <w:r w:rsidR="00F64336">
        <w:tab/>
      </w:r>
      <w:r w:rsidRPr="002B4092">
        <w:t>The cargo tanks shall be separated by cofferdams of at least 0.60 m in width from the accommodation, engine room</w:t>
      </w:r>
      <w:r w:rsidR="00364F91">
        <w:t>s</w:t>
      </w:r>
      <w:r w:rsidRPr="002B4092">
        <w:t xml:space="preserve"> and service spaces outside the cargo area below deck or, if there are no such accommodation, engine room and service spaces, from the vessel’s ends. Where the cargo tanks </w:t>
      </w:r>
      <w:proofErr w:type="gramStart"/>
      <w:r w:rsidRPr="002B4092">
        <w:t>are installed</w:t>
      </w:r>
      <w:proofErr w:type="gramEnd"/>
      <w:r w:rsidRPr="002B4092">
        <w:t xml:space="preserve"> in a hold space, a space of not less than 0.50 m shall be provided between such tanks and the end bulkheads of the hold space. In this </w:t>
      </w:r>
      <w:proofErr w:type="gramStart"/>
      <w:r w:rsidRPr="002B4092">
        <w:t>case</w:t>
      </w:r>
      <w:proofErr w:type="gramEnd"/>
      <w:r w:rsidRPr="002B4092">
        <w:t xml:space="preserve"> an end bulkhead </w:t>
      </w:r>
      <w:r w:rsidRPr="002B4092">
        <w:rPr>
          <w:b/>
          <w:u w:val="single"/>
        </w:rPr>
        <w:t>meeting at least the definition for Class “A-60” according to SOLAS 74, Chapter II-2, Regulation 3</w:t>
      </w:r>
      <w:r w:rsidRPr="002B4092">
        <w:t xml:space="preserve">, shall be deemed equivalent to a cofferdam. For pressure cargo tanks, the 0.50 m distance </w:t>
      </w:r>
      <w:proofErr w:type="gramStart"/>
      <w:r w:rsidRPr="002B4092">
        <w:t>may be reduced</w:t>
      </w:r>
      <w:proofErr w:type="gramEnd"/>
      <w:r w:rsidRPr="002B4092">
        <w:t xml:space="preserve"> to 0.20 m.</w:t>
      </w:r>
    </w:p>
    <w:p w:rsidR="009A1FBA" w:rsidRPr="002B4092" w:rsidRDefault="009A1FBA" w:rsidP="00C72B0F">
      <w:pPr>
        <w:pStyle w:val="SingleTxtG"/>
        <w:tabs>
          <w:tab w:val="left" w:pos="2410"/>
        </w:tabs>
        <w:rPr>
          <w:rFonts w:eastAsia="TimesNewRomanPSMT"/>
        </w:rPr>
      </w:pPr>
      <w:r w:rsidRPr="00F64336">
        <w:rPr>
          <w:b/>
        </w:rPr>
        <w:t>9.3.2.17.5 d)</w:t>
      </w:r>
      <w:r w:rsidR="0037555D">
        <w:rPr>
          <w:rFonts w:eastAsia="TimesNewRomanPSMT"/>
        </w:rPr>
        <w:t xml:space="preserve"> </w:t>
      </w:r>
      <w:r w:rsidR="00C72B0F">
        <w:rPr>
          <w:rFonts w:eastAsia="TimesNewRomanPSMT"/>
        </w:rPr>
        <w:tab/>
      </w:r>
      <w:r w:rsidRPr="0037555D">
        <w:t>Penetrations</w:t>
      </w:r>
      <w:r w:rsidRPr="002B4092">
        <w:rPr>
          <w:rFonts w:eastAsia="TimesNewRomanPSMT"/>
        </w:rPr>
        <w:t xml:space="preserve"> through a bulkhead with an “A-60” fire protection insulation according to SOLAS 74, Chapter II-2, Regulation 3, shall have an equivalent fire protection.</w:t>
      </w:r>
    </w:p>
    <w:p w:rsidR="009A1FBA" w:rsidRPr="002B4092" w:rsidRDefault="009A1FBA" w:rsidP="00C72B0F">
      <w:pPr>
        <w:pStyle w:val="SingleTxtG"/>
        <w:tabs>
          <w:tab w:val="left" w:pos="2410"/>
        </w:tabs>
        <w:rPr>
          <w:rFonts w:eastAsia="TimesNewRomanPSMT"/>
        </w:rPr>
      </w:pPr>
      <w:r w:rsidRPr="00F64336">
        <w:rPr>
          <w:rFonts w:eastAsia="TimesNewRomanPSMT"/>
          <w:b/>
        </w:rPr>
        <w:t>9.3.2.17.6</w:t>
      </w:r>
      <w:r w:rsidR="00F64336">
        <w:rPr>
          <w:rFonts w:eastAsia="TimesNewRomanPSMT"/>
        </w:rPr>
        <w:tab/>
      </w:r>
      <w:r w:rsidRPr="002B4092">
        <w:rPr>
          <w:rFonts w:eastAsia="TimesNewRomanPSMT"/>
        </w:rPr>
        <w:t xml:space="preserve">A service space located within the cargo area below deck </w:t>
      </w:r>
      <w:proofErr w:type="gramStart"/>
      <w:r w:rsidRPr="002B4092">
        <w:rPr>
          <w:rFonts w:eastAsia="TimesNewRomanPSMT"/>
        </w:rPr>
        <w:t>shall not be used</w:t>
      </w:r>
      <w:proofErr w:type="gramEnd"/>
      <w:r w:rsidRPr="002B4092">
        <w:rPr>
          <w:rFonts w:eastAsia="TimesNewRomanPSMT"/>
        </w:rPr>
        <w:t xml:space="preserve"> as a cargo </w:t>
      </w:r>
      <w:proofErr w:type="spellStart"/>
      <w:r w:rsidRPr="002B4092">
        <w:rPr>
          <w:rFonts w:eastAsia="TimesNewRomanPSMT"/>
        </w:rPr>
        <w:t>pumproom</w:t>
      </w:r>
      <w:proofErr w:type="spellEnd"/>
      <w:r w:rsidRPr="002B4092">
        <w:rPr>
          <w:rFonts w:eastAsia="TimesNewRomanPSMT"/>
        </w:rPr>
        <w:t xml:space="preserve"> for the loading and unloading system, except where:</w:t>
      </w:r>
    </w:p>
    <w:p w:rsidR="009A1FBA" w:rsidRPr="002B4092" w:rsidRDefault="009A1FBA" w:rsidP="007A3304">
      <w:pPr>
        <w:pStyle w:val="Bullet1G"/>
        <w:rPr>
          <w:rFonts w:eastAsia="TimesNewRomanPSMT"/>
        </w:rPr>
      </w:pPr>
      <w:r w:rsidRPr="002B4092">
        <w:rPr>
          <w:rFonts w:eastAsia="TimesNewRomanPSMT"/>
        </w:rPr>
        <w:t xml:space="preserve">the pump room is separated from the engine room or from service spaces outside the cargo area by a cofferdam or a bulkhead with an </w:t>
      </w:r>
      <w:r w:rsidRPr="00E95AF5">
        <w:rPr>
          <w:rFonts w:eastAsia="TimesNewRomanPSMT"/>
          <w:b/>
        </w:rPr>
        <w:t>“</w:t>
      </w:r>
      <w:r w:rsidRPr="00E95AF5">
        <w:rPr>
          <w:rFonts w:eastAsia="TimesNewRomanPSMT"/>
          <w:b/>
          <w:u w:val="single"/>
        </w:rPr>
        <w:t>A-</w:t>
      </w:r>
      <w:r w:rsidRPr="002B4092">
        <w:rPr>
          <w:rFonts w:eastAsia="TimesNewRomanPSMT"/>
          <w:b/>
          <w:u w:val="single"/>
        </w:rPr>
        <w:t>60” fire protection insulation according to SOLAS 74, Chapter II-2, Regulation 3</w:t>
      </w:r>
      <w:r w:rsidRPr="002B4092">
        <w:rPr>
          <w:rFonts w:eastAsia="TimesNewRomanPSMT"/>
        </w:rPr>
        <w:t>, or by a service space or a hold space;</w:t>
      </w:r>
    </w:p>
    <w:p w:rsidR="009A1FBA" w:rsidRPr="002B4092" w:rsidRDefault="009A1FBA" w:rsidP="0037555D">
      <w:pPr>
        <w:pStyle w:val="Bullet1G"/>
        <w:rPr>
          <w:rFonts w:eastAsia="TimesNewRomanPSMT"/>
        </w:rPr>
      </w:pPr>
      <w:r w:rsidRPr="002B4092">
        <w:rPr>
          <w:rFonts w:eastAsia="TimesNewRomanPSMT"/>
        </w:rPr>
        <w:t>the “A-60” bulkhead required above does not include penetrations referred to in 9.3.2.17.5 (a);</w:t>
      </w:r>
    </w:p>
    <w:p w:rsidR="00704DBA" w:rsidRPr="00E95AF5" w:rsidRDefault="00E95AF5" w:rsidP="00BB73DD">
      <w:pPr>
        <w:pStyle w:val="SingleTxtG"/>
      </w:pPr>
      <w:r>
        <w:rPr>
          <w:w w:val="103"/>
        </w:rPr>
        <w:t>4.</w:t>
      </w:r>
      <w:r>
        <w:rPr>
          <w:w w:val="103"/>
        </w:rPr>
        <w:tab/>
      </w:r>
      <w:r w:rsidR="00704DBA" w:rsidRPr="002B4092">
        <w:rPr>
          <w:w w:val="103"/>
        </w:rPr>
        <w:t xml:space="preserve">The </w:t>
      </w:r>
      <w:r w:rsidR="00704DBA" w:rsidRPr="002B4092">
        <w:t xml:space="preserve">Recommended </w:t>
      </w:r>
      <w:r>
        <w:t xml:space="preserve">ADN </w:t>
      </w:r>
      <w:r w:rsidR="00704DBA" w:rsidRPr="002B4092">
        <w:t xml:space="preserve">Classification Societies suggests to adopt in 9.3.x.11.3 </w:t>
      </w:r>
      <w:r>
        <w:t>(</w:t>
      </w:r>
      <w:r w:rsidR="00704DBA" w:rsidRPr="002B4092">
        <w:t xml:space="preserve">a), 9.3.x.17.5 </w:t>
      </w:r>
      <w:r>
        <w:t>(</w:t>
      </w:r>
      <w:r w:rsidR="000A210A">
        <w:t xml:space="preserve">d) </w:t>
      </w:r>
      <w:r w:rsidR="00704DBA" w:rsidRPr="002B4092">
        <w:t>and 9.3.x.17.6 the text “</w:t>
      </w:r>
      <w:r w:rsidR="00704DBA" w:rsidRPr="00E95AF5">
        <w:rPr>
          <w:b/>
        </w:rPr>
        <w:t xml:space="preserve">bulkhead </w:t>
      </w:r>
      <w:r w:rsidRPr="00E95AF5">
        <w:rPr>
          <w:b/>
        </w:rPr>
        <w:t>of Class “A-60”</w:t>
      </w:r>
      <w:r>
        <w:rPr>
          <w:b/>
        </w:rPr>
        <w:t xml:space="preserve"> as defined in</w:t>
      </w:r>
      <w:r w:rsidRPr="00E95AF5">
        <w:rPr>
          <w:b/>
        </w:rPr>
        <w:t xml:space="preserve"> SOLAS 74, Chapter II-2, R</w:t>
      </w:r>
      <w:r w:rsidR="00704DBA" w:rsidRPr="00E95AF5">
        <w:rPr>
          <w:b/>
        </w:rPr>
        <w:t>egulation 3</w:t>
      </w:r>
      <w:r w:rsidR="00704DBA" w:rsidRPr="00E95AF5">
        <w:t>”.</w:t>
      </w:r>
      <w:r w:rsidR="00F776B7" w:rsidRPr="00C25D04">
        <w:rPr>
          <w:rStyle w:val="FootnoteReference"/>
          <w:sz w:val="20"/>
        </w:rPr>
        <w:footnoteReference w:id="3"/>
      </w:r>
    </w:p>
    <w:p w:rsidR="007E4888" w:rsidRPr="0037555D" w:rsidRDefault="007E4888" w:rsidP="007E4888">
      <w:pPr>
        <w:pStyle w:val="SingleTxtG"/>
        <w:spacing w:before="240" w:after="0"/>
        <w:jc w:val="center"/>
        <w:rPr>
          <w:u w:val="single"/>
        </w:rPr>
      </w:pPr>
      <w:r w:rsidRPr="0037555D">
        <w:rPr>
          <w:u w:val="single"/>
        </w:rPr>
        <w:tab/>
      </w:r>
      <w:r w:rsidRPr="0037555D">
        <w:rPr>
          <w:u w:val="single"/>
        </w:rPr>
        <w:tab/>
      </w:r>
      <w:r w:rsidRPr="0037555D">
        <w:rPr>
          <w:u w:val="single"/>
        </w:rPr>
        <w:tab/>
      </w:r>
    </w:p>
    <w:sectPr w:rsidR="007E4888" w:rsidRPr="0037555D" w:rsidSect="001E6BB6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F35954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E95AF5">
      <w:rPr>
        <w:b/>
        <w:noProof/>
        <w:sz w:val="18"/>
      </w:rPr>
      <w:t>3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A30C25" w:rsidRPr="001A0DBA" w:rsidRDefault="00A30C25" w:rsidP="00A30C25">
      <w:pPr>
        <w:pStyle w:val="FootnoteText"/>
        <w:widowControl w:val="0"/>
        <w:rPr>
          <w:lang w:val="en-US"/>
        </w:rPr>
      </w:pPr>
      <w:r>
        <w:tab/>
      </w:r>
      <w:r w:rsidRPr="0018466B">
        <w:rPr>
          <w:rStyle w:val="FootnoteReference"/>
          <w:sz w:val="20"/>
          <w:vertAlign w:val="baseline"/>
        </w:rPr>
        <w:t>*</w:t>
      </w:r>
      <w:r w:rsidRPr="001A0DBA">
        <w:tab/>
      </w:r>
      <w:r w:rsidRPr="001A0DBA">
        <w:rPr>
          <w:lang w:val="en-US"/>
        </w:rPr>
        <w:t>Distributed in German by the Central Commission for the Navigation of the Rhine under the symbol CCNR-ZKR/ADN/WP.15/AC.2/2017/</w:t>
      </w:r>
      <w:r>
        <w:rPr>
          <w:lang w:val="en-US"/>
        </w:rPr>
        <w:t>33</w:t>
      </w:r>
      <w:r w:rsidRPr="001A0DBA">
        <w:rPr>
          <w:lang w:val="en-US"/>
        </w:rPr>
        <w:t>.</w:t>
      </w:r>
    </w:p>
  </w:footnote>
  <w:footnote w:id="2">
    <w:p w:rsidR="00A30C25" w:rsidRPr="001E4033" w:rsidRDefault="00A30C25" w:rsidP="00A30C25">
      <w:pPr>
        <w:pStyle w:val="FootnoteText"/>
      </w:pPr>
      <w:r w:rsidRPr="001A0DBA">
        <w:tab/>
      </w:r>
      <w:r w:rsidRPr="0018466B">
        <w:rPr>
          <w:rStyle w:val="FootnoteReference"/>
          <w:sz w:val="20"/>
          <w:vertAlign w:val="baseline"/>
        </w:rPr>
        <w:t>**</w:t>
      </w:r>
      <w:r w:rsidRPr="001A0DBA">
        <w:tab/>
      </w:r>
      <w:r w:rsidRPr="001A0DBA">
        <w:rPr>
          <w:lang w:val="en-US"/>
        </w:rPr>
        <w:t xml:space="preserve">In accordance with the </w:t>
      </w:r>
      <w:proofErr w:type="spellStart"/>
      <w:r w:rsidRPr="001A0DBA">
        <w:rPr>
          <w:lang w:val="en-US"/>
        </w:rPr>
        <w:t>programme</w:t>
      </w:r>
      <w:proofErr w:type="spellEnd"/>
      <w:r w:rsidRPr="001A0DBA">
        <w:rPr>
          <w:lang w:val="en-US"/>
        </w:rPr>
        <w:t xml:space="preserve"> of work of the Inland Transport Committee for 2016–2017 </w:t>
      </w:r>
      <w:r w:rsidRPr="001A0DBA">
        <w:t>(ECE/TRANS/2016/28/Add.1 (9.3.)).</w:t>
      </w:r>
    </w:p>
  </w:footnote>
  <w:footnote w:id="3">
    <w:p w:rsidR="00F776B7" w:rsidRPr="00F776B7" w:rsidRDefault="00F776B7" w:rsidP="00F776B7">
      <w:pPr>
        <w:pStyle w:val="FootnoteText"/>
        <w:ind w:left="1021" w:firstLine="0"/>
      </w:pPr>
      <w:r>
        <w:rPr>
          <w:rStyle w:val="FootnoteReference"/>
        </w:rPr>
        <w:footnoteRef/>
      </w:r>
      <w:r w:rsidR="005A6B49">
        <w:tab/>
      </w:r>
      <w:r>
        <w:t xml:space="preserve">Note by the secretariat: For the purpose of consistency, the term “SOLAS” </w:t>
      </w:r>
      <w:r w:rsidR="005A6B49">
        <w:t xml:space="preserve">defined </w:t>
      </w:r>
      <w:r>
        <w:t xml:space="preserve">in 1.2.1 </w:t>
      </w:r>
      <w:proofErr w:type="gramStart"/>
      <w:r>
        <w:t xml:space="preserve">should be </w:t>
      </w:r>
      <w:r w:rsidR="00A974F6">
        <w:tab/>
      </w:r>
      <w:r>
        <w:t>replaced</w:t>
      </w:r>
      <w:proofErr w:type="gramEnd"/>
      <w:r>
        <w:t xml:space="preserve"> by the term “SOLAS 1974” which is used </w:t>
      </w:r>
      <w:r w:rsidR="00C90C34">
        <w:t>else</w:t>
      </w:r>
      <w:r>
        <w:t>where in the Regulations annexed to ADN.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 w:rsidR="004A21AE">
      <w:t>7</w:t>
    </w:r>
    <w:r>
      <w:t>/</w:t>
    </w:r>
    <w:r w:rsidR="00A30C25">
      <w:t>33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 w:rsidR="007E4888">
      <w:t>7</w:t>
    </w:r>
    <w:r>
      <w:t>/</w:t>
    </w:r>
    <w:r w:rsidR="007E4888">
      <w:t>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B64AA2"/>
    <w:multiLevelType w:val="hybridMultilevel"/>
    <w:tmpl w:val="E9AAC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2381"/>
        </w:tabs>
        <w:ind w:left="238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90051"/>
    <w:multiLevelType w:val="hybridMultilevel"/>
    <w:tmpl w:val="9774B5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7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15"/>
  </w:num>
  <w:num w:numId="10">
    <w:abstractNumId w:val="17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6"/>
  </w:num>
  <w:num w:numId="17">
    <w:abstractNumId w:val="3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defaultTabStop w:val="567"/>
  <w:evenAndOddHeaders/>
  <w:characterSpacingControl w:val="doNotCompress"/>
  <w:hdrShapeDefaults>
    <o:shapedefaults v:ext="edit" spidmax="614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128BC"/>
    <w:rsid w:val="00046E92"/>
    <w:rsid w:val="00052C20"/>
    <w:rsid w:val="0007681F"/>
    <w:rsid w:val="00087040"/>
    <w:rsid w:val="000A210A"/>
    <w:rsid w:val="000E2B28"/>
    <w:rsid w:val="001170DC"/>
    <w:rsid w:val="001538F8"/>
    <w:rsid w:val="001847F6"/>
    <w:rsid w:val="001A5D77"/>
    <w:rsid w:val="001E0828"/>
    <w:rsid w:val="001E6BB6"/>
    <w:rsid w:val="00222364"/>
    <w:rsid w:val="00235406"/>
    <w:rsid w:val="00247E2C"/>
    <w:rsid w:val="0025257B"/>
    <w:rsid w:val="0027472B"/>
    <w:rsid w:val="00291666"/>
    <w:rsid w:val="002938C6"/>
    <w:rsid w:val="002B2F4B"/>
    <w:rsid w:val="002B4092"/>
    <w:rsid w:val="002B587F"/>
    <w:rsid w:val="002C3D1C"/>
    <w:rsid w:val="002D6C53"/>
    <w:rsid w:val="002E1F78"/>
    <w:rsid w:val="002F5595"/>
    <w:rsid w:val="00326534"/>
    <w:rsid w:val="00334F6A"/>
    <w:rsid w:val="00336ADA"/>
    <w:rsid w:val="00342AC8"/>
    <w:rsid w:val="00357D54"/>
    <w:rsid w:val="00364BA1"/>
    <w:rsid w:val="00364F91"/>
    <w:rsid w:val="0037555D"/>
    <w:rsid w:val="00395CFD"/>
    <w:rsid w:val="003960F8"/>
    <w:rsid w:val="003A143D"/>
    <w:rsid w:val="003A3223"/>
    <w:rsid w:val="003B1001"/>
    <w:rsid w:val="003B4550"/>
    <w:rsid w:val="003D077D"/>
    <w:rsid w:val="003D0A73"/>
    <w:rsid w:val="003F357A"/>
    <w:rsid w:val="004345E1"/>
    <w:rsid w:val="00461253"/>
    <w:rsid w:val="00464A86"/>
    <w:rsid w:val="00470FE6"/>
    <w:rsid w:val="004714B2"/>
    <w:rsid w:val="00480E10"/>
    <w:rsid w:val="004A21AE"/>
    <w:rsid w:val="004E2168"/>
    <w:rsid w:val="004F24B3"/>
    <w:rsid w:val="005042C2"/>
    <w:rsid w:val="005226BE"/>
    <w:rsid w:val="00530B94"/>
    <w:rsid w:val="005532CE"/>
    <w:rsid w:val="00570DCF"/>
    <w:rsid w:val="005843F6"/>
    <w:rsid w:val="00584D6D"/>
    <w:rsid w:val="005A6B49"/>
    <w:rsid w:val="005E769A"/>
    <w:rsid w:val="005F05CF"/>
    <w:rsid w:val="005F1D4F"/>
    <w:rsid w:val="005F4F7D"/>
    <w:rsid w:val="0061403D"/>
    <w:rsid w:val="00665D6C"/>
    <w:rsid w:val="00671529"/>
    <w:rsid w:val="00676C31"/>
    <w:rsid w:val="00687B5C"/>
    <w:rsid w:val="00694649"/>
    <w:rsid w:val="006A3BE4"/>
    <w:rsid w:val="006A3E33"/>
    <w:rsid w:val="006A7DCE"/>
    <w:rsid w:val="006A7F9C"/>
    <w:rsid w:val="006D2DA5"/>
    <w:rsid w:val="006D3BB6"/>
    <w:rsid w:val="006D5792"/>
    <w:rsid w:val="006F58C3"/>
    <w:rsid w:val="00704DBA"/>
    <w:rsid w:val="00717266"/>
    <w:rsid w:val="007268F9"/>
    <w:rsid w:val="007830E2"/>
    <w:rsid w:val="007A3304"/>
    <w:rsid w:val="007A3B8A"/>
    <w:rsid w:val="007C52B0"/>
    <w:rsid w:val="007C7DA9"/>
    <w:rsid w:val="007D5D06"/>
    <w:rsid w:val="007E392A"/>
    <w:rsid w:val="007E4888"/>
    <w:rsid w:val="008041D0"/>
    <w:rsid w:val="00853410"/>
    <w:rsid w:val="008633F0"/>
    <w:rsid w:val="00873799"/>
    <w:rsid w:val="00875B6B"/>
    <w:rsid w:val="008B21A4"/>
    <w:rsid w:val="008C0AF4"/>
    <w:rsid w:val="008E4648"/>
    <w:rsid w:val="009411B4"/>
    <w:rsid w:val="00966670"/>
    <w:rsid w:val="0099318D"/>
    <w:rsid w:val="009A1FBA"/>
    <w:rsid w:val="009C4996"/>
    <w:rsid w:val="009D0139"/>
    <w:rsid w:val="009E4552"/>
    <w:rsid w:val="009F5CDC"/>
    <w:rsid w:val="00A22217"/>
    <w:rsid w:val="00A30C25"/>
    <w:rsid w:val="00A440C4"/>
    <w:rsid w:val="00A47CC7"/>
    <w:rsid w:val="00A51670"/>
    <w:rsid w:val="00A775CF"/>
    <w:rsid w:val="00A974F6"/>
    <w:rsid w:val="00AB3C7E"/>
    <w:rsid w:val="00AE2646"/>
    <w:rsid w:val="00AF2554"/>
    <w:rsid w:val="00B06045"/>
    <w:rsid w:val="00B30F57"/>
    <w:rsid w:val="00B36538"/>
    <w:rsid w:val="00B4782F"/>
    <w:rsid w:val="00B55D14"/>
    <w:rsid w:val="00B72FE0"/>
    <w:rsid w:val="00BA2A75"/>
    <w:rsid w:val="00BB589D"/>
    <w:rsid w:val="00BB73DD"/>
    <w:rsid w:val="00C25D04"/>
    <w:rsid w:val="00C354C0"/>
    <w:rsid w:val="00C35A27"/>
    <w:rsid w:val="00C70700"/>
    <w:rsid w:val="00C72B0F"/>
    <w:rsid w:val="00C90C34"/>
    <w:rsid w:val="00C92698"/>
    <w:rsid w:val="00CB6572"/>
    <w:rsid w:val="00D15872"/>
    <w:rsid w:val="00D41682"/>
    <w:rsid w:val="00D74315"/>
    <w:rsid w:val="00D92F41"/>
    <w:rsid w:val="00DA43C8"/>
    <w:rsid w:val="00DB0A83"/>
    <w:rsid w:val="00DB2914"/>
    <w:rsid w:val="00DF2EA0"/>
    <w:rsid w:val="00DF5519"/>
    <w:rsid w:val="00E02C2B"/>
    <w:rsid w:val="00E06A76"/>
    <w:rsid w:val="00E24141"/>
    <w:rsid w:val="00E2638B"/>
    <w:rsid w:val="00E4706D"/>
    <w:rsid w:val="00E60370"/>
    <w:rsid w:val="00E95AF5"/>
    <w:rsid w:val="00EA42BD"/>
    <w:rsid w:val="00ED1F24"/>
    <w:rsid w:val="00ED6C48"/>
    <w:rsid w:val="00EE5F0C"/>
    <w:rsid w:val="00F35954"/>
    <w:rsid w:val="00F50852"/>
    <w:rsid w:val="00F64336"/>
    <w:rsid w:val="00F65F5D"/>
    <w:rsid w:val="00F776B7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1BC342EC-CC10-45E9-8207-04EDE92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paragraph" w:styleId="NoSpacing">
    <w:name w:val="No Spacing"/>
    <w:basedOn w:val="Normal"/>
    <w:uiPriority w:val="1"/>
    <w:qFormat/>
    <w:rsid w:val="00DA43C8"/>
    <w:pPr>
      <w:suppressAutoHyphens w:val="0"/>
      <w:spacing w:line="240" w:lineRule="auto"/>
    </w:pPr>
    <w:rPr>
      <w:rFonts w:ascii="Calibri" w:eastAsia="Calibri" w:hAnsi="Calibri"/>
      <w:sz w:val="22"/>
      <w:szCs w:val="22"/>
      <w:lang w:val="ru-RU"/>
    </w:rPr>
  </w:style>
  <w:style w:type="character" w:styleId="Hyperlink">
    <w:name w:val="Hyperlink"/>
    <w:uiPriority w:val="99"/>
    <w:unhideWhenUsed/>
    <w:rsid w:val="00BA2A75"/>
    <w:rPr>
      <w:color w:val="0000FF"/>
      <w:u w:val="single"/>
    </w:rPr>
  </w:style>
  <w:style w:type="paragraph" w:customStyle="1" w:styleId="Default">
    <w:name w:val="Default"/>
    <w:rsid w:val="00BA2A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customStyle="1" w:styleId="SingleTxtGChar">
    <w:name w:val="_ Single Txt_G Char"/>
    <w:link w:val="SingleTxtG"/>
    <w:rsid w:val="00BA2A75"/>
    <w:rPr>
      <w:rFonts w:ascii="Times New Roman" w:hAnsi="Times New Roman" w:cs="Times New Roman"/>
      <w:sz w:val="20"/>
      <w:szCs w:val="20"/>
    </w:rPr>
  </w:style>
  <w:style w:type="character" w:customStyle="1" w:styleId="ms-rtethemefontface-1">
    <w:name w:val="ms-rtethemefontface-1"/>
    <w:rsid w:val="000128BC"/>
  </w:style>
  <w:style w:type="paragraph" w:styleId="ListParagraph">
    <w:name w:val="List Paragraph"/>
    <w:basedOn w:val="Normal"/>
    <w:uiPriority w:val="34"/>
    <w:rsid w:val="005F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D66B-A655-450C-A101-D4F9DD2E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660</Words>
  <Characters>3433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Marie-Claude Collet</cp:lastModifiedBy>
  <cp:revision>14</cp:revision>
  <cp:lastPrinted>2017-06-12T13:41:00Z</cp:lastPrinted>
  <dcterms:created xsi:type="dcterms:W3CDTF">2017-05-29T11:26:00Z</dcterms:created>
  <dcterms:modified xsi:type="dcterms:W3CDTF">2017-06-12T13:54:00Z</dcterms:modified>
</cp:coreProperties>
</file>