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DD44B1">
        <w:trPr>
          <w:trHeight w:hRule="exact" w:val="851"/>
        </w:trPr>
        <w:tc>
          <w:tcPr>
            <w:tcW w:w="142" w:type="dxa"/>
            <w:tcBorders>
              <w:bottom w:val="single" w:sz="4" w:space="0" w:color="auto"/>
            </w:tcBorders>
          </w:tcPr>
          <w:p w:rsidR="002D5AAC" w:rsidRDefault="002D5AAC" w:rsidP="00E8550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DD44B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8550F" w:rsidP="00E8550F">
            <w:pPr>
              <w:jc w:val="right"/>
            </w:pPr>
            <w:r w:rsidRPr="00E8550F">
              <w:rPr>
                <w:sz w:val="40"/>
              </w:rPr>
              <w:t>ECE</w:t>
            </w:r>
            <w:r>
              <w:t>/TRANS/WP.15/AC.2/2017/26</w:t>
            </w:r>
          </w:p>
        </w:tc>
      </w:tr>
      <w:tr w:rsidR="002D5AAC" w:rsidRPr="00E8550F" w:rsidTr="00DD44B1">
        <w:trPr>
          <w:trHeight w:hRule="exact" w:val="2835"/>
        </w:trPr>
        <w:tc>
          <w:tcPr>
            <w:tcW w:w="1280" w:type="dxa"/>
            <w:gridSpan w:val="2"/>
            <w:tcBorders>
              <w:top w:val="single" w:sz="4" w:space="0" w:color="auto"/>
              <w:bottom w:val="single" w:sz="12" w:space="0" w:color="auto"/>
            </w:tcBorders>
          </w:tcPr>
          <w:p w:rsidR="002D5AAC" w:rsidRDefault="002E5067" w:rsidP="00DD44B1">
            <w:pPr>
              <w:spacing w:before="120"/>
              <w:jc w:val="center"/>
            </w:pPr>
            <w:r>
              <w:rPr>
                <w:noProof/>
                <w:lang w:val="en-GB" w:eastAsia="en-GB"/>
              </w:rPr>
              <w:drawing>
                <wp:inline distT="0" distB="0" distL="0" distR="0" wp14:anchorId="63212BCA" wp14:editId="0A99D50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640F49" w:rsidP="00DD44B1">
            <w:pPr>
              <w:suppressAutoHyphens/>
              <w:spacing w:before="120" w:line="380" w:lineRule="exact"/>
              <w:rPr>
                <w:b/>
                <w:sz w:val="34"/>
                <w:szCs w:val="34"/>
              </w:rPr>
            </w:pPr>
            <w:r>
              <w:rPr>
                <w:b/>
                <w:sz w:val="40"/>
                <w:szCs w:val="40"/>
              </w:rPr>
              <w:t xml:space="preserve">Экономический </w:t>
            </w:r>
            <w:r>
              <w:rPr>
                <w:b/>
                <w:sz w:val="40"/>
                <w:szCs w:val="40"/>
              </w:rPr>
              <w:br/>
              <w:t>и Социальный Совет</w:t>
            </w:r>
          </w:p>
        </w:tc>
        <w:tc>
          <w:tcPr>
            <w:tcW w:w="2693" w:type="dxa"/>
            <w:tcBorders>
              <w:top w:val="single" w:sz="4" w:space="0" w:color="auto"/>
              <w:bottom w:val="single" w:sz="12" w:space="0" w:color="auto"/>
            </w:tcBorders>
          </w:tcPr>
          <w:p w:rsidR="002D5AAC" w:rsidRDefault="00E8550F" w:rsidP="00DD44B1">
            <w:pPr>
              <w:spacing w:before="240"/>
              <w:rPr>
                <w:lang w:val="en-US"/>
              </w:rPr>
            </w:pPr>
            <w:r>
              <w:rPr>
                <w:lang w:val="en-US"/>
              </w:rPr>
              <w:t>Distr.: General</w:t>
            </w:r>
          </w:p>
          <w:p w:rsidR="00E8550F" w:rsidRDefault="00E8550F" w:rsidP="00E8550F">
            <w:pPr>
              <w:spacing w:line="240" w:lineRule="exact"/>
              <w:rPr>
                <w:lang w:val="en-US"/>
              </w:rPr>
            </w:pPr>
            <w:r>
              <w:rPr>
                <w:lang w:val="en-US"/>
              </w:rPr>
              <w:t>24 May 2017</w:t>
            </w:r>
          </w:p>
          <w:p w:rsidR="00E8550F" w:rsidRDefault="00E8550F" w:rsidP="00E8550F">
            <w:pPr>
              <w:spacing w:line="240" w:lineRule="exact"/>
              <w:rPr>
                <w:lang w:val="en-US"/>
              </w:rPr>
            </w:pPr>
            <w:r>
              <w:rPr>
                <w:lang w:val="en-US"/>
              </w:rPr>
              <w:t>Russian</w:t>
            </w:r>
          </w:p>
          <w:p w:rsidR="00E8550F" w:rsidRPr="00D62A45" w:rsidRDefault="00E8550F" w:rsidP="00E8550F">
            <w:pPr>
              <w:spacing w:line="240" w:lineRule="exact"/>
              <w:rPr>
                <w:lang w:val="en-US"/>
              </w:rPr>
            </w:pPr>
            <w:r>
              <w:rPr>
                <w:lang w:val="en-US"/>
              </w:rPr>
              <w:t>Original: French</w:t>
            </w:r>
          </w:p>
        </w:tc>
      </w:tr>
    </w:tbl>
    <w:p w:rsidR="00E8550F" w:rsidRPr="00E8550F" w:rsidRDefault="00E8550F" w:rsidP="00E8550F">
      <w:pPr>
        <w:spacing w:before="120"/>
        <w:rPr>
          <w:b/>
          <w:sz w:val="28"/>
          <w:szCs w:val="28"/>
        </w:rPr>
      </w:pPr>
      <w:r w:rsidRPr="00E8550F">
        <w:rPr>
          <w:b/>
          <w:sz w:val="28"/>
          <w:szCs w:val="28"/>
        </w:rPr>
        <w:t>Европейская экономическая комиссия</w:t>
      </w:r>
    </w:p>
    <w:p w:rsidR="00E8550F" w:rsidRPr="00E8550F" w:rsidRDefault="00E8550F" w:rsidP="00E8550F">
      <w:pPr>
        <w:spacing w:before="120"/>
        <w:rPr>
          <w:sz w:val="28"/>
          <w:szCs w:val="28"/>
        </w:rPr>
      </w:pPr>
      <w:r w:rsidRPr="00E8550F">
        <w:rPr>
          <w:sz w:val="28"/>
          <w:szCs w:val="28"/>
        </w:rPr>
        <w:t>Комитет по внутреннему транспорту</w:t>
      </w:r>
    </w:p>
    <w:p w:rsidR="00E8550F" w:rsidRPr="00E8550F" w:rsidRDefault="00E8550F" w:rsidP="00E8550F">
      <w:pPr>
        <w:spacing w:before="120"/>
        <w:rPr>
          <w:b/>
          <w:sz w:val="24"/>
          <w:szCs w:val="24"/>
        </w:rPr>
      </w:pPr>
      <w:r w:rsidRPr="00E8550F">
        <w:rPr>
          <w:b/>
          <w:sz w:val="24"/>
          <w:szCs w:val="24"/>
        </w:rPr>
        <w:t>Рабочая группа по перевозкам опасных грузов</w:t>
      </w:r>
    </w:p>
    <w:p w:rsidR="00E8550F" w:rsidRPr="00524CCD" w:rsidRDefault="00E8550F" w:rsidP="00524CCD">
      <w:pPr>
        <w:spacing w:before="120"/>
        <w:rPr>
          <w:b/>
        </w:rPr>
      </w:pPr>
      <w:r w:rsidRPr="00524CCD">
        <w:rPr>
          <w:b/>
        </w:rPr>
        <w:t>Совместное совещание экспертов по Правилам,</w:t>
      </w:r>
      <w:r w:rsidRPr="00524CCD">
        <w:rPr>
          <w:b/>
        </w:rPr>
        <w:br/>
        <w:t xml:space="preserve">прилагаемым к Европейскому соглашению </w:t>
      </w:r>
      <w:r w:rsidRPr="00524CCD">
        <w:rPr>
          <w:b/>
        </w:rPr>
        <w:br/>
        <w:t xml:space="preserve">о международной перевозке опасных грузов </w:t>
      </w:r>
      <w:r w:rsidRPr="00524CCD">
        <w:rPr>
          <w:b/>
        </w:rPr>
        <w:br/>
        <w:t>по внутренним водным путям (ВОПОГ)</w:t>
      </w:r>
    </w:p>
    <w:p w:rsidR="00E8550F" w:rsidRPr="00524CCD" w:rsidRDefault="00E8550F" w:rsidP="00E8550F">
      <w:pPr>
        <w:rPr>
          <w:b/>
        </w:rPr>
      </w:pPr>
      <w:r w:rsidRPr="00524CCD">
        <w:rPr>
          <w:b/>
        </w:rPr>
        <w:t>(Комитет по вопросам безопасности ВОПОГ)</w:t>
      </w:r>
    </w:p>
    <w:p w:rsidR="00E8550F" w:rsidRPr="00524CCD" w:rsidRDefault="00E8550F" w:rsidP="00524CCD">
      <w:pPr>
        <w:spacing w:before="120"/>
        <w:rPr>
          <w:b/>
        </w:rPr>
      </w:pPr>
      <w:r w:rsidRPr="00524CCD">
        <w:rPr>
          <w:b/>
        </w:rPr>
        <w:t>Тридцать первая сессия</w:t>
      </w:r>
    </w:p>
    <w:p w:rsidR="00E8550F" w:rsidRPr="00E8550F" w:rsidRDefault="00E8550F" w:rsidP="00E8550F">
      <w:r w:rsidRPr="00E8550F">
        <w:t>Женева, 28–31 августа 2017 года</w:t>
      </w:r>
    </w:p>
    <w:p w:rsidR="00E8550F" w:rsidRPr="00E8550F" w:rsidRDefault="00E8550F" w:rsidP="00E8550F">
      <w:r w:rsidRPr="00E8550F">
        <w:t>Пункт 4 b) предварительной повестки дня</w:t>
      </w:r>
    </w:p>
    <w:p w:rsidR="00E8550F" w:rsidRPr="00524CCD" w:rsidRDefault="00E8550F" w:rsidP="00E8550F">
      <w:pPr>
        <w:rPr>
          <w:b/>
        </w:rPr>
      </w:pPr>
      <w:r w:rsidRPr="00524CCD">
        <w:rPr>
          <w:b/>
        </w:rPr>
        <w:t xml:space="preserve">Предложения о внесении поправок в Правила, </w:t>
      </w:r>
      <w:r w:rsidRPr="00524CCD">
        <w:rPr>
          <w:b/>
        </w:rPr>
        <w:br/>
        <w:t>прилагаемые к ВОПОГ: другие предложения</w:t>
      </w:r>
    </w:p>
    <w:p w:rsidR="00E8550F" w:rsidRPr="00E8550F" w:rsidRDefault="00E8550F" w:rsidP="00524CCD">
      <w:pPr>
        <w:pStyle w:val="HChGR"/>
      </w:pPr>
      <w:r w:rsidRPr="00E8550F">
        <w:tab/>
      </w:r>
      <w:r w:rsidRPr="00E8550F">
        <w:tab/>
        <w:t>Пункты 1.1.3.6.2 и 7.1.4.4.2 – Использование терминов, имеющих определения</w:t>
      </w:r>
    </w:p>
    <w:p w:rsidR="00E8550F" w:rsidRPr="00E8550F" w:rsidRDefault="00E8550F" w:rsidP="00524CCD">
      <w:pPr>
        <w:pStyle w:val="H1GR"/>
      </w:pPr>
      <w:r w:rsidRPr="00E8550F">
        <w:tab/>
      </w:r>
      <w:r w:rsidRPr="00E8550F">
        <w:tab/>
        <w:t>Передано правительством Австрии</w:t>
      </w:r>
      <w:r w:rsidRPr="00524CCD">
        <w:rPr>
          <w:b w:val="0"/>
          <w:sz w:val="20"/>
        </w:rPr>
        <w:footnoteReference w:customMarkFollows="1" w:id="1"/>
        <w:t>*</w:t>
      </w:r>
      <w:r w:rsidR="00524CCD" w:rsidRPr="008E452A">
        <w:rPr>
          <w:b w:val="0"/>
          <w:sz w:val="20"/>
        </w:rPr>
        <w:t xml:space="preserve"> </w:t>
      </w:r>
      <w:r w:rsidRPr="00524CCD">
        <w:rPr>
          <w:b w:val="0"/>
          <w:sz w:val="20"/>
        </w:rPr>
        <w:footnoteReference w:customMarkFollows="1" w:id="2"/>
        <w:t>**</w:t>
      </w:r>
    </w:p>
    <w:p w:rsidR="00E8550F" w:rsidRPr="00E8550F" w:rsidRDefault="00E8550F" w:rsidP="00524CCD">
      <w:pPr>
        <w:pStyle w:val="HChGR"/>
      </w:pPr>
      <w:r w:rsidRPr="00E8550F">
        <w:tab/>
      </w:r>
      <w:r w:rsidRPr="00E8550F">
        <w:tab/>
        <w:t>Введение</w:t>
      </w:r>
    </w:p>
    <w:p w:rsidR="00E8550F" w:rsidRPr="00E8550F" w:rsidRDefault="00E8550F" w:rsidP="00E8550F">
      <w:pPr>
        <w:pStyle w:val="SingleTxtGR"/>
      </w:pPr>
      <w:r w:rsidRPr="00E8550F">
        <w:t>1.</w:t>
      </w:r>
      <w:r w:rsidRPr="00E8550F">
        <w:tab/>
      </w:r>
      <w:proofErr w:type="gramStart"/>
      <w:r w:rsidRPr="00E8550F">
        <w:t>В</w:t>
      </w:r>
      <w:proofErr w:type="gramEnd"/>
      <w:r w:rsidRPr="00E8550F">
        <w:t xml:space="preserve"> ходе тридцатой сессии Комитет по вопросам безопасности</w:t>
      </w:r>
      <w:r w:rsidRPr="00E8550F">
        <w:rPr>
          <w:b/>
        </w:rPr>
        <w:t xml:space="preserve"> </w:t>
      </w:r>
      <w:r w:rsidRPr="00E8550F">
        <w:t>решил заменить выражение «закрытый контейнер со сплошными металлическими стенками», используемый в пункте 7.1.4.4.2 и не имеющий определения в ВОПОГ, термином «закрытый контейнер», определение которого содержится в разделе</w:t>
      </w:r>
      <w:r w:rsidR="00414D1E">
        <w:t> </w:t>
      </w:r>
      <w:r w:rsidRPr="00E8550F">
        <w:t>1.2.1 («контейнер со сплошной оболочкой, имеющий жесткую крышу, жесткие боковые стенки, жесткие торцевые стенки и настил основания. Этот термин включает контейнеры с открывающейся крышей, которая может быть закрыта во время перевозки.»). До сих пор не было уточнено, должна ли крыша контейнера представлять собой сплошную металлическую стенку или же достаточно, например, наличия брезентового покрытия. На настоящий момент уточнено, что необходима жесткая крыша, однако в принятой новой редакции нет указания в отношении материала.</w:t>
      </w:r>
    </w:p>
    <w:p w:rsidR="00E8550F" w:rsidRPr="00E8550F" w:rsidRDefault="00E8550F" w:rsidP="00E8550F">
      <w:pPr>
        <w:pStyle w:val="SingleTxtGR"/>
      </w:pPr>
      <w:r w:rsidRPr="00E8550F">
        <w:t>2.</w:t>
      </w:r>
      <w:r w:rsidRPr="00E8550F">
        <w:tab/>
      </w:r>
      <w:proofErr w:type="gramStart"/>
      <w:r w:rsidRPr="00E8550F">
        <w:t>В</w:t>
      </w:r>
      <w:proofErr w:type="gramEnd"/>
      <w:r w:rsidRPr="00E8550F">
        <w:t xml:space="preserve"> пункте 7.1.4.4.2 также используется выражение «закрытые транспортные средства и закрытые вагоны, имеющие сплошные металлические стенки». </w:t>
      </w:r>
      <w:r w:rsidRPr="00E8550F">
        <w:rPr>
          <w:iCs/>
        </w:rPr>
        <w:lastRenderedPageBreak/>
        <w:t>Закрытое транспортное средство</w:t>
      </w:r>
      <w:r w:rsidRPr="00E8550F">
        <w:rPr>
          <w:i/>
          <w:iCs/>
        </w:rPr>
        <w:t xml:space="preserve"> </w:t>
      </w:r>
      <w:r w:rsidRPr="00E8550F">
        <w:t xml:space="preserve">определяется как «транспортное средство с кузовом, который может закрываться». </w:t>
      </w:r>
      <w:r w:rsidRPr="00E8550F">
        <w:rPr>
          <w:iCs/>
        </w:rPr>
        <w:t xml:space="preserve">Закрытый вагон </w:t>
      </w:r>
      <w:r w:rsidRPr="00E8550F">
        <w:t>определяется как «</w:t>
      </w:r>
      <w:r w:rsidRPr="00E8550F">
        <w:rPr>
          <w:iCs/>
        </w:rPr>
        <w:t>вагон со стенками и закрепленной или съемной крышей».</w:t>
      </w:r>
      <w:r w:rsidRPr="00E8550F">
        <w:t xml:space="preserve"> В данном случае также возникает вопрос о том, означают ли «сплошные металлические стенки» только стенки или же этот термин включает также и крышу. По аналогии с терминами для контейнеров в этом случае в ДОПОГ и МПОГ также следовало бы использовать термины, имеющие определения, без каких-либо дополнений.</w:t>
      </w:r>
    </w:p>
    <w:p w:rsidR="00E8550F" w:rsidRPr="00E8550F" w:rsidRDefault="00E8550F" w:rsidP="00E8550F">
      <w:pPr>
        <w:pStyle w:val="SingleTxtGR"/>
      </w:pPr>
      <w:r w:rsidRPr="00E8550F">
        <w:t>3.</w:t>
      </w:r>
      <w:r w:rsidRPr="00E8550F">
        <w:tab/>
        <w:t>Сноска 1 к таблице 7.1.4.3.4 также содержит упоминание о «</w:t>
      </w:r>
      <w:r w:rsidRPr="00E8550F">
        <w:rPr>
          <w:iCs/>
        </w:rPr>
        <w:t>контейнерах, транспортных средствах или вагонах со сплошными металлическими стенками» и должна быть адаптирована в со</w:t>
      </w:r>
      <w:r w:rsidRPr="00E8550F">
        <w:t>ответствии с принятыми решениями по пункту 7.1.4.4.2.</w:t>
      </w:r>
    </w:p>
    <w:p w:rsidR="00E8550F" w:rsidRPr="00E8550F" w:rsidRDefault="00E8550F" w:rsidP="00524CCD">
      <w:pPr>
        <w:pStyle w:val="SingleTxtGR"/>
        <w:ind w:left="1701"/>
      </w:pPr>
      <w:r w:rsidRPr="00E8550F">
        <w:t>Пункт 7.1.4.14.4 сформулирован следующим образом: «Опасные грузы должны грузиться в трюмы. Однако опасные грузы, загруженные в:</w:t>
      </w:r>
    </w:p>
    <w:p w:rsidR="00E8550F" w:rsidRPr="00E8550F" w:rsidRDefault="00E8550F" w:rsidP="00524CCD">
      <w:pPr>
        <w:pStyle w:val="SingleTxtGR"/>
        <w:ind w:left="1701"/>
      </w:pPr>
      <w:r w:rsidRPr="00E8550F">
        <w:t>–</w:t>
      </w:r>
      <w:r w:rsidRPr="00E8550F">
        <w:tab/>
        <w:t>контейнеры с брызгонепроницаемыми сплошными стенками;</w:t>
      </w:r>
    </w:p>
    <w:p w:rsidR="00E8550F" w:rsidRPr="00E8550F" w:rsidRDefault="00E8550F" w:rsidP="00524CCD">
      <w:pPr>
        <w:pStyle w:val="SingleTxtGR"/>
        <w:ind w:left="1701"/>
      </w:pPr>
      <w:r w:rsidRPr="00E8550F">
        <w:t>–</w:t>
      </w:r>
      <w:r w:rsidRPr="00E8550F">
        <w:tab/>
        <w:t>[…];</w:t>
      </w:r>
    </w:p>
    <w:p w:rsidR="00E8550F" w:rsidRPr="00E8550F" w:rsidRDefault="00E8550F" w:rsidP="00524CCD">
      <w:pPr>
        <w:pStyle w:val="SingleTxtGR"/>
        <w:ind w:left="1701"/>
      </w:pPr>
      <w:r w:rsidRPr="00E8550F">
        <w:t>–</w:t>
      </w:r>
      <w:r w:rsidRPr="00E8550F">
        <w:tab/>
        <w:t>транспортные средства или вагоны с брызгонепроницаемыми сплошными стенками;</w:t>
      </w:r>
    </w:p>
    <w:p w:rsidR="00E8550F" w:rsidRPr="00E8550F" w:rsidRDefault="00E8550F" w:rsidP="00524CCD">
      <w:pPr>
        <w:pStyle w:val="SingleTxtGR"/>
        <w:ind w:left="1701"/>
      </w:pPr>
      <w:r w:rsidRPr="00E8550F">
        <w:t>–</w:t>
      </w:r>
      <w:r w:rsidRPr="00E8550F">
        <w:tab/>
        <w:t>[…],</w:t>
      </w:r>
    </w:p>
    <w:p w:rsidR="00E8550F" w:rsidRPr="00E8550F" w:rsidRDefault="00E8550F" w:rsidP="00524CCD">
      <w:pPr>
        <w:pStyle w:val="SingleTxtGR"/>
        <w:ind w:left="1701"/>
      </w:pPr>
      <w:r w:rsidRPr="00E8550F">
        <w:t>можно перевозить на палубе в пределах защищенной зоны.».</w:t>
      </w:r>
    </w:p>
    <w:p w:rsidR="00E8550F" w:rsidRPr="00E8550F" w:rsidRDefault="00E8550F" w:rsidP="00E8550F">
      <w:pPr>
        <w:pStyle w:val="SingleTxtGR"/>
      </w:pPr>
      <w:r w:rsidRPr="00E8550F">
        <w:t>4.</w:t>
      </w:r>
      <w:r w:rsidRPr="00E8550F">
        <w:tab/>
        <w:t xml:space="preserve">В этом случае также возникает вопрос о том, можно ли перевозить открытые </w:t>
      </w:r>
      <w:r w:rsidRPr="00E8550F">
        <w:rPr>
          <w:iCs/>
        </w:rPr>
        <w:t>контейнеры, транспортные средства и вагоны или крытые брезентом контейнеры, транспортные средства и вагоны</w:t>
      </w:r>
      <w:r w:rsidRPr="00E8550F">
        <w:t xml:space="preserve"> на палубе и не в трюмах. Представляется целесообразным также использовать здесь имеющие определения термины «закрытые контейнеры» и «закрытые</w:t>
      </w:r>
      <w:r w:rsidRPr="00E8550F">
        <w:rPr>
          <w:iCs/>
        </w:rPr>
        <w:t xml:space="preserve"> транспортные средства и вагоны»</w:t>
      </w:r>
      <w:r w:rsidRPr="00E8550F">
        <w:t>.</w:t>
      </w:r>
    </w:p>
    <w:p w:rsidR="00E8550F" w:rsidRPr="00E8550F" w:rsidRDefault="00E8550F" w:rsidP="00AE445F">
      <w:pPr>
        <w:pStyle w:val="SingleTxtGR"/>
        <w:ind w:left="1701"/>
      </w:pPr>
      <w:r w:rsidRPr="00E8550F">
        <w:t xml:space="preserve">Пункт 1.1.3.6.2 </w:t>
      </w:r>
      <w:r w:rsidRPr="00E8550F">
        <w:rPr>
          <w:lang w:val="fr-FR"/>
        </w:rPr>
        <w:t>d</w:t>
      </w:r>
      <w:r w:rsidRPr="00E8550F">
        <w:t>) сформулирован следующим образом:</w:t>
      </w:r>
    </w:p>
    <w:p w:rsidR="00E8550F" w:rsidRPr="00E8550F" w:rsidRDefault="00E8550F" w:rsidP="00AE445F">
      <w:pPr>
        <w:pStyle w:val="SingleTxtGR"/>
        <w:ind w:left="1701"/>
      </w:pPr>
      <w:r w:rsidRPr="00E8550F">
        <w:t>«</w:t>
      </w:r>
      <w:r w:rsidR="008B21A5">
        <w:t>Г</w:t>
      </w:r>
      <w:r w:rsidRPr="00E8550F">
        <w:t>рузы должны быть уложены в трюмы.</w:t>
      </w:r>
    </w:p>
    <w:p w:rsidR="00E8550F" w:rsidRPr="00E8550F" w:rsidRDefault="00E8550F" w:rsidP="00AE445F">
      <w:pPr>
        <w:pStyle w:val="SingleTxtGR"/>
        <w:ind w:left="1701"/>
      </w:pPr>
      <w:r w:rsidRPr="00E8550F">
        <w:t>Это положение не применяется к опасным грузам, загруженным в:</w:t>
      </w:r>
    </w:p>
    <w:p w:rsidR="00E8550F" w:rsidRPr="00E8550F" w:rsidRDefault="00E8550F" w:rsidP="00AE445F">
      <w:pPr>
        <w:pStyle w:val="SingleTxtGR"/>
        <w:ind w:left="1701"/>
      </w:pPr>
      <w:r w:rsidRPr="00E8550F">
        <w:t>–</w:t>
      </w:r>
      <w:r w:rsidRPr="00E8550F">
        <w:tab/>
        <w:t>контейнеры с брызгонепроницаемыми сплошными стенками;</w:t>
      </w:r>
    </w:p>
    <w:p w:rsidR="00E8550F" w:rsidRPr="00E8550F" w:rsidRDefault="00E8550F" w:rsidP="00AE445F">
      <w:pPr>
        <w:pStyle w:val="SingleTxtGR"/>
        <w:ind w:left="1701"/>
      </w:pPr>
      <w:r w:rsidRPr="00E8550F">
        <w:t>–</w:t>
      </w:r>
      <w:r w:rsidRPr="00E8550F">
        <w:tab/>
        <w:t>транспортные средства с брызгонепроницаемыми сплошными стенками;».</w:t>
      </w:r>
    </w:p>
    <w:p w:rsidR="00E8550F" w:rsidRPr="00E8550F" w:rsidRDefault="00E8550F" w:rsidP="00E8550F">
      <w:pPr>
        <w:pStyle w:val="SingleTxtGR"/>
      </w:pPr>
      <w:r w:rsidRPr="00E8550F">
        <w:t>5.</w:t>
      </w:r>
      <w:r w:rsidRPr="00E8550F">
        <w:tab/>
        <w:t>Данный текст должен быть адаптирован в соответствии с принятым решением по пункту 7.1.4.14.4.</w:t>
      </w:r>
    </w:p>
    <w:p w:rsidR="00E8550F" w:rsidRPr="00E8550F" w:rsidRDefault="00E8550F" w:rsidP="00AE445F">
      <w:pPr>
        <w:pStyle w:val="SingleTxtGR"/>
        <w:ind w:left="1701"/>
      </w:pPr>
      <w:r w:rsidRPr="00E8550F">
        <w:t xml:space="preserve">Пункты 1.1.3.6.2 </w:t>
      </w:r>
      <w:r w:rsidRPr="00E8550F">
        <w:rPr>
          <w:lang w:val="fr-FR"/>
        </w:rPr>
        <w:t>e</w:t>
      </w:r>
      <w:r w:rsidRPr="00E8550F">
        <w:t>) и 7.1.4.4.2, касающиеся погрузки с другими грузами, сформулированы следующим образом:</w:t>
      </w:r>
    </w:p>
    <w:p w:rsidR="00E8550F" w:rsidRPr="00E8550F" w:rsidRDefault="00AE445F" w:rsidP="00E8550F">
      <w:pPr>
        <w:pStyle w:val="SingleTxtGR"/>
      </w:pPr>
      <w:r w:rsidRPr="00AE445F">
        <w:t>6.</w:t>
      </w:r>
      <w:r w:rsidRPr="00AE445F">
        <w:tab/>
      </w:r>
      <w:r w:rsidR="00E8550F" w:rsidRPr="00E8550F">
        <w:t>«</w:t>
      </w:r>
      <w:r>
        <w:t>Г</w:t>
      </w:r>
      <w:r w:rsidR="00E8550F" w:rsidRPr="00E8550F">
        <w:t xml:space="preserve">рузы разных классов должны укладываться на расстоянии не менее </w:t>
      </w:r>
      <w:smartTag w:uri="urn:schemas-microsoft-com:office:smarttags" w:element="metricconverter">
        <w:smartTagPr>
          <w:attr w:name="ProductID" w:val="3 м"/>
        </w:smartTagPr>
        <w:r w:rsidR="00E8550F" w:rsidRPr="00E8550F">
          <w:t>3 м</w:t>
        </w:r>
      </w:smartTag>
      <w:r w:rsidR="00E8550F" w:rsidRPr="00E8550F">
        <w:t xml:space="preserve"> друг от друга в горизонтальной плоскости. </w:t>
      </w:r>
      <w:proofErr w:type="spellStart"/>
      <w:r w:rsidR="00E8550F" w:rsidRPr="00E8550F">
        <w:t>Штабелирование</w:t>
      </w:r>
      <w:proofErr w:type="spellEnd"/>
      <w:r w:rsidR="00E8550F" w:rsidRPr="00E8550F">
        <w:t xml:space="preserve"> таких грузов не допускается.</w:t>
      </w:r>
    </w:p>
    <w:p w:rsidR="00E8550F" w:rsidRPr="00E8550F" w:rsidRDefault="00E8550F" w:rsidP="00AE445F">
      <w:pPr>
        <w:pStyle w:val="SingleTxtGR"/>
        <w:ind w:left="1701"/>
      </w:pPr>
      <w:r w:rsidRPr="00E8550F">
        <w:t>Это положение не применяется к:</w:t>
      </w:r>
    </w:p>
    <w:p w:rsidR="00E8550F" w:rsidRPr="00E8550F" w:rsidRDefault="00E8550F" w:rsidP="00AE445F">
      <w:pPr>
        <w:pStyle w:val="SingleTxtGR"/>
        <w:ind w:left="1701"/>
      </w:pPr>
      <w:r w:rsidRPr="00E8550F">
        <w:t>–</w:t>
      </w:r>
      <w:r w:rsidRPr="00E8550F">
        <w:tab/>
        <w:t>контейнерам со сплошными металлическими стенками;</w:t>
      </w:r>
    </w:p>
    <w:p w:rsidR="00E8550F" w:rsidRPr="00E8550F" w:rsidRDefault="00E8550F" w:rsidP="00AE445F">
      <w:pPr>
        <w:pStyle w:val="SingleTxtGR"/>
        <w:ind w:left="1701"/>
      </w:pPr>
      <w:r w:rsidRPr="00E8550F">
        <w:t>–</w:t>
      </w:r>
      <w:r w:rsidRPr="00E8550F">
        <w:tab/>
        <w:t xml:space="preserve">транспортным средствам со сплошными металлическими </w:t>
      </w:r>
      <w:r w:rsidR="00F75379">
        <w:br/>
      </w:r>
      <w:r w:rsidRPr="00E8550F">
        <w:t>стенками;».</w:t>
      </w:r>
    </w:p>
    <w:p w:rsidR="00E8550F" w:rsidRPr="00E8550F" w:rsidRDefault="00E8550F" w:rsidP="00AE445F">
      <w:pPr>
        <w:pStyle w:val="SingleTxtGR"/>
        <w:ind w:left="1701"/>
      </w:pPr>
      <w:r w:rsidRPr="00E8550F">
        <w:t xml:space="preserve">Данный текст </w:t>
      </w:r>
      <w:r w:rsidRPr="00E8550F">
        <w:rPr>
          <w:iCs/>
        </w:rPr>
        <w:t xml:space="preserve">должен быть адаптирован с учетом </w:t>
      </w:r>
      <w:r w:rsidRPr="00E8550F">
        <w:t>пункта 7.1.4.4.2.</w:t>
      </w:r>
    </w:p>
    <w:p w:rsidR="00E8550F" w:rsidRPr="00E8550F" w:rsidRDefault="00E8550F" w:rsidP="00AE445F">
      <w:pPr>
        <w:pStyle w:val="HChGR"/>
      </w:pPr>
      <w:r w:rsidRPr="00E8550F">
        <w:tab/>
      </w:r>
      <w:r w:rsidRPr="00E8550F">
        <w:tab/>
        <w:t>Предложение</w:t>
      </w:r>
    </w:p>
    <w:p w:rsidR="00E8550F" w:rsidRPr="00E8550F" w:rsidRDefault="00E8550F" w:rsidP="00E8550F">
      <w:pPr>
        <w:pStyle w:val="SingleTxtGR"/>
      </w:pPr>
      <w:r w:rsidRPr="00E8550F">
        <w:t>7.1.4.4.2</w:t>
      </w:r>
    </w:p>
    <w:p w:rsidR="00E8550F" w:rsidRPr="00E8550F" w:rsidRDefault="00E8550F" w:rsidP="00E8550F">
      <w:pPr>
        <w:pStyle w:val="SingleTxtGR"/>
      </w:pPr>
      <w:r w:rsidRPr="00E8550F">
        <w:t>Во втором подпункте исключить слова «имеющим сплошные металлические стенки».</w:t>
      </w:r>
    </w:p>
    <w:p w:rsidR="00E8550F" w:rsidRPr="00E8550F" w:rsidRDefault="00E8550F" w:rsidP="00E8550F">
      <w:pPr>
        <w:pStyle w:val="SingleTxtGR"/>
      </w:pPr>
      <w:r w:rsidRPr="00E8550F">
        <w:lastRenderedPageBreak/>
        <w:t>7.1.4.3.4</w:t>
      </w:r>
    </w:p>
    <w:p w:rsidR="00E8550F" w:rsidRPr="00E8550F" w:rsidRDefault="00E8550F" w:rsidP="00E8550F">
      <w:pPr>
        <w:pStyle w:val="SingleTxtGR"/>
      </w:pPr>
      <w:r w:rsidRPr="00E8550F">
        <w:t>Сноску к таблице сформулировать следующим образом:</w:t>
      </w:r>
    </w:p>
    <w:p w:rsidR="00E8550F" w:rsidRPr="00E8550F" w:rsidRDefault="00E8550F" w:rsidP="00E8550F">
      <w:pPr>
        <w:pStyle w:val="SingleTxtGR"/>
      </w:pPr>
      <w:r w:rsidRPr="00E8550F">
        <w:t>«Упаковки, содержащие изделия, отнесенные к группе совместимости B, либо вещества или изделия, отнесенные к группе совместимости D, могут грузиться</w:t>
      </w:r>
      <w:r w:rsidR="00EA40EB">
        <w:t xml:space="preserve"> совместно в один и тот же трюм</w:t>
      </w:r>
      <w:r w:rsidRPr="00E8550F">
        <w:t xml:space="preserve"> при условии</w:t>
      </w:r>
      <w:r w:rsidR="00EA40EB">
        <w:t>,</w:t>
      </w:r>
      <w:r w:rsidRPr="00E8550F">
        <w:t xml:space="preserve"> что они перевозятся в закрытых контейнерах, закрытых транспортных средствах или закрытых вагонах».</w:t>
      </w:r>
    </w:p>
    <w:p w:rsidR="00E8550F" w:rsidRPr="00E8550F" w:rsidRDefault="00E8550F" w:rsidP="00E8550F">
      <w:pPr>
        <w:pStyle w:val="SingleTxtGR"/>
      </w:pPr>
      <w:r w:rsidRPr="00E8550F">
        <w:t>7.1.4.14.4</w:t>
      </w:r>
    </w:p>
    <w:p w:rsidR="00E8550F" w:rsidRPr="00E8550F" w:rsidRDefault="00E8550F" w:rsidP="00E8550F">
      <w:pPr>
        <w:pStyle w:val="SingleTxtGR"/>
      </w:pPr>
      <w:r w:rsidRPr="00E8550F">
        <w:t>Первый подпункт сформулировать следующим образом: «закрытые контейнеры».</w:t>
      </w:r>
    </w:p>
    <w:p w:rsidR="00E8550F" w:rsidRPr="00E8550F" w:rsidRDefault="00E8550F" w:rsidP="00E8550F">
      <w:pPr>
        <w:pStyle w:val="SingleTxtGR"/>
      </w:pPr>
      <w:r w:rsidRPr="00E8550F">
        <w:t>Третий подпункт сформулировать следующим образом: «закрытые</w:t>
      </w:r>
      <w:r w:rsidRPr="00E8550F">
        <w:rPr>
          <w:iCs/>
        </w:rPr>
        <w:t xml:space="preserve"> транспортные средства или закрытые вагоны»</w:t>
      </w:r>
      <w:r w:rsidRPr="00E8550F">
        <w:t>.</w:t>
      </w:r>
    </w:p>
    <w:p w:rsidR="00E8550F" w:rsidRPr="00E8550F" w:rsidRDefault="00E8550F" w:rsidP="00E8550F">
      <w:pPr>
        <w:pStyle w:val="SingleTxtGR"/>
      </w:pPr>
      <w:r w:rsidRPr="00E8550F">
        <w:t>1.1.3.6.2</w:t>
      </w:r>
    </w:p>
    <w:p w:rsidR="00E8550F" w:rsidRPr="00E8550F" w:rsidRDefault="00E8550F" w:rsidP="00E8550F">
      <w:pPr>
        <w:pStyle w:val="SingleTxtGR"/>
      </w:pPr>
      <w:r w:rsidRPr="00E8550F">
        <w:t xml:space="preserve">Первый и второй подпункты пункта </w:t>
      </w:r>
      <w:r w:rsidRPr="00E8550F">
        <w:rPr>
          <w:lang w:val="fr-FR"/>
        </w:rPr>
        <w:t>d</w:t>
      </w:r>
      <w:r w:rsidRPr="00E8550F">
        <w:t>) сформулировать следующим образом:</w:t>
      </w:r>
    </w:p>
    <w:p w:rsidR="00E8550F" w:rsidRPr="00E8550F" w:rsidRDefault="00E8550F" w:rsidP="00E8550F">
      <w:pPr>
        <w:pStyle w:val="SingleTxtGR"/>
      </w:pPr>
      <w:r w:rsidRPr="00E8550F">
        <w:t>«–</w:t>
      </w:r>
      <w:r w:rsidRPr="00E8550F">
        <w:tab/>
        <w:t>закрытые контейнеры;</w:t>
      </w:r>
    </w:p>
    <w:p w:rsidR="00E8550F" w:rsidRPr="00E8550F" w:rsidRDefault="00E8550F" w:rsidP="00E8550F">
      <w:pPr>
        <w:pStyle w:val="SingleTxtGR"/>
      </w:pPr>
      <w:r w:rsidRPr="00E8550F">
        <w:t>–</w:t>
      </w:r>
      <w:r w:rsidRPr="00E8550F">
        <w:tab/>
        <w:t>закрытые</w:t>
      </w:r>
      <w:r w:rsidRPr="00E8550F">
        <w:rPr>
          <w:iCs/>
        </w:rPr>
        <w:t xml:space="preserve"> транспортные средства или закрытые вагоны</w:t>
      </w:r>
      <w:r w:rsidRPr="00E8550F">
        <w:t>;».</w:t>
      </w:r>
    </w:p>
    <w:p w:rsidR="00E8550F" w:rsidRPr="00E8550F" w:rsidRDefault="00E8550F" w:rsidP="00E8550F">
      <w:pPr>
        <w:pStyle w:val="SingleTxtGR"/>
      </w:pPr>
      <w:r w:rsidRPr="00E8550F">
        <w:t>Первый и второй подпункты пункта е) сформулировать следующим образом:</w:t>
      </w:r>
    </w:p>
    <w:p w:rsidR="00E8550F" w:rsidRPr="00E8550F" w:rsidRDefault="00E8550F" w:rsidP="00E8550F">
      <w:pPr>
        <w:pStyle w:val="SingleTxtGR"/>
      </w:pPr>
      <w:r w:rsidRPr="00E8550F">
        <w:t>«–</w:t>
      </w:r>
      <w:r w:rsidRPr="00E8550F">
        <w:tab/>
        <w:t>закрытым контейнерам;</w:t>
      </w:r>
    </w:p>
    <w:p w:rsidR="00E8550F" w:rsidRPr="00E8550F" w:rsidRDefault="00E8550F" w:rsidP="00E8550F">
      <w:pPr>
        <w:pStyle w:val="SingleTxtGR"/>
      </w:pPr>
      <w:r w:rsidRPr="00E8550F">
        <w:t>–</w:t>
      </w:r>
      <w:r w:rsidRPr="00E8550F">
        <w:tab/>
        <w:t>закрытым</w:t>
      </w:r>
      <w:r w:rsidRPr="00E8550F">
        <w:rPr>
          <w:iCs/>
        </w:rPr>
        <w:t xml:space="preserve"> транспортным средствам и закрытым вагонам</w:t>
      </w:r>
      <w:r w:rsidRPr="00E8550F">
        <w:t>;».</w:t>
      </w:r>
    </w:p>
    <w:p w:rsidR="00381C24" w:rsidRPr="00AE445F" w:rsidRDefault="00AE445F" w:rsidP="00AE445F">
      <w:pPr>
        <w:pStyle w:val="SingleTxtGR"/>
        <w:spacing w:before="240" w:after="0"/>
        <w:jc w:val="center"/>
        <w:rPr>
          <w:u w:val="single"/>
        </w:rPr>
      </w:pPr>
      <w:r>
        <w:rPr>
          <w:u w:val="single"/>
        </w:rPr>
        <w:tab/>
      </w:r>
      <w:r>
        <w:rPr>
          <w:u w:val="single"/>
        </w:rPr>
        <w:tab/>
      </w:r>
      <w:r>
        <w:rPr>
          <w:u w:val="single"/>
        </w:rPr>
        <w:tab/>
      </w:r>
    </w:p>
    <w:sectPr w:rsidR="00381C24" w:rsidRPr="00AE445F" w:rsidSect="00E8550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B25" w:rsidRPr="00A312BC" w:rsidRDefault="00811B25" w:rsidP="00A312BC"/>
  </w:endnote>
  <w:endnote w:type="continuationSeparator" w:id="0">
    <w:p w:rsidR="00811B25" w:rsidRPr="00A312BC" w:rsidRDefault="00811B2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0F" w:rsidRPr="00E8550F" w:rsidRDefault="00E8550F">
    <w:pPr>
      <w:pStyle w:val="Footer"/>
    </w:pPr>
    <w:r w:rsidRPr="00E8550F">
      <w:rPr>
        <w:b/>
        <w:sz w:val="18"/>
      </w:rPr>
      <w:fldChar w:fldCharType="begin"/>
    </w:r>
    <w:r w:rsidRPr="00E8550F">
      <w:rPr>
        <w:b/>
        <w:sz w:val="18"/>
      </w:rPr>
      <w:instrText xml:space="preserve"> PAGE  \* MERGEFORMAT </w:instrText>
    </w:r>
    <w:r w:rsidRPr="00E8550F">
      <w:rPr>
        <w:b/>
        <w:sz w:val="18"/>
      </w:rPr>
      <w:fldChar w:fldCharType="separate"/>
    </w:r>
    <w:r w:rsidR="008E452A">
      <w:rPr>
        <w:b/>
        <w:noProof/>
        <w:sz w:val="18"/>
      </w:rPr>
      <w:t>2</w:t>
    </w:r>
    <w:r w:rsidRPr="00E8550F">
      <w:rPr>
        <w:b/>
        <w:sz w:val="18"/>
      </w:rPr>
      <w:fldChar w:fldCharType="end"/>
    </w:r>
    <w:r>
      <w:rPr>
        <w:b/>
        <w:sz w:val="18"/>
      </w:rPr>
      <w:tab/>
    </w:r>
    <w:r>
      <w:t>GE.17-08408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0F" w:rsidRPr="00E8550F" w:rsidRDefault="00E8550F" w:rsidP="00E8550F">
    <w:pPr>
      <w:pStyle w:val="Footer"/>
      <w:tabs>
        <w:tab w:val="clear" w:pos="9639"/>
        <w:tab w:val="right" w:pos="9638"/>
      </w:tabs>
      <w:rPr>
        <w:b/>
        <w:sz w:val="18"/>
      </w:rPr>
    </w:pPr>
    <w:r>
      <w:t>GE.17-08408</w:t>
    </w:r>
    <w:r>
      <w:tab/>
    </w:r>
    <w:r w:rsidRPr="00E8550F">
      <w:rPr>
        <w:b/>
        <w:sz w:val="18"/>
      </w:rPr>
      <w:fldChar w:fldCharType="begin"/>
    </w:r>
    <w:r w:rsidRPr="00E8550F">
      <w:rPr>
        <w:b/>
        <w:sz w:val="18"/>
      </w:rPr>
      <w:instrText xml:space="preserve"> PAGE  \* MERGEFORMAT </w:instrText>
    </w:r>
    <w:r w:rsidRPr="00E8550F">
      <w:rPr>
        <w:b/>
        <w:sz w:val="18"/>
      </w:rPr>
      <w:fldChar w:fldCharType="separate"/>
    </w:r>
    <w:r w:rsidR="008E452A">
      <w:rPr>
        <w:b/>
        <w:noProof/>
        <w:sz w:val="18"/>
      </w:rPr>
      <w:t>3</w:t>
    </w:r>
    <w:r w:rsidRPr="00E855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E8550F" w:rsidRDefault="00E8550F" w:rsidP="00E8550F">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2628FE6B" wp14:editId="0DB5186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17-08408  (R)</w:t>
    </w:r>
    <w:r w:rsidR="0031390D">
      <w:t xml:space="preserve">  010617  010617</w:t>
    </w:r>
    <w:r>
      <w:br/>
    </w:r>
    <w:r w:rsidRPr="00E8550F">
      <w:rPr>
        <w:rFonts w:ascii="C39T30Lfz" w:hAnsi="C39T30Lfz"/>
        <w:spacing w:val="0"/>
        <w:w w:val="100"/>
        <w:sz w:val="56"/>
      </w:rPr>
      <w:t></w:t>
    </w:r>
    <w:r w:rsidRPr="00E8550F">
      <w:rPr>
        <w:rFonts w:ascii="C39T30Lfz" w:hAnsi="C39T30Lfz"/>
        <w:spacing w:val="0"/>
        <w:w w:val="100"/>
        <w:sz w:val="56"/>
      </w:rPr>
      <w:t></w:t>
    </w:r>
    <w:r w:rsidRPr="00E8550F">
      <w:rPr>
        <w:rFonts w:ascii="C39T30Lfz" w:hAnsi="C39T30Lfz"/>
        <w:spacing w:val="0"/>
        <w:w w:val="100"/>
        <w:sz w:val="56"/>
      </w:rPr>
      <w:t></w:t>
    </w:r>
    <w:r w:rsidRPr="00E8550F">
      <w:rPr>
        <w:rFonts w:ascii="C39T30Lfz" w:hAnsi="C39T30Lfz"/>
        <w:spacing w:val="0"/>
        <w:w w:val="100"/>
        <w:sz w:val="56"/>
      </w:rPr>
      <w:t></w:t>
    </w:r>
    <w:r w:rsidRPr="00E8550F">
      <w:rPr>
        <w:rFonts w:ascii="C39T30Lfz" w:hAnsi="C39T30Lfz"/>
        <w:spacing w:val="0"/>
        <w:w w:val="100"/>
        <w:sz w:val="56"/>
      </w:rPr>
      <w:t></w:t>
    </w:r>
    <w:r w:rsidRPr="00E8550F">
      <w:rPr>
        <w:rFonts w:ascii="C39T30Lfz" w:hAnsi="C39T30Lfz"/>
        <w:spacing w:val="0"/>
        <w:w w:val="100"/>
        <w:sz w:val="56"/>
      </w:rPr>
      <w:t></w:t>
    </w:r>
    <w:r w:rsidRPr="00E8550F">
      <w:rPr>
        <w:rFonts w:ascii="C39T30Lfz" w:hAnsi="C39T30Lfz"/>
        <w:spacing w:val="0"/>
        <w:w w:val="100"/>
        <w:sz w:val="56"/>
      </w:rPr>
      <w:t></w:t>
    </w:r>
    <w:r w:rsidRPr="00E8550F">
      <w:rPr>
        <w:rFonts w:ascii="C39T30Lfz" w:hAnsi="C39T30Lfz"/>
        <w:spacing w:val="0"/>
        <w:w w:val="100"/>
        <w:sz w:val="56"/>
      </w:rPr>
      <w:t></w:t>
    </w:r>
    <w:r w:rsidRPr="00E8550F">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7/2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B25" w:rsidRPr="001075E9" w:rsidRDefault="00811B25" w:rsidP="001075E9">
      <w:pPr>
        <w:tabs>
          <w:tab w:val="right" w:pos="2155"/>
        </w:tabs>
        <w:spacing w:after="80" w:line="240" w:lineRule="auto"/>
        <w:ind w:left="680"/>
        <w:rPr>
          <w:u w:val="single"/>
        </w:rPr>
      </w:pPr>
      <w:r>
        <w:rPr>
          <w:u w:val="single"/>
        </w:rPr>
        <w:tab/>
      </w:r>
    </w:p>
  </w:footnote>
  <w:footnote w:type="continuationSeparator" w:id="0">
    <w:p w:rsidR="00811B25" w:rsidRDefault="00811B25" w:rsidP="00407B78">
      <w:pPr>
        <w:tabs>
          <w:tab w:val="right" w:pos="2155"/>
        </w:tabs>
        <w:spacing w:after="80"/>
        <w:ind w:left="680"/>
        <w:rPr>
          <w:u w:val="single"/>
        </w:rPr>
      </w:pPr>
      <w:r>
        <w:rPr>
          <w:u w:val="single"/>
        </w:rPr>
        <w:tab/>
      </w:r>
    </w:p>
  </w:footnote>
  <w:footnote w:id="1">
    <w:p w:rsidR="00E8550F" w:rsidRDefault="00E8550F" w:rsidP="00E8550F">
      <w:pPr>
        <w:pStyle w:val="FootnoteText"/>
        <w:widowControl w:val="0"/>
        <w:rPr>
          <w:lang w:val="ru-RU"/>
        </w:rPr>
      </w:pPr>
      <w:r>
        <w:tab/>
      </w:r>
      <w:r w:rsidRPr="00524CCD">
        <w:rPr>
          <w:rStyle w:val="FootnoteReference"/>
          <w:sz w:val="20"/>
          <w:vertAlign w:val="baseline"/>
          <w:lang w:val="ru-RU"/>
        </w:rPr>
        <w:t>*</w:t>
      </w:r>
      <w:r w:rsidRPr="00524CCD">
        <w:rPr>
          <w:b/>
          <w:lang w:val="ru-RU"/>
        </w:rPr>
        <w:t xml:space="preserve"> </w:t>
      </w:r>
      <w:r>
        <w:rPr>
          <w:lang w:val="ru-RU"/>
        </w:rPr>
        <w:tab/>
        <w:t>Распространено на немецком языке Центральной комиссией судоходства по Рейну под</w:t>
      </w:r>
      <w:r>
        <w:rPr>
          <w:lang w:val="en-US"/>
        </w:rPr>
        <w:t> </w:t>
      </w:r>
      <w:r>
        <w:rPr>
          <w:lang w:val="ru-RU"/>
        </w:rPr>
        <w:t xml:space="preserve">условным обозначением </w:t>
      </w:r>
      <w:r>
        <w:t>CCNR</w:t>
      </w:r>
      <w:r>
        <w:rPr>
          <w:lang w:val="ru-RU"/>
        </w:rPr>
        <w:t>-</w:t>
      </w:r>
      <w:r>
        <w:t>ZKR</w:t>
      </w:r>
      <w:r>
        <w:rPr>
          <w:lang w:val="ru-RU"/>
        </w:rPr>
        <w:t>/</w:t>
      </w:r>
      <w:r>
        <w:t>ADN</w:t>
      </w:r>
      <w:r>
        <w:rPr>
          <w:lang w:val="ru-RU"/>
        </w:rPr>
        <w:t>/</w:t>
      </w:r>
      <w:r>
        <w:t>WP</w:t>
      </w:r>
      <w:r>
        <w:rPr>
          <w:lang w:val="ru-RU"/>
        </w:rPr>
        <w:t>.15/</w:t>
      </w:r>
      <w:r>
        <w:t>AC</w:t>
      </w:r>
      <w:r>
        <w:rPr>
          <w:lang w:val="ru-RU"/>
        </w:rPr>
        <w:t>.2/2017/26</w:t>
      </w:r>
      <w:r>
        <w:rPr>
          <w:noProof/>
          <w:lang w:val="ru-RU"/>
        </w:rPr>
        <w:t>.</w:t>
      </w:r>
    </w:p>
  </w:footnote>
  <w:footnote w:id="2">
    <w:p w:rsidR="00E8550F" w:rsidRDefault="00E8550F" w:rsidP="00E8550F">
      <w:pPr>
        <w:pStyle w:val="FootnoteText"/>
        <w:widowControl w:val="0"/>
        <w:rPr>
          <w:lang w:val="ru-RU"/>
        </w:rPr>
      </w:pPr>
      <w:r>
        <w:rPr>
          <w:lang w:val="ru-RU"/>
        </w:rPr>
        <w:tab/>
      </w:r>
      <w:r w:rsidRPr="00524CCD">
        <w:rPr>
          <w:rStyle w:val="FootnoteReference"/>
          <w:sz w:val="20"/>
          <w:vertAlign w:val="baseline"/>
          <w:lang w:val="ru-RU"/>
        </w:rPr>
        <w:t>**</w:t>
      </w:r>
      <w:r w:rsidRPr="00524CCD">
        <w:rPr>
          <w:lang w:val="ru-RU"/>
        </w:rPr>
        <w:t xml:space="preserve"> </w:t>
      </w:r>
      <w:r>
        <w:rPr>
          <w:lang w:val="ru-RU"/>
        </w:rPr>
        <w:tab/>
        <w:t xml:space="preserve">В соответствии с программой работы Комитета по внутреннему транспорту на </w:t>
      </w:r>
      <w:r>
        <w:rPr>
          <w:lang w:val="ru-RU"/>
        </w:rPr>
        <w:br/>
        <w:t>2016–2017 годы (</w:t>
      </w:r>
      <w:r>
        <w:rPr>
          <w:lang w:val="en-US"/>
        </w:rPr>
        <w:t>ECE</w:t>
      </w:r>
      <w:r>
        <w:rPr>
          <w:lang w:val="ru-RU"/>
        </w:rPr>
        <w:t>/</w:t>
      </w:r>
      <w:r>
        <w:rPr>
          <w:lang w:val="en-US"/>
        </w:rPr>
        <w:t>TRANS</w:t>
      </w:r>
      <w:r>
        <w:rPr>
          <w:lang w:val="ru-RU"/>
        </w:rPr>
        <w:t>/2016/28/</w:t>
      </w:r>
      <w:r>
        <w:rPr>
          <w:lang w:val="en-US"/>
        </w:rPr>
        <w:t>Add</w:t>
      </w:r>
      <w:r>
        <w:rPr>
          <w:lang w:val="ru-RU"/>
        </w:rPr>
        <w:t>.1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0F" w:rsidRPr="00E8550F" w:rsidRDefault="008E452A">
    <w:pPr>
      <w:pStyle w:val="Header"/>
    </w:pPr>
    <w:r>
      <w:fldChar w:fldCharType="begin"/>
    </w:r>
    <w:r>
      <w:instrText xml:space="preserve"> TITLE  \* MERGEFORMAT </w:instrText>
    </w:r>
    <w:r>
      <w:fldChar w:fldCharType="separate"/>
    </w:r>
    <w:r>
      <w:t>ECE/TRANS/WP.15/AC.2/2017/26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0F" w:rsidRPr="00E8550F" w:rsidRDefault="008E452A" w:rsidP="00E8550F">
    <w:pPr>
      <w:pStyle w:val="Header"/>
      <w:jc w:val="right"/>
    </w:pPr>
    <w:r>
      <w:fldChar w:fldCharType="begin"/>
    </w:r>
    <w:r>
      <w:instrText xml:space="preserve"> TITLE  \* MERGEFORMAT </w:instrText>
    </w:r>
    <w:r>
      <w:fldChar w:fldCharType="separate"/>
    </w:r>
    <w:r>
      <w:t>ECE/TRANS/WP.15/AC.2/2017/26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25"/>
    <w:rsid w:val="00033EE1"/>
    <w:rsid w:val="00042B72"/>
    <w:rsid w:val="00043B08"/>
    <w:rsid w:val="000558BD"/>
    <w:rsid w:val="000857D2"/>
    <w:rsid w:val="000B57E7"/>
    <w:rsid w:val="000B6373"/>
    <w:rsid w:val="000D1499"/>
    <w:rsid w:val="000F09DF"/>
    <w:rsid w:val="000F61B2"/>
    <w:rsid w:val="001075E9"/>
    <w:rsid w:val="0014152F"/>
    <w:rsid w:val="00142F5E"/>
    <w:rsid w:val="00180183"/>
    <w:rsid w:val="0018024D"/>
    <w:rsid w:val="0018649F"/>
    <w:rsid w:val="00196389"/>
    <w:rsid w:val="001B3EF6"/>
    <w:rsid w:val="001C7A89"/>
    <w:rsid w:val="001D5C5A"/>
    <w:rsid w:val="002979E2"/>
    <w:rsid w:val="002A2EFC"/>
    <w:rsid w:val="002B74B1"/>
    <w:rsid w:val="002C0E18"/>
    <w:rsid w:val="002D5AAC"/>
    <w:rsid w:val="002E5067"/>
    <w:rsid w:val="002F405F"/>
    <w:rsid w:val="002F7011"/>
    <w:rsid w:val="002F7EEC"/>
    <w:rsid w:val="00301299"/>
    <w:rsid w:val="00305C08"/>
    <w:rsid w:val="00307FB6"/>
    <w:rsid w:val="0031390D"/>
    <w:rsid w:val="00317339"/>
    <w:rsid w:val="00322004"/>
    <w:rsid w:val="003402C2"/>
    <w:rsid w:val="00381C24"/>
    <w:rsid w:val="003958D0"/>
    <w:rsid w:val="003A0D43"/>
    <w:rsid w:val="003B00E5"/>
    <w:rsid w:val="00407B78"/>
    <w:rsid w:val="00414D1E"/>
    <w:rsid w:val="00424203"/>
    <w:rsid w:val="0042551A"/>
    <w:rsid w:val="00452493"/>
    <w:rsid w:val="00453318"/>
    <w:rsid w:val="00454E07"/>
    <w:rsid w:val="00472C5C"/>
    <w:rsid w:val="0050108D"/>
    <w:rsid w:val="00513081"/>
    <w:rsid w:val="00517901"/>
    <w:rsid w:val="005219D4"/>
    <w:rsid w:val="00524CCD"/>
    <w:rsid w:val="00526683"/>
    <w:rsid w:val="005709E0"/>
    <w:rsid w:val="00572E19"/>
    <w:rsid w:val="005961C8"/>
    <w:rsid w:val="005966F1"/>
    <w:rsid w:val="005B2F86"/>
    <w:rsid w:val="005D7914"/>
    <w:rsid w:val="005E2B41"/>
    <w:rsid w:val="005F0B42"/>
    <w:rsid w:val="005F1707"/>
    <w:rsid w:val="00640F49"/>
    <w:rsid w:val="00681A10"/>
    <w:rsid w:val="006A16E3"/>
    <w:rsid w:val="006A1ED8"/>
    <w:rsid w:val="006C2031"/>
    <w:rsid w:val="006D461A"/>
    <w:rsid w:val="006F35EE"/>
    <w:rsid w:val="007021FF"/>
    <w:rsid w:val="00712895"/>
    <w:rsid w:val="00734ACB"/>
    <w:rsid w:val="00757357"/>
    <w:rsid w:val="00792497"/>
    <w:rsid w:val="00806737"/>
    <w:rsid w:val="00811570"/>
    <w:rsid w:val="00811B25"/>
    <w:rsid w:val="00825F8D"/>
    <w:rsid w:val="00834B71"/>
    <w:rsid w:val="0086445C"/>
    <w:rsid w:val="00894693"/>
    <w:rsid w:val="008A08D7"/>
    <w:rsid w:val="008B21A5"/>
    <w:rsid w:val="008B6909"/>
    <w:rsid w:val="008C30BC"/>
    <w:rsid w:val="008E452A"/>
    <w:rsid w:val="00906890"/>
    <w:rsid w:val="00911BE4"/>
    <w:rsid w:val="00951972"/>
    <w:rsid w:val="009608F3"/>
    <w:rsid w:val="009A24AC"/>
    <w:rsid w:val="00A14DA8"/>
    <w:rsid w:val="00A21F00"/>
    <w:rsid w:val="00A312BC"/>
    <w:rsid w:val="00A84021"/>
    <w:rsid w:val="00A84D35"/>
    <w:rsid w:val="00A917B3"/>
    <w:rsid w:val="00AB4B51"/>
    <w:rsid w:val="00AC3430"/>
    <w:rsid w:val="00AE445F"/>
    <w:rsid w:val="00B10CC7"/>
    <w:rsid w:val="00B36DF7"/>
    <w:rsid w:val="00B539E7"/>
    <w:rsid w:val="00B62458"/>
    <w:rsid w:val="00BC18B2"/>
    <w:rsid w:val="00BD33EE"/>
    <w:rsid w:val="00BF21E1"/>
    <w:rsid w:val="00C106D6"/>
    <w:rsid w:val="00C60F0C"/>
    <w:rsid w:val="00C805C9"/>
    <w:rsid w:val="00C92939"/>
    <w:rsid w:val="00CA1679"/>
    <w:rsid w:val="00CB151C"/>
    <w:rsid w:val="00CE5A1A"/>
    <w:rsid w:val="00CF55F6"/>
    <w:rsid w:val="00D33D63"/>
    <w:rsid w:val="00D5253A"/>
    <w:rsid w:val="00D62A45"/>
    <w:rsid w:val="00D90028"/>
    <w:rsid w:val="00D90138"/>
    <w:rsid w:val="00DD44B1"/>
    <w:rsid w:val="00DD49AF"/>
    <w:rsid w:val="00DD78D1"/>
    <w:rsid w:val="00DE32CD"/>
    <w:rsid w:val="00DF71B9"/>
    <w:rsid w:val="00E73F76"/>
    <w:rsid w:val="00E74ED1"/>
    <w:rsid w:val="00E8550F"/>
    <w:rsid w:val="00E90403"/>
    <w:rsid w:val="00EA2C9F"/>
    <w:rsid w:val="00EA40EB"/>
    <w:rsid w:val="00EA420E"/>
    <w:rsid w:val="00ED0BDA"/>
    <w:rsid w:val="00EE142A"/>
    <w:rsid w:val="00EF1360"/>
    <w:rsid w:val="00EF3220"/>
    <w:rsid w:val="00F43903"/>
    <w:rsid w:val="00F75379"/>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6F5A6B25-93BE-46AD-96F9-D454D328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811570"/>
    <w:rPr>
      <w:b/>
      <w:spacing w:val="4"/>
      <w:w w:val="103"/>
      <w:kern w:val="14"/>
      <w:sz w:val="18"/>
      <w:lang w:val="en-GB" w:eastAsia="ru-RU"/>
    </w:rPr>
  </w:style>
  <w:style w:type="character" w:styleId="Hyperlink">
    <w:name w:val="Hyperlink"/>
    <w:basedOn w:val="DefaultParagraphFont"/>
    <w:uiPriority w:val="99"/>
    <w:unhideWhenUsed/>
    <w:rsid w:val="00811570"/>
    <w:rPr>
      <w:color w:val="0000FF" w:themeColor="hyperlink"/>
      <w:u w:val="none"/>
    </w:rPr>
  </w:style>
  <w:style w:type="character" w:styleId="FootnoteReference">
    <w:name w:val="footnote reference"/>
    <w:aliases w:val="4_GR,4_G,Footnote Reference/"/>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uiPriority w:val="99"/>
    <w:semiHidden/>
    <w:unhideWhenUsed/>
    <w:rsid w:val="00811570"/>
    <w:rPr>
      <w:color w:val="800080" w:themeColor="followedHyperlink"/>
      <w:u w:val="none"/>
    </w:rPr>
  </w:style>
  <w:style w:type="table" w:styleId="TableGrid">
    <w:name w:val="Table Grid"/>
    <w:basedOn w:val="TableNormal"/>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4247</Characters>
  <Application>Microsoft Office Word</Application>
  <DocSecurity>0</DocSecurity>
  <Lines>212</Lines>
  <Paragraphs>110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ECE/TRANS/WP.15/AC.2/2017/26</vt:lpstr>
      <vt:lpstr>ECE/TRANS/WP.15/AC.2/2017/26</vt:lpstr>
      <vt:lpstr>A/</vt:lpstr>
    </vt:vector>
  </TitlesOfParts>
  <Company>DCM</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ECE/TRANS/WP.15/AC.2/2017/26</dc:title>
  <dc:subject/>
  <dc:creator>Sharkina</dc:creator>
  <cp:keywords/>
  <cp:lastModifiedBy>Marie-Claude Collet</cp:lastModifiedBy>
  <cp:revision>3</cp:revision>
  <cp:lastPrinted>2017-06-28T08:43:00Z</cp:lastPrinted>
  <dcterms:created xsi:type="dcterms:W3CDTF">2017-06-28T08:25:00Z</dcterms:created>
  <dcterms:modified xsi:type="dcterms:W3CDTF">2017-06-28T08:43:00Z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