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D241C1">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D241C1">
              <w:rPr>
                <w:lang w:val="en-GB"/>
              </w:rPr>
              <w:t>11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6C4088" w:rsidP="00C4302B">
            <w:pPr>
              <w:spacing w:line="240" w:lineRule="exact"/>
              <w:rPr>
                <w:lang w:val="fr-FR"/>
              </w:rPr>
            </w:pPr>
            <w:r>
              <w:rPr>
                <w:lang w:val="fr-FR"/>
              </w:rPr>
              <w:t>9</w:t>
            </w:r>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D241C1">
        <w:t>4</w:t>
      </w:r>
      <w:r w:rsidR="00C617E1">
        <w:t xml:space="preserve"> </w:t>
      </w:r>
      <w:r w:rsidR="00D241C1">
        <w:t>c</w:t>
      </w:r>
      <w:r w:rsidR="00C617E1">
        <w:t>)</w:t>
      </w:r>
      <w:r w:rsidRPr="00B93E72">
        <w:t xml:space="preserve"> de l</w:t>
      </w:r>
      <w:r>
        <w:t>’</w:t>
      </w:r>
      <w:r w:rsidRPr="00B93E72">
        <w:t>ordre du jour provisoire</w:t>
      </w:r>
    </w:p>
    <w:p w:rsidR="0049374F" w:rsidRDefault="00D241C1" w:rsidP="00790627">
      <w:pPr>
        <w:rPr>
          <w:b/>
          <w:lang w:val="fr-FR"/>
        </w:rPr>
      </w:pPr>
      <w:r w:rsidRPr="00D241C1">
        <w:rPr>
          <w:b/>
        </w:rPr>
        <w:t>Mise en œuvre</w:t>
      </w:r>
      <w:r w:rsidRPr="00D241C1">
        <w:rPr>
          <w:b/>
          <w:lang w:val="fr-FR"/>
        </w:rPr>
        <w:t xml:space="preserve"> de l’Accord européen relatif au </w:t>
      </w:r>
      <w:r>
        <w:rPr>
          <w:b/>
          <w:lang w:val="fr-FR"/>
        </w:rPr>
        <w:br/>
      </w:r>
      <w:r w:rsidRPr="00D241C1">
        <w:rPr>
          <w:b/>
          <w:lang w:val="fr-FR"/>
        </w:rPr>
        <w:t xml:space="preserve">transport international des marchandises dangereuses </w:t>
      </w:r>
      <w:r>
        <w:rPr>
          <w:b/>
          <w:lang w:val="fr-FR"/>
        </w:rPr>
        <w:br/>
      </w:r>
      <w:r w:rsidRPr="00D241C1">
        <w:rPr>
          <w:b/>
          <w:lang w:val="fr-FR"/>
        </w:rPr>
        <w:t>par voies de navigation intérieures (ADN)</w:t>
      </w:r>
      <w:r w:rsidR="001600A0">
        <w:rPr>
          <w:b/>
          <w:lang w:val="fr-FR"/>
        </w:rPr>
        <w:t>:</w:t>
      </w:r>
    </w:p>
    <w:p w:rsidR="00C617E1" w:rsidRPr="00C63AC1" w:rsidRDefault="001600A0" w:rsidP="00790627">
      <w:r>
        <w:rPr>
          <w:b/>
        </w:rPr>
        <w:t>i</w:t>
      </w:r>
      <w:r w:rsidR="00D241C1" w:rsidRPr="00D241C1">
        <w:rPr>
          <w:b/>
        </w:rPr>
        <w:t>nterprétation du Règlement annexé à l'ADN</w:t>
      </w:r>
    </w:p>
    <w:p w:rsidR="00A86837" w:rsidRPr="00EA0C87" w:rsidRDefault="0049374F" w:rsidP="009C3F0E">
      <w:pPr>
        <w:pStyle w:val="HChG"/>
      </w:pPr>
      <w:r w:rsidRPr="00C63AC1">
        <w:tab/>
      </w:r>
      <w:r w:rsidR="00A86837" w:rsidRPr="00C63AC1">
        <w:tab/>
      </w:r>
      <w:r w:rsidR="001600A0">
        <w:rPr>
          <w:lang w:val="fr-FR" w:bidi="fr-FR"/>
        </w:rPr>
        <w:t>Sous-section 7.1.4.7 de l’ADN, l</w:t>
      </w:r>
      <w:r w:rsidR="00D241C1" w:rsidRPr="00D241C1">
        <w:rPr>
          <w:lang w:val="fr-FR" w:bidi="fr-FR"/>
        </w:rPr>
        <w:t xml:space="preserve">ieux de chargement et de déchargement </w:t>
      </w:r>
      <w:r w:rsidR="00D241C1" w:rsidRPr="009C3F0E">
        <w:t>pour</w:t>
      </w:r>
      <w:r w:rsidR="00D241C1" w:rsidRPr="00D241C1">
        <w:rPr>
          <w:lang w:val="fr-FR" w:bidi="fr-FR"/>
        </w:rPr>
        <w:t xml:space="preserve"> des bateaux à marchandises sèches</w:t>
      </w:r>
    </w:p>
    <w:p w:rsidR="00A93320" w:rsidRPr="00A93320" w:rsidRDefault="00A86837" w:rsidP="009C3F0E">
      <w:pPr>
        <w:pStyle w:val="H1G"/>
        <w:rPr>
          <w:szCs w:val="24"/>
        </w:rPr>
      </w:pPr>
      <w:r w:rsidRPr="00EA0C87">
        <w:tab/>
      </w:r>
      <w:r w:rsidRPr="00EA0C87">
        <w:tab/>
      </w:r>
      <w:r w:rsidR="00481464">
        <w:rPr>
          <w:lang w:val="fr-FR"/>
        </w:rPr>
        <w:t xml:space="preserve">Communication </w:t>
      </w:r>
      <w:r w:rsidR="00C617E1" w:rsidRPr="00C617E1">
        <w:rPr>
          <w:lang w:val="fr-FR"/>
        </w:rPr>
        <w:t xml:space="preserve">du Gouvernement </w:t>
      </w:r>
      <w:r w:rsidR="00C617E1" w:rsidRPr="009C3F0E">
        <w:t>d</w:t>
      </w:r>
      <w:bookmarkStart w:id="0" w:name="_GoBack"/>
      <w:bookmarkEnd w:id="0"/>
      <w:r w:rsidR="00C617E1" w:rsidRPr="009C3F0E">
        <w:t>e</w:t>
      </w:r>
      <w:r w:rsidR="00C617E1" w:rsidRPr="00C617E1">
        <w:rPr>
          <w:lang w:val="fr-FR"/>
        </w:rPr>
        <w:t xml:space="preserve"> l’Allemagne</w:t>
      </w:r>
      <w:r w:rsidR="008E0108" w:rsidRPr="006C4088">
        <w:rPr>
          <w:rStyle w:val="FootnoteReference"/>
          <w:sz w:val="24"/>
          <w:szCs w:val="24"/>
        </w:rPr>
        <w:footnoteReference w:customMarkFollows="1" w:id="2"/>
        <w:t>*</w:t>
      </w:r>
      <w:r w:rsidR="00481464" w:rsidRPr="006C4088">
        <w:rPr>
          <w:szCs w:val="24"/>
          <w:vertAlign w:val="superscript"/>
          <w:lang w:val="fr-FR"/>
        </w:rPr>
        <w:t xml:space="preserve">, </w:t>
      </w:r>
      <w:r w:rsidR="008E0108" w:rsidRPr="006C4088">
        <w:rPr>
          <w:rStyle w:val="FootnoteReference"/>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7234"/>
      </w:tblGrid>
      <w:tr w:rsidR="00A93320" w:rsidRPr="00A93320" w:rsidTr="00A93320">
        <w:trPr>
          <w:jc w:val="center"/>
        </w:trPr>
        <w:tc>
          <w:tcPr>
            <w:tcW w:w="2405" w:type="dxa"/>
          </w:tcPr>
          <w:p w:rsidR="00A93320" w:rsidRPr="00A93320" w:rsidRDefault="00A93320" w:rsidP="00A93320">
            <w:pPr>
              <w:widowControl w:val="0"/>
              <w:tabs>
                <w:tab w:val="left" w:pos="284"/>
              </w:tabs>
              <w:suppressAutoHyphens w:val="0"/>
              <w:overflowPunct w:val="0"/>
              <w:autoSpaceDE w:val="0"/>
              <w:autoSpaceDN w:val="0"/>
              <w:adjustRightInd w:val="0"/>
              <w:ind w:right="567"/>
              <w:jc w:val="both"/>
              <w:textAlignment w:val="baseline"/>
              <w:rPr>
                <w:color w:val="000000"/>
                <w:sz w:val="24"/>
                <w:szCs w:val="24"/>
                <w:lang w:val="fr-FR"/>
              </w:rPr>
            </w:pPr>
            <w:r w:rsidRPr="00A93320">
              <w:rPr>
                <w:rFonts w:eastAsia="Arial"/>
                <w:i/>
                <w:color w:val="000000"/>
                <w:sz w:val="24"/>
                <w:szCs w:val="24"/>
                <w:lang w:val="fr-FR"/>
              </w:rPr>
              <w:t>Résumé</w:t>
            </w:r>
          </w:p>
        </w:tc>
        <w:tc>
          <w:tcPr>
            <w:tcW w:w="7234" w:type="dxa"/>
          </w:tcPr>
          <w:p w:rsidR="00A93320" w:rsidRPr="00A93320" w:rsidRDefault="00A93320" w:rsidP="00A93320">
            <w:pPr>
              <w:widowControl w:val="0"/>
              <w:suppressAutoHyphens w:val="0"/>
              <w:overflowPunct w:val="0"/>
              <w:autoSpaceDE w:val="0"/>
              <w:autoSpaceDN w:val="0"/>
              <w:adjustRightInd w:val="0"/>
              <w:ind w:right="567"/>
              <w:jc w:val="both"/>
              <w:textAlignment w:val="baseline"/>
              <w:rPr>
                <w:color w:val="000000"/>
                <w:sz w:val="24"/>
                <w:szCs w:val="24"/>
                <w:lang w:val="fr-FR"/>
              </w:rPr>
            </w:pPr>
          </w:p>
        </w:tc>
      </w:tr>
      <w:tr w:rsidR="00A93320" w:rsidRPr="00A93320" w:rsidTr="00A93320">
        <w:trPr>
          <w:jc w:val="center"/>
        </w:trPr>
        <w:tc>
          <w:tcPr>
            <w:tcW w:w="2405" w:type="dxa"/>
          </w:tcPr>
          <w:p w:rsidR="00A93320" w:rsidRPr="00A93320" w:rsidRDefault="00A93320" w:rsidP="009C3F0E">
            <w:pPr>
              <w:widowControl w:val="0"/>
              <w:tabs>
                <w:tab w:val="left" w:pos="284"/>
              </w:tabs>
              <w:suppressAutoHyphens w:val="0"/>
              <w:overflowPunct w:val="0"/>
              <w:autoSpaceDE w:val="0"/>
              <w:autoSpaceDN w:val="0"/>
              <w:adjustRightInd w:val="0"/>
              <w:ind w:right="68"/>
              <w:textAlignment w:val="baseline"/>
              <w:rPr>
                <w:color w:val="000000"/>
                <w:lang w:val="fr-FR"/>
              </w:rPr>
            </w:pPr>
            <w:r w:rsidRPr="00A93320">
              <w:rPr>
                <w:b/>
                <w:color w:val="000000"/>
                <w:lang w:val="fr-FR"/>
              </w:rPr>
              <w:t>Résumé analytique :</w:t>
            </w:r>
          </w:p>
        </w:tc>
        <w:tc>
          <w:tcPr>
            <w:tcW w:w="7234" w:type="dxa"/>
          </w:tcPr>
          <w:p w:rsidR="00D241C1" w:rsidRPr="00D241C1" w:rsidRDefault="00D241C1" w:rsidP="009C3F0E">
            <w:pPr>
              <w:widowControl w:val="0"/>
              <w:suppressAutoHyphens w:val="0"/>
              <w:overflowPunct w:val="0"/>
              <w:autoSpaceDE w:val="0"/>
              <w:autoSpaceDN w:val="0"/>
              <w:adjustRightInd w:val="0"/>
              <w:ind w:right="567"/>
              <w:jc w:val="both"/>
              <w:textAlignment w:val="baseline"/>
              <w:rPr>
                <w:bCs/>
                <w:color w:val="000000"/>
                <w:spacing w:val="-2"/>
                <w:lang w:val="fr-FR" w:eastAsia="fr-FR" w:bidi="fr-FR"/>
              </w:rPr>
            </w:pPr>
            <w:r w:rsidRPr="00D241C1">
              <w:rPr>
                <w:bCs/>
                <w:color w:val="000000"/>
                <w:spacing w:val="-2"/>
                <w:lang w:val="fr-FR" w:eastAsia="fr-FR" w:bidi="fr-FR"/>
              </w:rPr>
              <w:t>Le 7.1.4.7.2 de l’ADN contient une prescription particulière pour les lieux de chargement et de déchargement où doivent être chargées ou déchargées des marchandises dangereuses pour lesquelles une signalisation avec trois cônes bleus ou trois feux bleus est prescrite.</w:t>
            </w:r>
          </w:p>
          <w:p w:rsidR="00A93320" w:rsidRPr="00A93320" w:rsidRDefault="00D241C1" w:rsidP="009C3F0E">
            <w:pPr>
              <w:widowControl w:val="0"/>
              <w:suppressAutoHyphens w:val="0"/>
              <w:overflowPunct w:val="0"/>
              <w:autoSpaceDE w:val="0"/>
              <w:autoSpaceDN w:val="0"/>
              <w:adjustRightInd w:val="0"/>
              <w:spacing w:after="120"/>
              <w:ind w:right="567"/>
              <w:jc w:val="both"/>
              <w:textAlignment w:val="baseline"/>
              <w:rPr>
                <w:color w:val="000000"/>
                <w:lang w:val="fr-FR"/>
              </w:rPr>
            </w:pPr>
            <w:r w:rsidRPr="00D241C1">
              <w:rPr>
                <w:bCs/>
                <w:color w:val="000000"/>
                <w:spacing w:val="-2"/>
                <w:lang w:val="fr-FR" w:eastAsia="fr-FR" w:bidi="fr-FR"/>
              </w:rPr>
              <w:t>Contrairement au 7.1.4.7.1 de l’ADN, il n’existe pas ici de prescriptions concernant la disponibilité de moyens d’évacuation.</w:t>
            </w:r>
            <w:r w:rsidR="00A93320" w:rsidRPr="00A93320">
              <w:rPr>
                <w:snapToGrid w:val="0"/>
                <w:color w:val="000000"/>
                <w:lang w:val="fr-FR" w:eastAsia="fr-FR"/>
              </w:rPr>
              <w:t>.</w:t>
            </w:r>
          </w:p>
        </w:tc>
      </w:tr>
      <w:tr w:rsidR="00A93320" w:rsidRPr="00A93320" w:rsidTr="00A93320">
        <w:trPr>
          <w:jc w:val="center"/>
        </w:trPr>
        <w:tc>
          <w:tcPr>
            <w:tcW w:w="2405" w:type="dxa"/>
          </w:tcPr>
          <w:p w:rsidR="00A93320" w:rsidRPr="00A93320" w:rsidRDefault="00A93320" w:rsidP="00A93320">
            <w:pPr>
              <w:widowControl w:val="0"/>
              <w:tabs>
                <w:tab w:val="left" w:pos="284"/>
              </w:tabs>
              <w:suppressAutoHyphens w:val="0"/>
              <w:overflowPunct w:val="0"/>
              <w:autoSpaceDE w:val="0"/>
              <w:autoSpaceDN w:val="0"/>
              <w:adjustRightInd w:val="0"/>
              <w:spacing w:after="120"/>
              <w:ind w:right="68"/>
              <w:textAlignment w:val="baseline"/>
              <w:rPr>
                <w:b/>
                <w:color w:val="000000"/>
                <w:lang w:val="fr-FR"/>
              </w:rPr>
            </w:pPr>
            <w:r w:rsidRPr="00A93320">
              <w:rPr>
                <w:b/>
                <w:color w:val="000000"/>
                <w:lang w:val="fr-FR"/>
              </w:rPr>
              <w:t>Mesure à prendre :</w:t>
            </w:r>
          </w:p>
        </w:tc>
        <w:tc>
          <w:tcPr>
            <w:tcW w:w="7234" w:type="dxa"/>
          </w:tcPr>
          <w:p w:rsidR="00D241C1" w:rsidRPr="00D241C1" w:rsidRDefault="00D241C1" w:rsidP="00D241C1">
            <w:pPr>
              <w:widowControl w:val="0"/>
              <w:suppressAutoHyphens w:val="0"/>
              <w:overflowPunct w:val="0"/>
              <w:autoSpaceDE w:val="0"/>
              <w:autoSpaceDN w:val="0"/>
              <w:adjustRightInd w:val="0"/>
              <w:ind w:right="567"/>
              <w:textAlignment w:val="baseline"/>
              <w:rPr>
                <w:bCs/>
                <w:color w:val="000000"/>
                <w:lang w:val="fr-FR" w:eastAsia="fr-FR" w:bidi="fr-FR"/>
              </w:rPr>
            </w:pPr>
            <w:r w:rsidRPr="00D241C1">
              <w:rPr>
                <w:bCs/>
                <w:color w:val="000000"/>
                <w:lang w:val="fr-FR" w:eastAsia="fr-FR" w:bidi="fr-FR"/>
              </w:rPr>
              <w:t xml:space="preserve">Délibération au sein du </w:t>
            </w:r>
            <w:r w:rsidR="001600A0">
              <w:rPr>
                <w:bCs/>
                <w:color w:val="000000"/>
                <w:lang w:val="fr-FR" w:eastAsia="fr-FR" w:bidi="fr-FR"/>
              </w:rPr>
              <w:t>C</w:t>
            </w:r>
            <w:r w:rsidRPr="00D241C1">
              <w:rPr>
                <w:bCs/>
                <w:color w:val="000000"/>
                <w:lang w:val="fr-FR" w:eastAsia="fr-FR" w:bidi="fr-FR"/>
              </w:rPr>
              <w:t xml:space="preserve">omité de sécurité ADN </w:t>
            </w:r>
          </w:p>
          <w:p w:rsidR="00A93320" w:rsidRPr="00A93320" w:rsidRDefault="00D241C1" w:rsidP="00D241C1">
            <w:pPr>
              <w:widowControl w:val="0"/>
              <w:suppressAutoHyphens w:val="0"/>
              <w:overflowPunct w:val="0"/>
              <w:autoSpaceDE w:val="0"/>
              <w:autoSpaceDN w:val="0"/>
              <w:adjustRightInd w:val="0"/>
              <w:spacing w:after="120"/>
              <w:ind w:right="567"/>
              <w:textAlignment w:val="baseline"/>
              <w:rPr>
                <w:color w:val="000000"/>
                <w:lang w:val="fr-FR"/>
              </w:rPr>
            </w:pPr>
            <w:r w:rsidRPr="00D241C1">
              <w:rPr>
                <w:bCs/>
                <w:color w:val="000000"/>
                <w:lang w:val="fr-FR" w:eastAsia="fr-FR" w:bidi="fr-FR"/>
              </w:rPr>
              <w:t>Communication de l’interprétation dans le compte-rendu de réunion</w:t>
            </w:r>
          </w:p>
        </w:tc>
      </w:tr>
      <w:tr w:rsidR="00A93320" w:rsidRPr="00D241C1" w:rsidTr="00D241C1">
        <w:trPr>
          <w:jc w:val="center"/>
        </w:trPr>
        <w:tc>
          <w:tcPr>
            <w:tcW w:w="2405" w:type="dxa"/>
          </w:tcPr>
          <w:p w:rsidR="00A93320" w:rsidRPr="00A93320" w:rsidRDefault="00A93320" w:rsidP="009C3F0E">
            <w:pPr>
              <w:widowControl w:val="0"/>
              <w:tabs>
                <w:tab w:val="left" w:pos="284"/>
              </w:tabs>
              <w:suppressAutoHyphens w:val="0"/>
              <w:overflowPunct w:val="0"/>
              <w:autoSpaceDE w:val="0"/>
              <w:autoSpaceDN w:val="0"/>
              <w:adjustRightInd w:val="0"/>
              <w:spacing w:after="120"/>
              <w:ind w:right="68"/>
              <w:textAlignment w:val="baseline"/>
              <w:rPr>
                <w:b/>
                <w:color w:val="000000"/>
                <w:lang w:val="fr-FR"/>
              </w:rPr>
            </w:pPr>
            <w:r w:rsidRPr="00A93320">
              <w:rPr>
                <w:b/>
                <w:color w:val="000000"/>
                <w:lang w:val="fr-FR"/>
              </w:rPr>
              <w:t>Documents connexes :</w:t>
            </w:r>
          </w:p>
        </w:tc>
        <w:tc>
          <w:tcPr>
            <w:tcW w:w="7234" w:type="dxa"/>
            <w:vAlign w:val="bottom"/>
          </w:tcPr>
          <w:p w:rsidR="00A93320" w:rsidRPr="00D241C1" w:rsidRDefault="001600A0" w:rsidP="009C3F0E">
            <w:pPr>
              <w:widowControl w:val="0"/>
              <w:suppressAutoHyphens w:val="0"/>
              <w:overflowPunct w:val="0"/>
              <w:autoSpaceDE w:val="0"/>
              <w:autoSpaceDN w:val="0"/>
              <w:adjustRightInd w:val="0"/>
              <w:spacing w:after="120"/>
              <w:ind w:right="567"/>
              <w:textAlignment w:val="baseline"/>
              <w:rPr>
                <w:color w:val="000000"/>
                <w:lang w:val="en-GB"/>
              </w:rPr>
            </w:pPr>
            <w:r>
              <w:rPr>
                <w:bCs/>
                <w:color w:val="000000"/>
                <w:lang w:val="en-GB" w:eastAsia="fr-FR" w:bidi="fr-FR"/>
              </w:rPr>
              <w:t>ECE</w:t>
            </w:r>
            <w:r w:rsidR="00D241C1" w:rsidRPr="00D241C1">
              <w:rPr>
                <w:bCs/>
                <w:color w:val="000000"/>
                <w:lang w:val="en-GB" w:eastAsia="fr-FR" w:bidi="fr-FR"/>
              </w:rPr>
              <w:t>/ADN/27</w:t>
            </w:r>
            <w:r>
              <w:rPr>
                <w:bCs/>
                <w:color w:val="000000"/>
                <w:lang w:val="en-GB" w:eastAsia="fr-FR" w:bidi="fr-FR"/>
              </w:rPr>
              <w:t xml:space="preserve">, </w:t>
            </w:r>
            <w:r w:rsidR="00A93320" w:rsidRPr="00A93320">
              <w:rPr>
                <w:bCs/>
                <w:color w:val="000000"/>
                <w:lang w:val="en-GB" w:eastAsia="fr-FR"/>
              </w:rPr>
              <w:t xml:space="preserve">ECE/TRANS/WP.15/AC.2/60, para. </w:t>
            </w:r>
            <w:r w:rsidR="00A93320" w:rsidRPr="00D241C1">
              <w:rPr>
                <w:bCs/>
                <w:color w:val="000000"/>
                <w:lang w:val="en-GB" w:eastAsia="fr-FR"/>
              </w:rPr>
              <w:t>15</w:t>
            </w:r>
          </w:p>
        </w:tc>
      </w:tr>
    </w:tbl>
    <w:p w:rsidR="00A93320" w:rsidRPr="00A93320" w:rsidRDefault="00A93320" w:rsidP="00A93320">
      <w:pPr>
        <w:pStyle w:val="HChG"/>
        <w:rPr>
          <w:lang w:val="fr-FR"/>
        </w:rPr>
      </w:pPr>
      <w:r w:rsidRPr="00D241C1">
        <w:rPr>
          <w:lang w:val="en-GB"/>
        </w:rPr>
        <w:lastRenderedPageBreak/>
        <w:tab/>
      </w:r>
      <w:r w:rsidRPr="00A93320">
        <w:rPr>
          <w:lang w:val="fr-FR"/>
        </w:rPr>
        <w:t>I.</w:t>
      </w:r>
      <w:r w:rsidRPr="00A93320">
        <w:rPr>
          <w:lang w:val="fr-FR"/>
        </w:rPr>
        <w:tab/>
      </w:r>
      <w:r w:rsidRPr="00A93320">
        <w:t>Introduction</w:t>
      </w:r>
    </w:p>
    <w:p w:rsidR="00C30DC2" w:rsidRPr="00C30DC2" w:rsidRDefault="00C30DC2" w:rsidP="00C30DC2">
      <w:pPr>
        <w:pStyle w:val="SingleTxtG"/>
        <w:rPr>
          <w:lang w:val="fr-FR" w:bidi="fr-FR"/>
        </w:rPr>
      </w:pPr>
      <w:r w:rsidRPr="00C30DC2">
        <w:rPr>
          <w:lang w:val="fr-FR" w:bidi="fr-FR"/>
        </w:rPr>
        <w:t>1.</w:t>
      </w:r>
      <w:r w:rsidRPr="00C30DC2">
        <w:rPr>
          <w:lang w:val="fr-FR" w:bidi="fr-FR"/>
        </w:rPr>
        <w:tab/>
        <w:t>Depuis l’entrée en vigueur de l’ADN 2015, selon le 7.1.4.7.1 de l’ADN, des moyens dits d’évacuation visés au tableau du 7.2.4.77 de l’ADN doivent être présents sur les lieux de chargement et de déchargement pour des bateaux à marchandises sèches. À défaut, le transbordement n’est admis qu’avec l’autorisation de l’autorité compétente.</w:t>
      </w:r>
    </w:p>
    <w:p w:rsidR="00C30DC2" w:rsidRPr="00C30DC2" w:rsidRDefault="00C30DC2" w:rsidP="00C30DC2">
      <w:pPr>
        <w:pStyle w:val="SingleTxtG"/>
        <w:rPr>
          <w:lang w:val="fr-FR" w:bidi="fr-FR"/>
        </w:rPr>
      </w:pPr>
      <w:r w:rsidRPr="00C30DC2">
        <w:rPr>
          <w:lang w:val="fr-FR" w:bidi="fr-FR"/>
        </w:rPr>
        <w:t>2.</w:t>
      </w:r>
      <w:r w:rsidRPr="00C30DC2">
        <w:rPr>
          <w:lang w:val="fr-FR" w:bidi="fr-FR"/>
        </w:rPr>
        <w:tab/>
        <w:t xml:space="preserve">Lors de l’introduction de cette prescription dans l’ADN 2015 (voir </w:t>
      </w:r>
      <w:r w:rsidR="001600A0">
        <w:rPr>
          <w:lang w:val="fr-FR" w:bidi="fr-FR"/>
        </w:rPr>
        <w:t>ECE</w:t>
      </w:r>
      <w:r w:rsidRPr="00C30DC2">
        <w:rPr>
          <w:lang w:val="fr-FR" w:bidi="fr-FR"/>
        </w:rPr>
        <w:t>/ADN/27), on a de l’avis de la délégation allemande omis qu’il existe dans le paragraphe suivant 7.1.4.7.2 de l’ADN une disposition particulière concernant l’agrément de lieux de chargement et de déchargement pour des marchandises de la classe 1 et des marchandises des classes 4.1 ou 5.2, lorsque trois cônes bleus/feux bleus sont prescrits pour celles-ci.</w:t>
      </w:r>
    </w:p>
    <w:p w:rsidR="00A93320" w:rsidRPr="00A93320" w:rsidRDefault="00A93320" w:rsidP="00A93320">
      <w:pPr>
        <w:pStyle w:val="HChG"/>
        <w:rPr>
          <w:lang w:val="fr-FR"/>
        </w:rPr>
      </w:pPr>
      <w:r>
        <w:rPr>
          <w:lang w:val="fr-FR"/>
        </w:rPr>
        <w:tab/>
      </w:r>
      <w:r w:rsidRPr="00A93320">
        <w:rPr>
          <w:lang w:val="fr-FR"/>
        </w:rPr>
        <w:t>II.</w:t>
      </w:r>
      <w:r w:rsidRPr="00A93320">
        <w:rPr>
          <w:lang w:val="fr-FR"/>
        </w:rPr>
        <w:tab/>
      </w:r>
      <w:r w:rsidR="00C30DC2" w:rsidRPr="00C30DC2">
        <w:rPr>
          <w:lang w:val="fr-FR" w:bidi="fr-FR"/>
        </w:rPr>
        <w:t>Question d’interprétation</w:t>
      </w:r>
    </w:p>
    <w:p w:rsidR="00C30DC2" w:rsidRPr="00C30DC2" w:rsidRDefault="00C30DC2" w:rsidP="00C30DC2">
      <w:pPr>
        <w:pStyle w:val="SingleTxtG"/>
        <w:rPr>
          <w:lang w:val="fr-FR" w:bidi="fr-FR"/>
        </w:rPr>
      </w:pPr>
      <w:r w:rsidRPr="00C30DC2">
        <w:rPr>
          <w:lang w:val="fr-FR" w:bidi="fr-FR"/>
        </w:rPr>
        <w:t>3.</w:t>
      </w:r>
      <w:r w:rsidRPr="00C30DC2">
        <w:rPr>
          <w:lang w:val="fr-FR" w:bidi="fr-FR"/>
        </w:rPr>
        <w:tab/>
        <w:t xml:space="preserve">L’Allemagne est d’avis que des moyens d’évacuation doivent bien évidemment être également présents sur les lieux de chargement et de déchargement spécifiquement mentionnés au 7.1.4.7.2 de l’ADN. L’argument à cet effet est que, dans le tableau « Moyens d’évacuation possibles en cas d’urgence » du 7.1.4.77 ADN, dans la dernière colonne « Conteneur et marchandises en colis », on mentionne </w:t>
      </w:r>
      <w:r w:rsidRPr="00C30DC2">
        <w:rPr>
          <w:b/>
          <w:lang w:val="fr-FR" w:bidi="fr-FR"/>
        </w:rPr>
        <w:t xml:space="preserve">toutes </w:t>
      </w:r>
      <w:r w:rsidRPr="00C30DC2">
        <w:rPr>
          <w:lang w:val="fr-FR" w:bidi="fr-FR"/>
        </w:rPr>
        <w:t>les classes, donc également les classes 1, 4.1 et 5.2. Le 7.1.4.7.1 de l’ADN peut être considéré comme la prescription générale pour tous les lieux de chargement et de déchargement pour toutes les catégories de marchandises dangereuses.</w:t>
      </w:r>
    </w:p>
    <w:p w:rsidR="00C30DC2" w:rsidRDefault="00C30DC2" w:rsidP="00C30DC2">
      <w:pPr>
        <w:pStyle w:val="SingleTxtG"/>
        <w:rPr>
          <w:lang w:val="fr-FR" w:bidi="fr-FR"/>
        </w:rPr>
      </w:pPr>
      <w:r w:rsidRPr="00C30DC2">
        <w:rPr>
          <w:lang w:val="fr-FR" w:bidi="fr-FR"/>
        </w:rPr>
        <w:t>4.</w:t>
      </w:r>
      <w:r w:rsidRPr="00C30DC2">
        <w:rPr>
          <w:lang w:val="fr-FR" w:bidi="fr-FR"/>
        </w:rPr>
        <w:tab/>
        <w:t>La signification du 7.1.4.7.2 de l’ADN consiste en ce que les marchandises dangereuses des classes 1, 4.1 et 5.2, dans la mesure où 3 cônes bleus/feux bleus sont prescrits pour celles-ci, doivent être expressément mentionnées en cas de besoin pour l’agrément de lieux de chargement et de déchargement. Lors du chargement et du déchargement de ces marchandises, un potentiel de danger particulier, accru, résulte en effet de l’obligation de montrer 3 cônes bleus/feux bleus. Ce potentiel de danger doit être particulièrement pris en compte en ce qui concerne, par exemple, l’emplacement des lieux de chargement et de déchargement par rapport à d’autres installations artisanales, commerciales ou industrielles et à une zone résidentielle (cf. la prescription pour les distances minimales lors du stationnement, 7.1.5.4.3 de l’ADN, troisième tiret). Ce potentiel de danger particulier confirme l’exigence de mise à disposition de moyens d’évacuation appropriés.</w:t>
      </w:r>
    </w:p>
    <w:p w:rsidR="00A93320" w:rsidRPr="00A93320" w:rsidRDefault="00A93320" w:rsidP="00A93320">
      <w:pPr>
        <w:pStyle w:val="HChG"/>
        <w:rPr>
          <w:lang w:val="fr-FR"/>
        </w:rPr>
      </w:pPr>
      <w:r>
        <w:rPr>
          <w:lang w:val="fr-FR"/>
        </w:rPr>
        <w:tab/>
      </w:r>
      <w:r w:rsidRPr="00A93320">
        <w:rPr>
          <w:lang w:val="fr-FR"/>
        </w:rPr>
        <w:t>I</w:t>
      </w:r>
      <w:r w:rsidR="00C30DC2">
        <w:rPr>
          <w:lang w:val="fr-FR"/>
        </w:rPr>
        <w:t>II</w:t>
      </w:r>
      <w:r w:rsidRPr="00A93320">
        <w:rPr>
          <w:lang w:val="fr-FR"/>
        </w:rPr>
        <w:t>.</w:t>
      </w:r>
      <w:r w:rsidRPr="00A93320">
        <w:rPr>
          <w:lang w:val="fr-FR"/>
        </w:rPr>
        <w:tab/>
      </w:r>
      <w:r w:rsidR="00C30DC2" w:rsidRPr="00C30DC2">
        <w:rPr>
          <w:lang w:val="fr-FR" w:bidi="fr-FR"/>
        </w:rPr>
        <w:t>Position de l’Allemagne</w:t>
      </w:r>
    </w:p>
    <w:p w:rsidR="00A93320" w:rsidRPr="00A93320" w:rsidRDefault="00A93320" w:rsidP="00A93320">
      <w:pPr>
        <w:pStyle w:val="SingleTxtG"/>
        <w:rPr>
          <w:lang w:val="fr-FR"/>
        </w:rPr>
      </w:pPr>
      <w:r w:rsidRPr="00A93320">
        <w:rPr>
          <w:lang w:val="fr-FR"/>
        </w:rPr>
        <w:t>5.</w:t>
      </w:r>
      <w:r w:rsidRPr="00A93320">
        <w:rPr>
          <w:lang w:val="fr-FR"/>
        </w:rPr>
        <w:tab/>
      </w:r>
      <w:r w:rsidR="00C30DC2" w:rsidRPr="00C30DC2">
        <w:rPr>
          <w:lang w:val="fr-FR" w:bidi="fr-FR"/>
        </w:rPr>
        <w:t xml:space="preserve">L’Allemagne invite le </w:t>
      </w:r>
      <w:r w:rsidR="001600A0">
        <w:rPr>
          <w:lang w:val="fr-FR" w:bidi="fr-FR"/>
        </w:rPr>
        <w:t>C</w:t>
      </w:r>
      <w:r w:rsidR="00C30DC2" w:rsidRPr="00C30DC2">
        <w:rPr>
          <w:lang w:val="fr-FR" w:bidi="fr-FR"/>
        </w:rPr>
        <w:t>omité de sécurité à examiner cette question et à confirmer l’interprétation précitée.</w:t>
      </w:r>
    </w:p>
    <w:p w:rsidR="008E0108" w:rsidRPr="008E0108" w:rsidRDefault="008E0108" w:rsidP="008E0108">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8E0108" w:rsidRPr="008E0108"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C3F0E">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C30DC2">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8E0108" w:rsidRPr="008E0108" w:rsidRDefault="008E0108">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cote CCNR/ZKR/ADN/WP.15/AC.2/2017/</w:t>
      </w:r>
      <w:r w:rsidR="00D241C1">
        <w:t>11</w:t>
      </w:r>
      <w:r w:rsidRPr="008E0108">
        <w:t>.</w:t>
      </w:r>
    </w:p>
  </w:footnote>
  <w:footnote w:id="3">
    <w:p w:rsidR="008E0108" w:rsidRPr="008E0108" w:rsidRDefault="008E0108"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sidR="008E0108">
      <w:rPr>
        <w:lang w:val="en-GB"/>
      </w:rPr>
      <w:t>2/2017</w:t>
    </w:r>
    <w:r>
      <w:rPr>
        <w:lang w:val="en-GB"/>
      </w:rPr>
      <w:t>/</w:t>
    </w:r>
    <w:r w:rsidR="00C30DC2">
      <w:rPr>
        <w:lang w:val="en-GB"/>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8E0108">
      <w:rPr>
        <w:lang w:val="en-GB"/>
      </w:rPr>
      <w:t>2/2017</w:t>
    </w:r>
    <w:r w:rsidR="00A93320">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5"/>
  </w:num>
  <w:num w:numId="3">
    <w:abstractNumId w:val="0"/>
  </w:num>
  <w:num w:numId="4">
    <w:abstractNumId w:val="6"/>
  </w:num>
  <w:num w:numId="5">
    <w:abstractNumId w:val="8"/>
  </w:num>
  <w:num w:numId="6">
    <w:abstractNumId w:val="2"/>
  </w:num>
  <w:num w:numId="7">
    <w:abstractNumId w:val="4"/>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0A0"/>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4088"/>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23A0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C3F0E"/>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0DC2"/>
    <w:rsid w:val="00C33100"/>
    <w:rsid w:val="00C34C11"/>
    <w:rsid w:val="00C358CC"/>
    <w:rsid w:val="00C4302B"/>
    <w:rsid w:val="00C45121"/>
    <w:rsid w:val="00C51BB4"/>
    <w:rsid w:val="00C617E1"/>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41C1"/>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14:docId w14:val="6884FFAF"/>
  <w15:docId w15:val="{561FE4E5-C3D8-4707-B233-46030F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F9B7-BA91-4A77-A8D7-EB0987A2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6</TotalTime>
  <Pages>2</Pages>
  <Words>610</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6</cp:revision>
  <cp:lastPrinted>2016-05-30T13:37:00Z</cp:lastPrinted>
  <dcterms:created xsi:type="dcterms:W3CDTF">2016-11-01T18:19:00Z</dcterms:created>
  <dcterms:modified xsi:type="dcterms:W3CDTF">2016-11-08T19:10:00Z</dcterms:modified>
</cp:coreProperties>
</file>