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A6" w:rsidRPr="007D1EF9" w:rsidRDefault="00B041A6" w:rsidP="00B041A6">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bidi="fr-FR"/>
        </w:rPr>
      </w:pPr>
      <w:r w:rsidRPr="00B041A6">
        <w:rPr>
          <w:rFonts w:ascii="Arial" w:eastAsia="Arial" w:hAnsi="Arial" w:cs="Arial"/>
          <w:bCs/>
          <w:noProof/>
          <w:szCs w:val="24"/>
          <w:lang w:val="en-GB" w:eastAsia="en-GB"/>
        </w:rPr>
        <w:drawing>
          <wp:anchor distT="0" distB="0" distL="114300" distR="114300" simplePos="0" relativeHeight="251662336" behindDoc="0" locked="0" layoutInCell="1" allowOverlap="1" wp14:anchorId="6EB31BB4" wp14:editId="683ABB7A">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D1EF9">
        <w:rPr>
          <w:rFonts w:ascii="Arial" w:eastAsia="Arial" w:hAnsi="Arial" w:cs="Arial"/>
          <w:bCs/>
          <w:szCs w:val="24"/>
          <w:lang w:val="en-US" w:eastAsia="de-DE"/>
        </w:rPr>
        <w:t>CCNR-ZKR/ADN/WP.15/AC.2/201</w:t>
      </w:r>
      <w:r w:rsidR="003233C8">
        <w:rPr>
          <w:rFonts w:ascii="Arial" w:eastAsia="Arial" w:hAnsi="Arial" w:cs="Arial"/>
          <w:bCs/>
          <w:szCs w:val="24"/>
          <w:lang w:val="en-US" w:eastAsia="de-DE"/>
        </w:rPr>
        <w:t>8</w:t>
      </w:r>
      <w:r w:rsidRPr="007D1EF9">
        <w:rPr>
          <w:rFonts w:ascii="Arial" w:eastAsia="Arial" w:hAnsi="Arial" w:cs="Arial"/>
          <w:bCs/>
          <w:szCs w:val="24"/>
          <w:lang w:val="en-US" w:eastAsia="de-DE"/>
        </w:rPr>
        <w:t>/</w:t>
      </w:r>
      <w:r w:rsidR="00827382">
        <w:rPr>
          <w:rFonts w:ascii="Arial" w:eastAsia="Arial" w:hAnsi="Arial" w:cs="Arial"/>
          <w:bCs/>
          <w:szCs w:val="24"/>
          <w:lang w:val="en-US" w:eastAsia="de-DE"/>
        </w:rPr>
        <w:t>INF.</w:t>
      </w:r>
      <w:r w:rsidR="004B5771">
        <w:rPr>
          <w:rFonts w:ascii="Arial" w:eastAsia="Arial" w:hAnsi="Arial" w:cs="Arial"/>
          <w:bCs/>
          <w:szCs w:val="24"/>
          <w:lang w:val="en-US" w:eastAsia="de-DE"/>
        </w:rPr>
        <w:t>4</w:t>
      </w:r>
      <w:r w:rsidR="005C2D4D">
        <w:rPr>
          <w:rFonts w:ascii="Arial" w:eastAsia="Arial" w:hAnsi="Arial" w:cs="Arial"/>
          <w:bCs/>
          <w:szCs w:val="24"/>
          <w:lang w:val="en-US" w:eastAsia="de-DE"/>
        </w:rPr>
        <w:t>_v2</w:t>
      </w:r>
      <w:bookmarkStart w:id="0" w:name="_GoBack"/>
      <w:bookmarkEnd w:id="0"/>
    </w:p>
    <w:p w:rsidR="00B041A6" w:rsidRPr="00B041A6" w:rsidRDefault="00B041A6" w:rsidP="00B041A6">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041A6">
        <w:rPr>
          <w:rFonts w:ascii="Arial" w:hAnsi="Arial" w:cs="Arial"/>
          <w:sz w:val="16"/>
          <w:szCs w:val="24"/>
          <w:lang w:eastAsia="de-DE"/>
        </w:rPr>
        <w:t>Allgemeine Verteilung</w:t>
      </w:r>
    </w:p>
    <w:p w:rsidR="00B041A6" w:rsidRPr="00B041A6" w:rsidRDefault="00BC3D86" w:rsidP="00B041A6">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06. Dezember</w:t>
      </w:r>
      <w:r w:rsidR="00B041A6" w:rsidRPr="00B041A6">
        <w:rPr>
          <w:rFonts w:ascii="Arial" w:eastAsia="Arial" w:hAnsi="Arial" w:cs="Arial"/>
          <w:szCs w:val="24"/>
          <w:lang w:eastAsia="de-DE"/>
        </w:rPr>
        <w:t xml:space="preserve"> 2017</w:t>
      </w:r>
    </w:p>
    <w:p w:rsidR="00B041A6" w:rsidRPr="00B041A6" w:rsidRDefault="00B041A6" w:rsidP="00B041A6">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041A6">
        <w:rPr>
          <w:rFonts w:ascii="Arial" w:eastAsia="Arial" w:hAnsi="Arial" w:cs="Arial"/>
          <w:sz w:val="16"/>
          <w:szCs w:val="24"/>
          <w:lang w:eastAsia="de-DE"/>
        </w:rPr>
        <w:t>Or</w:t>
      </w:r>
      <w:proofErr w:type="spellEnd"/>
      <w:r w:rsidRPr="00B041A6">
        <w:rPr>
          <w:rFonts w:ascii="Arial" w:eastAsia="Arial" w:hAnsi="Arial" w:cs="Arial"/>
          <w:sz w:val="16"/>
          <w:szCs w:val="24"/>
          <w:lang w:eastAsia="de-DE"/>
        </w:rPr>
        <w:t>. DEUTSCH</w:t>
      </w:r>
    </w:p>
    <w:p w:rsidR="00B041A6" w:rsidRPr="00596953" w:rsidRDefault="00B041A6" w:rsidP="00B041A6">
      <w:pPr>
        <w:widowControl/>
        <w:overflowPunct/>
        <w:autoSpaceDE/>
        <w:autoSpaceDN/>
        <w:adjustRightInd/>
        <w:snapToGrid w:val="0"/>
        <w:ind w:left="0" w:firstLine="0"/>
        <w:jc w:val="left"/>
        <w:textAlignment w:val="auto"/>
        <w:rPr>
          <w:rFonts w:ascii="Arial" w:hAnsi="Arial" w:cs="Arial"/>
          <w:sz w:val="16"/>
          <w:szCs w:val="24"/>
          <w:lang w:eastAsia="de-DE"/>
        </w:rPr>
      </w:pPr>
    </w:p>
    <w:p w:rsidR="00B041A6" w:rsidRPr="00596953" w:rsidRDefault="00B041A6" w:rsidP="00B041A6">
      <w:pPr>
        <w:widowControl/>
        <w:overflowPunct/>
        <w:autoSpaceDE/>
        <w:autoSpaceDN/>
        <w:adjustRightInd/>
        <w:snapToGrid w:val="0"/>
        <w:ind w:left="0" w:firstLine="0"/>
        <w:jc w:val="left"/>
        <w:textAlignment w:val="auto"/>
        <w:rPr>
          <w:rFonts w:ascii="Arial" w:hAnsi="Arial" w:cs="Arial"/>
          <w:sz w:val="16"/>
          <w:szCs w:val="24"/>
          <w:lang w:eastAsia="de-DE"/>
        </w:rPr>
      </w:pP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GEMEINSAME EXPERTENTAGUNG FÜR DIE DEM</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ÜBEREINKOMMEN ÜBER DIE INTERNATIONALE BEFÖRDERUNG</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VON GEFÄHRLICHEN GÜTERN AUF BINNENWASSERSTRASSEN</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BEIGEFÜGTE VERORDNUNG (ADN)</w:t>
      </w:r>
    </w:p>
    <w:p w:rsidR="00B041A6" w:rsidRPr="00B041A6" w:rsidRDefault="00B041A6" w:rsidP="00B041A6">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B041A6">
        <w:rPr>
          <w:rFonts w:ascii="Arial" w:hAnsi="Arial"/>
          <w:noProof/>
          <w:sz w:val="16"/>
          <w:szCs w:val="24"/>
        </w:rPr>
        <w:t>(SICHERHEITSAUSSCHUSS)</w:t>
      </w:r>
    </w:p>
    <w:p w:rsidR="00B041A6" w:rsidRPr="00B041A6" w:rsidRDefault="003233C8" w:rsidP="00B041A6">
      <w:pPr>
        <w:widowControl/>
        <w:tabs>
          <w:tab w:val="left" w:pos="2977"/>
        </w:tabs>
        <w:overflowPunct/>
        <w:autoSpaceDE/>
        <w:autoSpaceDN/>
        <w:adjustRightInd/>
        <w:snapToGrid w:val="0"/>
        <w:ind w:left="3960" w:firstLine="0"/>
        <w:jc w:val="left"/>
        <w:textAlignment w:val="auto"/>
        <w:rPr>
          <w:rFonts w:ascii="Arial" w:hAnsi="Arial"/>
          <w:sz w:val="16"/>
          <w:szCs w:val="24"/>
        </w:rPr>
      </w:pPr>
      <w:r>
        <w:rPr>
          <w:rFonts w:ascii="Arial" w:hAnsi="Arial"/>
          <w:sz w:val="16"/>
          <w:szCs w:val="24"/>
        </w:rPr>
        <w:t>(32</w:t>
      </w:r>
      <w:r w:rsidR="00B041A6" w:rsidRPr="00B041A6">
        <w:rPr>
          <w:rFonts w:ascii="Arial" w:hAnsi="Arial"/>
          <w:sz w:val="16"/>
          <w:szCs w:val="24"/>
        </w:rPr>
        <w:t xml:space="preserve">. Tagung, Genf, </w:t>
      </w:r>
      <w:r w:rsidR="0027414F">
        <w:rPr>
          <w:rFonts w:ascii="Arial" w:hAnsi="Arial"/>
          <w:sz w:val="16"/>
          <w:szCs w:val="24"/>
        </w:rPr>
        <w:t>22</w:t>
      </w:r>
      <w:r w:rsidR="00B041A6" w:rsidRPr="00B041A6">
        <w:rPr>
          <w:rFonts w:ascii="Arial" w:hAnsi="Arial"/>
          <w:sz w:val="16"/>
          <w:szCs w:val="24"/>
        </w:rPr>
        <w:t xml:space="preserve">. bis </w:t>
      </w:r>
      <w:r w:rsidR="0027414F">
        <w:rPr>
          <w:rFonts w:ascii="Arial" w:hAnsi="Arial"/>
          <w:sz w:val="16"/>
          <w:szCs w:val="24"/>
        </w:rPr>
        <w:t>26</w:t>
      </w:r>
      <w:r w:rsidR="00B041A6" w:rsidRPr="00B041A6">
        <w:rPr>
          <w:rFonts w:ascii="Arial" w:hAnsi="Arial"/>
          <w:sz w:val="16"/>
          <w:szCs w:val="24"/>
        </w:rPr>
        <w:t xml:space="preserve">. </w:t>
      </w:r>
      <w:r w:rsidR="0027414F">
        <w:rPr>
          <w:rFonts w:ascii="Arial" w:hAnsi="Arial"/>
          <w:sz w:val="16"/>
          <w:szCs w:val="24"/>
        </w:rPr>
        <w:t>Januar 2018</w:t>
      </w:r>
      <w:r w:rsidR="00B041A6" w:rsidRPr="00B041A6">
        <w:rPr>
          <w:rFonts w:ascii="Arial" w:hAnsi="Arial"/>
          <w:sz w:val="16"/>
          <w:szCs w:val="24"/>
        </w:rPr>
        <w:t>)</w:t>
      </w:r>
    </w:p>
    <w:p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041A6">
        <w:rPr>
          <w:rFonts w:ascii="Arial" w:hAnsi="Arial" w:cs="Arial"/>
          <w:sz w:val="16"/>
          <w:szCs w:val="16"/>
          <w:lang w:eastAsia="en-US"/>
        </w:rPr>
        <w:t xml:space="preserve">Punkt </w:t>
      </w:r>
      <w:r w:rsidR="00BC3D86">
        <w:rPr>
          <w:rFonts w:ascii="Arial" w:hAnsi="Arial" w:cs="Arial"/>
          <w:sz w:val="16"/>
          <w:szCs w:val="16"/>
          <w:lang w:eastAsia="en-US"/>
        </w:rPr>
        <w:t>5 b)</w:t>
      </w:r>
      <w:r w:rsidRPr="00B041A6">
        <w:rPr>
          <w:rFonts w:ascii="Arial" w:hAnsi="Arial" w:cs="Arial"/>
          <w:sz w:val="16"/>
          <w:szCs w:val="16"/>
          <w:lang w:eastAsia="en-US"/>
        </w:rPr>
        <w:t xml:space="preserve"> zur vorläufigen Tagesordnung</w:t>
      </w:r>
    </w:p>
    <w:p w:rsidR="00BA358B" w:rsidRPr="002D550A" w:rsidRDefault="00BA358B" w:rsidP="00BA358B">
      <w:pPr>
        <w:tabs>
          <w:tab w:val="left" w:pos="2977"/>
        </w:tabs>
        <w:ind w:left="3960"/>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sidRPr="00DC4C63">
        <w:rPr>
          <w:rFonts w:ascii="Arial" w:hAnsi="Arial" w:cs="Arial"/>
          <w:b/>
          <w:sz w:val="16"/>
          <w:szCs w:val="16"/>
          <w:lang w:eastAsia="en-US"/>
        </w:rPr>
        <w:t>Vorschläge für Änderungen der dem ADN beigefügten Verordnung</w:t>
      </w:r>
      <w:r w:rsidRPr="002D550A">
        <w:rPr>
          <w:rFonts w:ascii="Arial" w:hAnsi="Arial" w:cs="Arial"/>
          <w:b/>
          <w:sz w:val="16"/>
          <w:szCs w:val="16"/>
          <w:lang w:eastAsia="en-US"/>
        </w:rPr>
        <w:t>:</w:t>
      </w:r>
    </w:p>
    <w:p w:rsidR="00BA358B" w:rsidRPr="009051C2" w:rsidRDefault="00BA358B" w:rsidP="00BA358B">
      <w:pPr>
        <w:tabs>
          <w:tab w:val="left" w:pos="2977"/>
        </w:tabs>
        <w:ind w:left="3960"/>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t>Weitere Vorschläge</w:t>
      </w:r>
    </w:p>
    <w:p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B041A6" w:rsidRPr="00B041A6"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B041A6" w:rsidRPr="00596953" w:rsidRDefault="00B041A6" w:rsidP="00B041A6">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582B60" w:rsidRDefault="00582B60" w:rsidP="00582B60">
      <w:pPr>
        <w:spacing w:line="276" w:lineRule="auto"/>
        <w:ind w:right="55"/>
        <w:jc w:val="center"/>
        <w:rPr>
          <w:noProof/>
          <w:sz w:val="22"/>
          <w:szCs w:val="24"/>
        </w:rPr>
      </w:pPr>
      <w:r w:rsidRPr="00535062">
        <w:rPr>
          <w:noProof/>
          <w:sz w:val="22"/>
          <w:szCs w:val="24"/>
        </w:rPr>
        <w:t>VORSCHLÄGE FÜR ÄNDERUNGEN DER DEM ADN BEIGEFÜGTEN VERORDNUNG</w:t>
      </w:r>
    </w:p>
    <w:p w:rsidR="00582B60" w:rsidRPr="00665E68" w:rsidRDefault="00582B60" w:rsidP="00582B60">
      <w:pPr>
        <w:spacing w:line="276" w:lineRule="auto"/>
        <w:jc w:val="center"/>
        <w:rPr>
          <w:b/>
          <w:bCs/>
          <w:snapToGrid w:val="0"/>
          <w:u w:val="single"/>
        </w:rPr>
      </w:pPr>
    </w:p>
    <w:p w:rsidR="00582B60" w:rsidRPr="00665E68" w:rsidRDefault="00582B60" w:rsidP="00582B60">
      <w:pPr>
        <w:spacing w:line="276" w:lineRule="auto"/>
        <w:jc w:val="center"/>
        <w:rPr>
          <w:b/>
          <w:bCs/>
          <w:snapToGrid w:val="0"/>
          <w:sz w:val="24"/>
          <w:szCs w:val="24"/>
          <w:u w:val="single"/>
        </w:rPr>
      </w:pPr>
      <w:r w:rsidRPr="00665E68">
        <w:rPr>
          <w:b/>
          <w:bCs/>
          <w:snapToGrid w:val="0"/>
          <w:sz w:val="24"/>
          <w:szCs w:val="24"/>
          <w:u w:val="single"/>
        </w:rPr>
        <w:t>Weitere Änderungsvorschläge</w:t>
      </w:r>
    </w:p>
    <w:p w:rsidR="00582B60" w:rsidRDefault="00582B60" w:rsidP="00582B60">
      <w:pPr>
        <w:spacing w:line="276" w:lineRule="auto"/>
        <w:jc w:val="center"/>
        <w:rPr>
          <w:noProof/>
          <w:sz w:val="22"/>
          <w:szCs w:val="24"/>
        </w:rPr>
      </w:pPr>
    </w:p>
    <w:p w:rsidR="00B041A6" w:rsidRPr="00B041A6" w:rsidRDefault="003772DB" w:rsidP="00B041A6">
      <w:pPr>
        <w:pStyle w:val="HChG"/>
        <w:keepNext w:val="0"/>
        <w:keepLines w:val="0"/>
        <w:tabs>
          <w:tab w:val="clear" w:pos="851"/>
        </w:tabs>
        <w:spacing w:before="0" w:after="0" w:line="240" w:lineRule="auto"/>
        <w:ind w:left="0" w:right="0" w:firstLine="0"/>
        <w:jc w:val="both"/>
        <w:rPr>
          <w:bCs/>
          <w:szCs w:val="24"/>
          <w:lang w:val="de-DE"/>
        </w:rPr>
      </w:pPr>
      <w:r>
        <w:rPr>
          <w:bCs/>
          <w:szCs w:val="24"/>
          <w:lang w:val="de-DE"/>
        </w:rPr>
        <w:t xml:space="preserve">Zur Beförderung zugelassene Güter </w:t>
      </w:r>
      <w:r w:rsidR="00ED74D1">
        <w:rPr>
          <w:bCs/>
          <w:szCs w:val="24"/>
          <w:lang w:val="de-DE"/>
        </w:rPr>
        <w:t>–</w:t>
      </w:r>
      <w:r>
        <w:rPr>
          <w:bCs/>
          <w:szCs w:val="24"/>
          <w:lang w:val="de-DE"/>
        </w:rPr>
        <w:t xml:space="preserve"> </w:t>
      </w:r>
      <w:r w:rsidR="005C2D4D">
        <w:rPr>
          <w:bCs/>
          <w:szCs w:val="24"/>
          <w:lang w:val="de-DE"/>
        </w:rPr>
        <w:t xml:space="preserve">Ölschlamm </w:t>
      </w:r>
      <w:r w:rsidR="005C2D4D" w:rsidRPr="005C2D4D">
        <w:rPr>
          <w:b w:val="0"/>
          <w:bCs/>
          <w:i/>
          <w:szCs w:val="24"/>
          <w:lang w:val="de-DE"/>
        </w:rPr>
        <w:t>[für die Übersetzung: englisch „</w:t>
      </w:r>
      <w:proofErr w:type="spellStart"/>
      <w:r w:rsidR="005C2D4D" w:rsidRPr="005C2D4D">
        <w:rPr>
          <w:b w:val="0"/>
          <w:bCs/>
          <w:i/>
          <w:szCs w:val="24"/>
          <w:lang w:val="de-DE"/>
        </w:rPr>
        <w:t>Sludge</w:t>
      </w:r>
      <w:proofErr w:type="spellEnd"/>
      <w:r w:rsidR="005C2D4D" w:rsidRPr="005C2D4D">
        <w:rPr>
          <w:b w:val="0"/>
          <w:bCs/>
          <w:i/>
          <w:szCs w:val="24"/>
          <w:lang w:val="de-DE"/>
        </w:rPr>
        <w:t>“]</w:t>
      </w:r>
      <w:r w:rsidR="00ED74D1">
        <w:rPr>
          <w:bCs/>
          <w:szCs w:val="24"/>
          <w:lang w:val="de-DE"/>
        </w:rPr>
        <w:t xml:space="preserve"> (MARPOL)</w:t>
      </w:r>
    </w:p>
    <w:p w:rsidR="00B041A6" w:rsidRPr="00B041A6" w:rsidRDefault="00B041A6" w:rsidP="00B041A6">
      <w:pPr>
        <w:keepNext/>
        <w:keepLines/>
        <w:widowControl/>
        <w:suppressAutoHyphens/>
        <w:overflowPunct/>
        <w:autoSpaceDE/>
        <w:autoSpaceDN/>
        <w:adjustRightInd/>
        <w:snapToGrid w:val="0"/>
        <w:spacing w:before="360" w:after="240" w:line="270" w:lineRule="exact"/>
        <w:ind w:right="567"/>
        <w:jc w:val="left"/>
        <w:textAlignment w:val="auto"/>
        <w:rPr>
          <w:b/>
          <w:sz w:val="24"/>
        </w:rPr>
      </w:pPr>
      <w:r w:rsidRPr="00B041A6">
        <w:rPr>
          <w:b/>
          <w:sz w:val="24"/>
        </w:rPr>
        <w:t>Vorgelegt von Deutschland</w:t>
      </w:r>
      <w:r w:rsidRPr="00B041A6">
        <w:rPr>
          <w:b/>
          <w:sz w:val="18"/>
          <w:vertAlign w:val="superscript"/>
        </w:rPr>
        <w:footnoteReference w:id="1"/>
      </w:r>
      <w:r w:rsidRPr="00B041A6">
        <w:rPr>
          <w:b/>
          <w:sz w:val="18"/>
          <w:vertAlign w:val="superscript"/>
        </w:rPr>
        <w:t>,</w:t>
      </w:r>
      <w:r w:rsidRPr="00B041A6">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7A6D93" w:rsidRPr="007A6D93" w:rsidTr="007D1EF9">
        <w:trPr>
          <w:jc w:val="center"/>
        </w:trPr>
        <w:tc>
          <w:tcPr>
            <w:tcW w:w="2330" w:type="dxa"/>
          </w:tcPr>
          <w:p w:rsidR="00B041A6" w:rsidRPr="007A6D93" w:rsidRDefault="00B041A6" w:rsidP="007D1EF9">
            <w:pPr>
              <w:tabs>
                <w:tab w:val="left" w:pos="284"/>
              </w:tabs>
              <w:spacing w:before="120" w:after="120"/>
              <w:rPr>
                <w:i/>
                <w:lang w:eastAsia="en-US"/>
              </w:rPr>
            </w:pPr>
            <w:r w:rsidRPr="007A6D93">
              <w:rPr>
                <w:rFonts w:eastAsia="Arial"/>
                <w:i/>
                <w:lang w:eastAsia="en-US"/>
              </w:rPr>
              <w:t>Zusammenfassung</w:t>
            </w:r>
          </w:p>
        </w:tc>
        <w:tc>
          <w:tcPr>
            <w:tcW w:w="7309" w:type="dxa"/>
          </w:tcPr>
          <w:p w:rsidR="00B041A6" w:rsidRPr="007A6D93" w:rsidRDefault="00B041A6" w:rsidP="007D1EF9">
            <w:pPr>
              <w:spacing w:before="120" w:after="120"/>
              <w:rPr>
                <w:lang w:eastAsia="en-US"/>
              </w:rPr>
            </w:pPr>
          </w:p>
        </w:tc>
      </w:tr>
      <w:tr w:rsidR="007A6D93" w:rsidRPr="007A6D93" w:rsidTr="007D1EF9">
        <w:trPr>
          <w:jc w:val="center"/>
        </w:trPr>
        <w:tc>
          <w:tcPr>
            <w:tcW w:w="2330" w:type="dxa"/>
            <w:tcBorders>
              <w:bottom w:val="single" w:sz="4" w:space="0" w:color="auto"/>
            </w:tcBorders>
          </w:tcPr>
          <w:p w:rsidR="00B041A6" w:rsidRPr="007A6D93" w:rsidRDefault="00B041A6" w:rsidP="007D1EF9">
            <w:pPr>
              <w:tabs>
                <w:tab w:val="left" w:pos="284"/>
              </w:tabs>
              <w:spacing w:before="120" w:after="120"/>
              <w:jc w:val="left"/>
              <w:rPr>
                <w:b/>
                <w:lang w:eastAsia="en-US"/>
              </w:rPr>
            </w:pPr>
            <w:r w:rsidRPr="007A6D93">
              <w:rPr>
                <w:b/>
                <w:lang w:eastAsia="en-US"/>
              </w:rPr>
              <w:t>Analytische</w:t>
            </w:r>
          </w:p>
          <w:p w:rsidR="00B041A6" w:rsidRPr="007A6D93" w:rsidRDefault="00B041A6" w:rsidP="007D1EF9">
            <w:pPr>
              <w:tabs>
                <w:tab w:val="left" w:pos="284"/>
              </w:tabs>
              <w:spacing w:before="120" w:after="120"/>
              <w:jc w:val="left"/>
              <w:rPr>
                <w:b/>
                <w:lang w:eastAsia="en-US"/>
              </w:rPr>
            </w:pPr>
            <w:r w:rsidRPr="007A6D93">
              <w:rPr>
                <w:b/>
                <w:lang w:eastAsia="en-US"/>
              </w:rPr>
              <w:t>Zusammenfassung:</w:t>
            </w:r>
          </w:p>
        </w:tc>
        <w:tc>
          <w:tcPr>
            <w:tcW w:w="7309" w:type="dxa"/>
            <w:tcBorders>
              <w:bottom w:val="single" w:sz="4" w:space="0" w:color="auto"/>
            </w:tcBorders>
          </w:tcPr>
          <w:p w:rsidR="002A4FCB" w:rsidRPr="007A6D93" w:rsidRDefault="00816C7F" w:rsidP="003C04F2">
            <w:pPr>
              <w:spacing w:before="120" w:after="120"/>
              <w:ind w:left="11" w:firstLine="0"/>
              <w:rPr>
                <w:rFonts w:cs="Arial"/>
              </w:rPr>
            </w:pPr>
            <w:r w:rsidRPr="007A6D93">
              <w:rPr>
                <w:rFonts w:cs="Arial"/>
              </w:rPr>
              <w:t xml:space="preserve">In den Seehäfen </w:t>
            </w:r>
            <w:r w:rsidR="00827382" w:rsidRPr="007A6D93">
              <w:rPr>
                <w:rFonts w:cs="Arial"/>
              </w:rPr>
              <w:t xml:space="preserve">besteht ein Bedarf, </w:t>
            </w:r>
            <w:r w:rsidR="002A4FCB" w:rsidRPr="007A6D93">
              <w:rPr>
                <w:rFonts w:cs="Arial"/>
              </w:rPr>
              <w:t xml:space="preserve">für die im MARPOL-Übereinkommen vorgeschriebene Entsorgung von </w:t>
            </w:r>
            <w:r w:rsidRPr="007A6D93">
              <w:rPr>
                <w:rFonts w:cs="Arial"/>
              </w:rPr>
              <w:t>Ölschlamm [</w:t>
            </w:r>
            <w:proofErr w:type="spellStart"/>
            <w:r w:rsidR="002A4FCB" w:rsidRPr="007A6D93">
              <w:rPr>
                <w:rFonts w:cs="Arial"/>
              </w:rPr>
              <w:t>Sludge</w:t>
            </w:r>
            <w:proofErr w:type="spellEnd"/>
            <w:r w:rsidRPr="007A6D93">
              <w:rPr>
                <w:rFonts w:cs="Arial"/>
              </w:rPr>
              <w:t>]</w:t>
            </w:r>
            <w:r w:rsidR="002A4FCB" w:rsidRPr="007A6D93">
              <w:rPr>
                <w:rFonts w:cs="Arial"/>
              </w:rPr>
              <w:t xml:space="preserve">, der von Seeschiffen stammt, Binnentankschiffe einzusetzen. Bei </w:t>
            </w:r>
            <w:r w:rsidR="003C04F2" w:rsidRPr="007A6D93">
              <w:rPr>
                <w:rFonts w:cs="Arial"/>
              </w:rPr>
              <w:t>Ölschlamm [</w:t>
            </w:r>
            <w:proofErr w:type="spellStart"/>
            <w:r w:rsidR="003C04F2" w:rsidRPr="007A6D93">
              <w:rPr>
                <w:rFonts w:cs="Arial"/>
              </w:rPr>
              <w:t>Sludge</w:t>
            </w:r>
            <w:proofErr w:type="spellEnd"/>
            <w:r w:rsidR="003C04F2" w:rsidRPr="007A6D93">
              <w:rPr>
                <w:rFonts w:cs="Arial"/>
              </w:rPr>
              <w:t>]</w:t>
            </w:r>
            <w:r w:rsidR="002A4FCB" w:rsidRPr="007A6D93">
              <w:rPr>
                <w:rFonts w:cs="Arial"/>
              </w:rPr>
              <w:t xml:space="preserve"> handelt es sich unstreitig um Gefahrgut, für das jedoch kein passender Eintrag in Tabelle C enthalten ist.</w:t>
            </w:r>
          </w:p>
        </w:tc>
      </w:tr>
      <w:tr w:rsidR="007A6D93" w:rsidRPr="007A6D93" w:rsidTr="007D1EF9">
        <w:trPr>
          <w:jc w:val="center"/>
        </w:trPr>
        <w:tc>
          <w:tcPr>
            <w:tcW w:w="2330" w:type="dxa"/>
            <w:tcBorders>
              <w:bottom w:val="single" w:sz="4" w:space="0" w:color="auto"/>
            </w:tcBorders>
          </w:tcPr>
          <w:p w:rsidR="00B041A6" w:rsidRPr="007A6D93" w:rsidRDefault="00B041A6" w:rsidP="007B5D5A">
            <w:pPr>
              <w:spacing w:before="120" w:after="120"/>
              <w:ind w:left="0" w:firstLine="0"/>
              <w:jc w:val="left"/>
              <w:rPr>
                <w:b/>
                <w:lang w:eastAsia="en-US"/>
              </w:rPr>
            </w:pPr>
            <w:r w:rsidRPr="007A6D93">
              <w:rPr>
                <w:b/>
                <w:lang w:eastAsia="en-US"/>
              </w:rPr>
              <w:t>Zu ergreifende</w:t>
            </w:r>
            <w:r w:rsidR="007B5D5A" w:rsidRPr="007A6D93">
              <w:rPr>
                <w:b/>
                <w:lang w:eastAsia="en-US"/>
              </w:rPr>
              <w:t xml:space="preserve"> </w:t>
            </w:r>
            <w:r w:rsidRPr="007A6D93">
              <w:rPr>
                <w:b/>
                <w:lang w:eastAsia="en-US"/>
              </w:rPr>
              <w:t>Maßnahme:</w:t>
            </w:r>
          </w:p>
        </w:tc>
        <w:tc>
          <w:tcPr>
            <w:tcW w:w="7309" w:type="dxa"/>
            <w:tcBorders>
              <w:bottom w:val="single" w:sz="4" w:space="0" w:color="auto"/>
            </w:tcBorders>
          </w:tcPr>
          <w:p w:rsidR="00B041A6" w:rsidRPr="007A6D93" w:rsidRDefault="002A4FCB" w:rsidP="003C04F2">
            <w:pPr>
              <w:spacing w:before="120" w:after="120"/>
              <w:ind w:left="11" w:firstLine="0"/>
              <w:rPr>
                <w:rFonts w:cs="Arial"/>
              </w:rPr>
            </w:pPr>
            <w:r w:rsidRPr="007A6D93">
              <w:rPr>
                <w:rFonts w:cs="Arial"/>
              </w:rPr>
              <w:t xml:space="preserve">Um eine rechtskonforme Beförderung in Binnentankschiffen zu ermöglichen, </w:t>
            </w:r>
            <w:r w:rsidR="003C04F2" w:rsidRPr="007A6D93">
              <w:rPr>
                <w:rFonts w:cs="Arial"/>
              </w:rPr>
              <w:t>soll</w:t>
            </w:r>
            <w:r w:rsidRPr="007A6D93">
              <w:rPr>
                <w:rFonts w:cs="Arial"/>
              </w:rPr>
              <w:t xml:space="preserve"> Tabelle C des ADN um einen passenden Eintrag </w:t>
            </w:r>
            <w:r w:rsidR="003C04F2" w:rsidRPr="007A6D93">
              <w:rPr>
                <w:rFonts w:cs="Arial"/>
              </w:rPr>
              <w:t>ergänzt werden</w:t>
            </w:r>
            <w:r w:rsidRPr="007A6D93">
              <w:rPr>
                <w:rFonts w:cs="Arial"/>
              </w:rPr>
              <w:t>. Ein Vorschlag der deutschen Delegation, der zusammen mit dem in Deutschland operierenden Entsorgungsgewerbe erarbeitet wurde, soll an die informelle Arbeitsgruppe Stoffe verwiesen werden.</w:t>
            </w:r>
          </w:p>
        </w:tc>
      </w:tr>
      <w:tr w:rsidR="007A6D93" w:rsidRPr="007A6D93" w:rsidTr="007D1EF9">
        <w:trPr>
          <w:jc w:val="center"/>
        </w:trPr>
        <w:tc>
          <w:tcPr>
            <w:tcW w:w="2330" w:type="dxa"/>
            <w:tcBorders>
              <w:top w:val="single" w:sz="4" w:space="0" w:color="auto"/>
            </w:tcBorders>
          </w:tcPr>
          <w:p w:rsidR="00B041A6" w:rsidRPr="007A6D93" w:rsidRDefault="00B041A6" w:rsidP="007D1EF9">
            <w:pPr>
              <w:tabs>
                <w:tab w:val="left" w:pos="284"/>
              </w:tabs>
              <w:jc w:val="left"/>
              <w:rPr>
                <w:b/>
                <w:lang w:eastAsia="en-US"/>
              </w:rPr>
            </w:pPr>
            <w:r w:rsidRPr="007A6D93">
              <w:rPr>
                <w:b/>
                <w:lang w:eastAsia="en-US"/>
              </w:rPr>
              <w:t>Verbundene Dokumente:</w:t>
            </w:r>
          </w:p>
        </w:tc>
        <w:tc>
          <w:tcPr>
            <w:tcW w:w="7309" w:type="dxa"/>
            <w:tcBorders>
              <w:top w:val="single" w:sz="4" w:space="0" w:color="auto"/>
            </w:tcBorders>
          </w:tcPr>
          <w:p w:rsidR="006F2C93" w:rsidRPr="007A6D93" w:rsidRDefault="006F2C93" w:rsidP="006F2C93">
            <w:pPr>
              <w:ind w:left="11" w:firstLine="0"/>
              <w:rPr>
                <w:rFonts w:cs="Arial"/>
              </w:rPr>
            </w:pPr>
            <w:r w:rsidRPr="007A6D93">
              <w:rPr>
                <w:rFonts w:cs="Arial"/>
              </w:rPr>
              <w:t xml:space="preserve">INF.34 zur 26. Sitzung, </w:t>
            </w:r>
          </w:p>
          <w:p w:rsidR="003772DB" w:rsidRPr="007A6D93" w:rsidRDefault="006F2C93" w:rsidP="006F2C93">
            <w:pPr>
              <w:ind w:left="11" w:firstLine="0"/>
              <w:rPr>
                <w:rFonts w:cs="Arial"/>
              </w:rPr>
            </w:pPr>
            <w:r w:rsidRPr="007A6D93">
              <w:rPr>
                <w:rFonts w:cs="Arial"/>
              </w:rPr>
              <w:t>CCNR-ZK</w:t>
            </w:r>
            <w:r w:rsidR="003772DB" w:rsidRPr="007A6D93">
              <w:rPr>
                <w:rFonts w:cs="Arial"/>
              </w:rPr>
              <w:t>R/ADN/WP.15/AC.2/54, Nr. 22</w:t>
            </w:r>
          </w:p>
          <w:p w:rsidR="003772DB" w:rsidRPr="007A6D93" w:rsidRDefault="006F2C93" w:rsidP="006F2C93">
            <w:pPr>
              <w:ind w:left="11" w:firstLine="0"/>
              <w:rPr>
                <w:rFonts w:cs="Arial"/>
              </w:rPr>
            </w:pPr>
            <w:r w:rsidRPr="007A6D93">
              <w:rPr>
                <w:rFonts w:cs="Arial"/>
              </w:rPr>
              <w:t>CCNR-ZK</w:t>
            </w:r>
            <w:r w:rsidR="007217D6" w:rsidRPr="007A6D93">
              <w:rPr>
                <w:rFonts w:cs="Arial"/>
              </w:rPr>
              <w:t>R/ADN/WP.15/AC.2/27/INF.12, Abschnitt K</w:t>
            </w:r>
          </w:p>
          <w:p w:rsidR="00B041A6" w:rsidRPr="007A6D93" w:rsidRDefault="003772DB" w:rsidP="006F2C93">
            <w:pPr>
              <w:ind w:left="11" w:firstLine="0"/>
              <w:rPr>
                <w:rFonts w:cs="Arial"/>
              </w:rPr>
            </w:pPr>
            <w:r w:rsidRPr="007A6D93">
              <w:rPr>
                <w:rFonts w:cs="Arial"/>
              </w:rPr>
              <w:t>CCNR-Z</w:t>
            </w:r>
            <w:r w:rsidR="006F2C93" w:rsidRPr="007A6D93">
              <w:rPr>
                <w:rFonts w:cs="Arial"/>
              </w:rPr>
              <w:t>K</w:t>
            </w:r>
            <w:r w:rsidRPr="007A6D93">
              <w:rPr>
                <w:rFonts w:cs="Arial"/>
              </w:rPr>
              <w:t>R/ADN/WP.15/AC.2/56, Nr. 81</w:t>
            </w:r>
          </w:p>
        </w:tc>
      </w:tr>
    </w:tbl>
    <w:p w:rsidR="00B041A6" w:rsidRPr="006E7759" w:rsidRDefault="00B041A6" w:rsidP="006E7759">
      <w:pPr>
        <w:tabs>
          <w:tab w:val="left" w:pos="1418"/>
        </w:tabs>
        <w:spacing w:line="240" w:lineRule="atLeast"/>
        <w:ind w:left="0" w:firstLine="0"/>
        <w:rPr>
          <w:rFonts w:cs="Arial"/>
        </w:rPr>
      </w:pPr>
    </w:p>
    <w:p w:rsidR="00B041A6" w:rsidRPr="00B041A6" w:rsidRDefault="00B041A6" w:rsidP="00B041A6">
      <w:pPr>
        <w:tabs>
          <w:tab w:val="left" w:pos="567"/>
          <w:tab w:val="left" w:pos="1418"/>
        </w:tabs>
        <w:spacing w:line="240" w:lineRule="atLeast"/>
        <w:rPr>
          <w:b/>
          <w:sz w:val="24"/>
          <w:szCs w:val="18"/>
        </w:rPr>
      </w:pPr>
      <w:r w:rsidRPr="00B041A6">
        <w:rPr>
          <w:b/>
          <w:sz w:val="24"/>
          <w:szCs w:val="18"/>
        </w:rPr>
        <w:t>I.</w:t>
      </w:r>
      <w:r w:rsidRPr="00B041A6">
        <w:rPr>
          <w:b/>
          <w:sz w:val="24"/>
          <w:szCs w:val="18"/>
        </w:rPr>
        <w:tab/>
        <w:t>Einführung</w:t>
      </w:r>
    </w:p>
    <w:p w:rsidR="00B041A6" w:rsidRPr="00B041A6" w:rsidRDefault="00B041A6" w:rsidP="00B041A6">
      <w:pPr>
        <w:tabs>
          <w:tab w:val="left" w:pos="1418"/>
        </w:tabs>
        <w:spacing w:line="240" w:lineRule="atLeast"/>
        <w:ind w:left="0" w:firstLine="0"/>
        <w:rPr>
          <w:rFonts w:cs="Arial"/>
        </w:rPr>
      </w:pPr>
    </w:p>
    <w:p w:rsidR="003772DB" w:rsidRPr="003772DB" w:rsidRDefault="00415714" w:rsidP="00415714">
      <w:pPr>
        <w:widowControl/>
        <w:overflowPunct/>
        <w:autoSpaceDE/>
        <w:autoSpaceDN/>
        <w:adjustRightInd/>
        <w:spacing w:before="120" w:after="120"/>
        <w:ind w:left="0" w:firstLine="0"/>
        <w:jc w:val="left"/>
        <w:textAlignment w:val="auto"/>
      </w:pPr>
      <w:r>
        <w:rPr>
          <w:lang w:eastAsia="de-DE"/>
        </w:rPr>
        <w:t>1.</w:t>
      </w:r>
      <w:r>
        <w:rPr>
          <w:lang w:eastAsia="de-DE"/>
        </w:rPr>
        <w:tab/>
      </w:r>
      <w:r w:rsidR="003772DB" w:rsidRPr="003772DB">
        <w:rPr>
          <w:lang w:eastAsia="de-DE"/>
        </w:rPr>
        <w:t xml:space="preserve">Von Seeschiffen fallen in Seehäfen, aufgrund der international gültigen verpflichtenden </w:t>
      </w:r>
      <w:proofErr w:type="spellStart"/>
      <w:r w:rsidR="003772DB" w:rsidRPr="003772DB">
        <w:rPr>
          <w:lang w:eastAsia="de-DE"/>
        </w:rPr>
        <w:t>Marpol</w:t>
      </w:r>
      <w:proofErr w:type="spellEnd"/>
      <w:r w:rsidR="003772DB" w:rsidRPr="003772DB">
        <w:rPr>
          <w:lang w:eastAsia="de-DE"/>
        </w:rPr>
        <w:t>-Schiffsentsorgung, regelmäßig ölige, wasserhaltige Rückstände aus der Aufbereitung von Seeschiffbrennstoffen an, die während der Liegezeit im Hafen von speziellen Binnenschiffen zur Entsorgung abgeholt</w:t>
      </w:r>
      <w:r w:rsidR="003772DB" w:rsidRPr="003772DB">
        <w:t xml:space="preserve"> und der </w:t>
      </w:r>
      <w:r w:rsidR="003772DB" w:rsidRPr="003772DB">
        <w:rPr>
          <w:lang w:eastAsia="de-DE"/>
        </w:rPr>
        <w:t xml:space="preserve">ordnungsgemäßen Entsorgung zugeführt werden. Die deutsche Entsorgungsflotte ist in den Seehäfen Hamburg und Bremen mit einer Anzahl von ca. 20 Schiffen betroffen; auch in anderen europäischen Häfen werden Binnentankschiffe zur Entsorgung eingesetzt. </w:t>
      </w:r>
    </w:p>
    <w:p w:rsidR="003772DB" w:rsidRPr="003772DB" w:rsidRDefault="00415714" w:rsidP="00415714">
      <w:pPr>
        <w:widowControl/>
        <w:overflowPunct/>
        <w:autoSpaceDE/>
        <w:autoSpaceDN/>
        <w:adjustRightInd/>
        <w:spacing w:before="120" w:after="120"/>
        <w:ind w:left="0" w:firstLine="0"/>
        <w:jc w:val="left"/>
        <w:textAlignment w:val="auto"/>
        <w:rPr>
          <w:lang w:eastAsia="de-DE"/>
        </w:rPr>
      </w:pPr>
      <w:r>
        <w:rPr>
          <w:lang w:eastAsia="de-DE"/>
        </w:rPr>
        <w:t>2.</w:t>
      </w:r>
      <w:r>
        <w:rPr>
          <w:lang w:eastAsia="de-DE"/>
        </w:rPr>
        <w:tab/>
      </w:r>
      <w:r w:rsidR="003772DB" w:rsidRPr="003772DB">
        <w:rPr>
          <w:lang w:eastAsia="de-DE"/>
        </w:rPr>
        <w:t xml:space="preserve">Unter </w:t>
      </w:r>
      <w:proofErr w:type="spellStart"/>
      <w:r w:rsidR="003772DB" w:rsidRPr="00415714">
        <w:rPr>
          <w:lang w:eastAsia="de-DE"/>
        </w:rPr>
        <w:t>Sludge</w:t>
      </w:r>
      <w:proofErr w:type="spellEnd"/>
      <w:r w:rsidR="003772DB" w:rsidRPr="003772DB">
        <w:rPr>
          <w:lang w:eastAsia="de-DE"/>
        </w:rPr>
        <w:t xml:space="preserve"> sind „Rückstände aus der Aufbereitung von Brennstoffen und Schmierölen, aus Ölfilteranlagen, in Auffangwannen aufgefangene Ölrückstände und Hydraulik- und Schmierölrückstände von Seeschiffen, auch vermischt mit Wasser“, zu verstehen.</w:t>
      </w:r>
    </w:p>
    <w:p w:rsidR="003772DB" w:rsidRPr="003772DB" w:rsidRDefault="00415714" w:rsidP="00415714">
      <w:pPr>
        <w:widowControl/>
        <w:overflowPunct/>
        <w:autoSpaceDE/>
        <w:autoSpaceDN/>
        <w:adjustRightInd/>
        <w:spacing w:before="120" w:after="120"/>
        <w:ind w:left="0" w:firstLine="0"/>
        <w:jc w:val="left"/>
        <w:textAlignment w:val="auto"/>
        <w:rPr>
          <w:lang w:eastAsia="de-DE"/>
        </w:rPr>
      </w:pPr>
      <w:r>
        <w:rPr>
          <w:lang w:eastAsia="de-DE"/>
        </w:rPr>
        <w:lastRenderedPageBreak/>
        <w:t>3.</w:t>
      </w:r>
      <w:r>
        <w:rPr>
          <w:lang w:eastAsia="de-DE"/>
        </w:rPr>
        <w:tab/>
      </w:r>
      <w:r w:rsidR="003772DB" w:rsidRPr="003772DB">
        <w:rPr>
          <w:lang w:eastAsia="de-DE"/>
        </w:rPr>
        <w:t>Es wurde festgestellt, dass in der Tabelle C kein zutreffender Eintrag für die Beförderung von diesem ölhaltigen, wässrigen Abfall (</w:t>
      </w:r>
      <w:proofErr w:type="spellStart"/>
      <w:r w:rsidR="003772DB" w:rsidRPr="003772DB">
        <w:rPr>
          <w:lang w:eastAsia="de-DE"/>
        </w:rPr>
        <w:t>Sludge</w:t>
      </w:r>
      <w:proofErr w:type="spellEnd"/>
      <w:r w:rsidR="003772DB" w:rsidRPr="003772DB">
        <w:rPr>
          <w:lang w:eastAsia="de-DE"/>
        </w:rPr>
        <w:t>, siehe Anlage I MARPOL 73/78, Art. 2 Nr. 31) vorhanden ist.</w:t>
      </w:r>
    </w:p>
    <w:p w:rsidR="003772DB" w:rsidRPr="007A6D93" w:rsidRDefault="00415714" w:rsidP="00415714">
      <w:pPr>
        <w:widowControl/>
        <w:overflowPunct/>
        <w:autoSpaceDE/>
        <w:autoSpaceDN/>
        <w:adjustRightInd/>
        <w:spacing w:before="120" w:after="120"/>
        <w:ind w:left="0" w:firstLine="0"/>
        <w:jc w:val="left"/>
        <w:textAlignment w:val="auto"/>
        <w:rPr>
          <w:lang w:eastAsia="de-DE"/>
        </w:rPr>
      </w:pPr>
      <w:r>
        <w:rPr>
          <w:lang w:eastAsia="de-DE"/>
        </w:rPr>
        <w:t xml:space="preserve">4. </w:t>
      </w:r>
      <w:r>
        <w:rPr>
          <w:lang w:eastAsia="de-DE"/>
        </w:rPr>
        <w:tab/>
      </w:r>
      <w:r w:rsidR="003772DB" w:rsidRPr="003772DB">
        <w:rPr>
          <w:lang w:eastAsia="de-DE"/>
        </w:rPr>
        <w:t>Die 26. Sitzung des ADN-Sicherheitsausschusses behandelte die Problematik als “</w:t>
      </w:r>
      <w:proofErr w:type="spellStart"/>
      <w:r w:rsidR="003772DB" w:rsidRPr="003772DB">
        <w:rPr>
          <w:lang w:eastAsia="de-DE"/>
        </w:rPr>
        <w:t>Classification</w:t>
      </w:r>
      <w:proofErr w:type="spellEnd"/>
      <w:r w:rsidR="003772DB" w:rsidRPr="003772DB">
        <w:rPr>
          <w:lang w:eastAsia="de-DE"/>
        </w:rPr>
        <w:t xml:space="preserve"> </w:t>
      </w:r>
      <w:proofErr w:type="spellStart"/>
      <w:r w:rsidR="003772DB" w:rsidRPr="003772DB">
        <w:rPr>
          <w:lang w:eastAsia="de-DE"/>
        </w:rPr>
        <w:t>of</w:t>
      </w:r>
      <w:proofErr w:type="spellEnd"/>
      <w:r w:rsidR="003772DB" w:rsidRPr="003772DB">
        <w:rPr>
          <w:lang w:eastAsia="de-DE"/>
        </w:rPr>
        <w:t xml:space="preserve"> </w:t>
      </w:r>
      <w:proofErr w:type="spellStart"/>
      <w:r w:rsidR="003772DB" w:rsidRPr="007A6D93">
        <w:rPr>
          <w:lang w:eastAsia="de-DE"/>
        </w:rPr>
        <w:t>wastes</w:t>
      </w:r>
      <w:proofErr w:type="spellEnd"/>
      <w:r w:rsidR="003772DB" w:rsidRPr="007A6D93">
        <w:rPr>
          <w:lang w:eastAsia="de-DE"/>
        </w:rPr>
        <w:t>” INF.34, vorgetragen am 23.01. 2015 von den Niederlanden</w:t>
      </w:r>
      <w:r w:rsidR="00E21D3C" w:rsidRPr="007A6D93">
        <w:rPr>
          <w:lang w:eastAsia="de-DE"/>
        </w:rPr>
        <w:t xml:space="preserve">. Anschließend befasste sich auch </w:t>
      </w:r>
      <w:r w:rsidRPr="007A6D93">
        <w:rPr>
          <w:lang w:eastAsia="de-DE"/>
        </w:rPr>
        <w:t>die</w:t>
      </w:r>
      <w:r w:rsidR="00E21D3C" w:rsidRPr="007A6D93">
        <w:rPr>
          <w:lang w:eastAsia="de-DE"/>
        </w:rPr>
        <w:t xml:space="preserve"> informelle Arbeitsgruppe Stoffe mit diesem Thema</w:t>
      </w:r>
      <w:r w:rsidR="003772DB" w:rsidRPr="007A6D93">
        <w:rPr>
          <w:lang w:eastAsia="de-DE"/>
        </w:rPr>
        <w:t>.</w:t>
      </w:r>
    </w:p>
    <w:p w:rsidR="003772DB" w:rsidRPr="003772DB" w:rsidRDefault="00415714" w:rsidP="00415714">
      <w:pPr>
        <w:widowControl/>
        <w:overflowPunct/>
        <w:autoSpaceDE/>
        <w:autoSpaceDN/>
        <w:adjustRightInd/>
        <w:spacing w:before="120" w:after="120"/>
        <w:ind w:left="0" w:firstLine="0"/>
        <w:jc w:val="left"/>
        <w:textAlignment w:val="auto"/>
        <w:rPr>
          <w:lang w:eastAsia="de-DE"/>
        </w:rPr>
      </w:pPr>
      <w:r>
        <w:rPr>
          <w:lang w:eastAsia="de-DE"/>
        </w:rPr>
        <w:t>5.</w:t>
      </w:r>
      <w:r>
        <w:rPr>
          <w:lang w:eastAsia="de-DE"/>
        </w:rPr>
        <w:tab/>
      </w:r>
      <w:r w:rsidR="003772DB" w:rsidRPr="003772DB">
        <w:rPr>
          <w:lang w:eastAsia="de-DE"/>
        </w:rPr>
        <w:t>Im Ergebnis ist festzustellen, dass</w:t>
      </w:r>
    </w:p>
    <w:p w:rsidR="003772DB" w:rsidRPr="003772DB" w:rsidRDefault="003772DB" w:rsidP="003772DB">
      <w:pPr>
        <w:widowControl/>
        <w:numPr>
          <w:ilvl w:val="1"/>
          <w:numId w:val="2"/>
        </w:numPr>
        <w:overflowPunct/>
        <w:autoSpaceDE/>
        <w:autoSpaceDN/>
        <w:adjustRightInd/>
        <w:spacing w:after="200" w:line="276" w:lineRule="auto"/>
        <w:ind w:left="1134"/>
        <w:contextualSpacing/>
        <w:jc w:val="left"/>
        <w:textAlignment w:val="auto"/>
        <w:rPr>
          <w:lang w:eastAsia="de-DE"/>
        </w:rPr>
      </w:pPr>
      <w:r w:rsidRPr="003772DB">
        <w:rPr>
          <w:lang w:eastAsia="de-DE"/>
        </w:rPr>
        <w:t>bis zum Jahr 2008 Schiffsbetriebsstoffe (schweres Heizöl) unter Anwendung des ADNR nicht als gefährliche Güter klassifiziert wurden.</w:t>
      </w:r>
    </w:p>
    <w:p w:rsidR="003772DB" w:rsidRPr="007A6D93" w:rsidRDefault="003772DB" w:rsidP="003772DB">
      <w:pPr>
        <w:widowControl/>
        <w:numPr>
          <w:ilvl w:val="1"/>
          <w:numId w:val="2"/>
        </w:numPr>
        <w:overflowPunct/>
        <w:autoSpaceDE/>
        <w:autoSpaceDN/>
        <w:adjustRightInd/>
        <w:spacing w:after="200" w:line="276" w:lineRule="auto"/>
        <w:ind w:left="1134"/>
        <w:contextualSpacing/>
        <w:jc w:val="left"/>
        <w:textAlignment w:val="auto"/>
        <w:rPr>
          <w:lang w:eastAsia="de-DE"/>
        </w:rPr>
      </w:pPr>
      <w:r w:rsidRPr="003772DB">
        <w:rPr>
          <w:lang w:eastAsia="de-DE"/>
        </w:rPr>
        <w:t>ab 2009 ölhaltige Schlämme, Gemische aus Öl, Wasser und Sedimenten (</w:t>
      </w:r>
      <w:proofErr w:type="spellStart"/>
      <w:r w:rsidRPr="003772DB">
        <w:rPr>
          <w:lang w:eastAsia="de-DE"/>
        </w:rPr>
        <w:t>Sludge</w:t>
      </w:r>
      <w:proofErr w:type="spellEnd"/>
      <w:r w:rsidRPr="003772DB">
        <w:rPr>
          <w:lang w:eastAsia="de-DE"/>
        </w:rPr>
        <w:t xml:space="preserve">), deren Entsorgung dem europäischen Abfallrecht unterliegt, uneinheitlich transportiert wurden als: UN 3256 (RÜCKSTANDSÖL), UN 3257 ERWÄRMTER FLÜSSIGER STOFF, N.A.G., UN 3082 UMWELTGEFÄHRDENDER STOFF, FLÜSSIG, N.A.G., UN 3082 UMWELTGEFÄHRDENDER STOFF, FLÜSSIG, N.A.G. (BILGENWASSER), UN 3082 UMWELTGEFÄHRDENDER STOFF, FLÜSSIG, N.A.G. (Schweres Heizöl), UN 9003 STOFFE MIT EINEM FLAMMPUNKT ÜBER 60°C UND HÖCHSTENS 100 °C, oder STOFFE MIT 60 </w:t>
      </w:r>
      <w:r w:rsidRPr="007A6D93">
        <w:rPr>
          <w:lang w:eastAsia="de-DE"/>
        </w:rPr>
        <w:t xml:space="preserve">°C &lt; </w:t>
      </w:r>
      <w:proofErr w:type="spellStart"/>
      <w:r w:rsidRPr="007A6D93">
        <w:rPr>
          <w:lang w:eastAsia="de-DE"/>
        </w:rPr>
        <w:t>Fp</w:t>
      </w:r>
      <w:proofErr w:type="spellEnd"/>
      <w:r w:rsidRPr="007A6D93">
        <w:rPr>
          <w:lang w:eastAsia="de-DE"/>
        </w:rPr>
        <w:t>. &lt; 100 °C, die nicht anderen Klassen zuzuordnen sind.</w:t>
      </w:r>
    </w:p>
    <w:p w:rsidR="003772DB" w:rsidRPr="007A6D93" w:rsidRDefault="003772DB" w:rsidP="003772DB">
      <w:pPr>
        <w:widowControl/>
        <w:numPr>
          <w:ilvl w:val="1"/>
          <w:numId w:val="2"/>
        </w:numPr>
        <w:overflowPunct/>
        <w:autoSpaceDE/>
        <w:autoSpaceDN/>
        <w:adjustRightInd/>
        <w:spacing w:after="200" w:line="276" w:lineRule="auto"/>
        <w:ind w:left="1134"/>
        <w:contextualSpacing/>
        <w:jc w:val="left"/>
        <w:textAlignment w:val="auto"/>
        <w:rPr>
          <w:lang w:eastAsia="de-DE"/>
        </w:rPr>
      </w:pPr>
      <w:r w:rsidRPr="007A6D93">
        <w:rPr>
          <w:lang w:eastAsia="de-DE"/>
        </w:rPr>
        <w:t>es sich bei dem zu transportierenden Gut (</w:t>
      </w:r>
      <w:proofErr w:type="spellStart"/>
      <w:r w:rsidRPr="007A6D93">
        <w:rPr>
          <w:lang w:eastAsia="de-DE"/>
        </w:rPr>
        <w:t>Sludge</w:t>
      </w:r>
      <w:proofErr w:type="spellEnd"/>
      <w:r w:rsidRPr="007A6D93">
        <w:rPr>
          <w:lang w:eastAsia="de-DE"/>
        </w:rPr>
        <w:t>) nicht um das ursprüngliche Produkt „Heizöl Schwer“ handelt, sondern um einen flüssigen, manchmal pastösen Abfall, der typischerweise aus physikalisch vorbehandeltem Mineralölbrennstoffen aus dem Seeschiffsbetrieb und Sedimentanteilen</w:t>
      </w:r>
      <w:r w:rsidR="00676ECD" w:rsidRPr="007A6D93">
        <w:rPr>
          <w:lang w:eastAsia="de-DE"/>
        </w:rPr>
        <w:t xml:space="preserve"> sowie geringeren Wasseranteilen</w:t>
      </w:r>
      <w:r w:rsidRPr="007A6D93">
        <w:rPr>
          <w:lang w:eastAsia="de-DE"/>
        </w:rPr>
        <w:t xml:space="preserve"> besteht. </w:t>
      </w:r>
    </w:p>
    <w:p w:rsidR="003772DB" w:rsidRPr="003772DB" w:rsidRDefault="003772DB" w:rsidP="003772DB">
      <w:pPr>
        <w:widowControl/>
        <w:numPr>
          <w:ilvl w:val="1"/>
          <w:numId w:val="2"/>
        </w:numPr>
        <w:overflowPunct/>
        <w:autoSpaceDE/>
        <w:autoSpaceDN/>
        <w:adjustRightInd/>
        <w:spacing w:after="200" w:line="276" w:lineRule="auto"/>
        <w:ind w:left="1134"/>
        <w:contextualSpacing/>
        <w:jc w:val="left"/>
        <w:textAlignment w:val="auto"/>
        <w:rPr>
          <w:lang w:eastAsia="de-DE"/>
        </w:rPr>
      </w:pPr>
      <w:r w:rsidRPr="003772DB">
        <w:rPr>
          <w:lang w:eastAsia="de-DE"/>
        </w:rPr>
        <w:t xml:space="preserve">die bei der Entsorgung von Seeschiffen anfallenden flüssigen ölhaltigen Abfälle </w:t>
      </w:r>
      <w:r w:rsidR="00676ECD" w:rsidRPr="007A6D93">
        <w:rPr>
          <w:lang w:eastAsia="de-DE"/>
        </w:rPr>
        <w:t>in</w:t>
      </w:r>
      <w:r w:rsidRPr="007A6D93">
        <w:rPr>
          <w:lang w:eastAsia="de-DE"/>
        </w:rPr>
        <w:t xml:space="preserve">stabile </w:t>
      </w:r>
      <w:r w:rsidRPr="003772DB">
        <w:rPr>
          <w:lang w:eastAsia="de-DE"/>
        </w:rPr>
        <w:t xml:space="preserve">Öl-Wassergemische mit sehr unterschiedlichen Zusammensetzungen sind, die dem </w:t>
      </w:r>
      <w:proofErr w:type="spellStart"/>
      <w:r w:rsidRPr="003772DB">
        <w:rPr>
          <w:lang w:eastAsia="de-DE"/>
        </w:rPr>
        <w:t>Einsammler</w:t>
      </w:r>
      <w:proofErr w:type="spellEnd"/>
      <w:r w:rsidRPr="003772DB">
        <w:rPr>
          <w:lang w:eastAsia="de-DE"/>
        </w:rPr>
        <w:t xml:space="preserve"> vorher nicht bekannt sind.</w:t>
      </w:r>
    </w:p>
    <w:p w:rsidR="003772DB" w:rsidRPr="003772DB" w:rsidRDefault="003772DB" w:rsidP="003772DB">
      <w:pPr>
        <w:widowControl/>
        <w:numPr>
          <w:ilvl w:val="1"/>
          <w:numId w:val="2"/>
        </w:numPr>
        <w:overflowPunct/>
        <w:autoSpaceDE/>
        <w:autoSpaceDN/>
        <w:adjustRightInd/>
        <w:spacing w:after="200" w:line="276" w:lineRule="auto"/>
        <w:ind w:left="1134"/>
        <w:contextualSpacing/>
        <w:jc w:val="left"/>
        <w:textAlignment w:val="auto"/>
        <w:rPr>
          <w:lang w:eastAsia="de-DE"/>
        </w:rPr>
      </w:pPr>
      <w:r w:rsidRPr="003772DB">
        <w:rPr>
          <w:lang w:eastAsia="de-DE"/>
        </w:rPr>
        <w:t xml:space="preserve">von den Seeschiffen eingesetzte Betriebsstoffe überall auf der Welt gebunkert werden und aufgrund der jeweiligen regionalen Eigenschaften des Brennstoffes andere Zusammensetzungen haben, die sich anteilmäßig z.T. im </w:t>
      </w:r>
      <w:proofErr w:type="spellStart"/>
      <w:r w:rsidRPr="003772DB">
        <w:rPr>
          <w:lang w:eastAsia="de-DE"/>
        </w:rPr>
        <w:t>Sludge</w:t>
      </w:r>
      <w:proofErr w:type="spellEnd"/>
      <w:r w:rsidRPr="003772DB">
        <w:rPr>
          <w:lang w:eastAsia="de-DE"/>
        </w:rPr>
        <w:t xml:space="preserve"> wiederfinden. </w:t>
      </w:r>
    </w:p>
    <w:p w:rsidR="003772DB" w:rsidRPr="003772DB" w:rsidRDefault="003772DB" w:rsidP="003772DB">
      <w:pPr>
        <w:widowControl/>
        <w:numPr>
          <w:ilvl w:val="1"/>
          <w:numId w:val="2"/>
        </w:numPr>
        <w:overflowPunct/>
        <w:autoSpaceDE/>
        <w:autoSpaceDN/>
        <w:adjustRightInd/>
        <w:spacing w:after="200" w:line="276" w:lineRule="auto"/>
        <w:ind w:left="1134"/>
        <w:contextualSpacing/>
        <w:jc w:val="left"/>
        <w:textAlignment w:val="auto"/>
        <w:rPr>
          <w:lang w:eastAsia="de-DE"/>
        </w:rPr>
      </w:pPr>
      <w:r w:rsidRPr="003772DB">
        <w:rPr>
          <w:lang w:eastAsia="de-DE"/>
        </w:rPr>
        <w:t xml:space="preserve">der </w:t>
      </w:r>
      <w:proofErr w:type="spellStart"/>
      <w:r w:rsidRPr="003772DB">
        <w:rPr>
          <w:lang w:eastAsia="de-DE"/>
        </w:rPr>
        <w:t>Ölanteil</w:t>
      </w:r>
      <w:proofErr w:type="spellEnd"/>
      <w:r w:rsidRPr="003772DB">
        <w:rPr>
          <w:lang w:eastAsia="de-DE"/>
        </w:rPr>
        <w:t xml:space="preserve"> die gef</w:t>
      </w:r>
      <w:r w:rsidR="00CB7948">
        <w:rPr>
          <w:lang w:eastAsia="de-DE"/>
        </w:rPr>
        <w:t>ahrendrohende Wirkung bestimmt.</w:t>
      </w:r>
    </w:p>
    <w:p w:rsidR="00DB178D" w:rsidRDefault="00DB178D" w:rsidP="00B041A6">
      <w:pPr>
        <w:tabs>
          <w:tab w:val="left" w:pos="567"/>
        </w:tabs>
        <w:spacing w:line="240" w:lineRule="atLeast"/>
        <w:ind w:left="0" w:firstLine="0"/>
        <w:rPr>
          <w:b/>
          <w:sz w:val="24"/>
          <w:szCs w:val="18"/>
        </w:rPr>
      </w:pPr>
    </w:p>
    <w:p w:rsidR="00B041A6" w:rsidRDefault="00B041A6" w:rsidP="00B041A6">
      <w:pPr>
        <w:tabs>
          <w:tab w:val="left" w:pos="567"/>
        </w:tabs>
        <w:spacing w:line="240" w:lineRule="atLeast"/>
        <w:ind w:left="0" w:firstLine="0"/>
        <w:rPr>
          <w:b/>
          <w:sz w:val="24"/>
          <w:szCs w:val="18"/>
        </w:rPr>
      </w:pPr>
      <w:r w:rsidRPr="00B041A6">
        <w:rPr>
          <w:b/>
          <w:sz w:val="24"/>
          <w:szCs w:val="18"/>
        </w:rPr>
        <w:t>II.</w:t>
      </w:r>
      <w:r w:rsidRPr="00B041A6">
        <w:rPr>
          <w:b/>
          <w:sz w:val="24"/>
          <w:szCs w:val="18"/>
        </w:rPr>
        <w:tab/>
        <w:t>Antr</w:t>
      </w:r>
      <w:r w:rsidR="00DA312C">
        <w:rPr>
          <w:b/>
          <w:sz w:val="24"/>
          <w:szCs w:val="18"/>
        </w:rPr>
        <w:t>ag</w:t>
      </w:r>
    </w:p>
    <w:p w:rsidR="00361725" w:rsidRDefault="00361725" w:rsidP="00B041A6">
      <w:pPr>
        <w:tabs>
          <w:tab w:val="left" w:pos="567"/>
        </w:tabs>
        <w:spacing w:line="240" w:lineRule="atLeast"/>
        <w:ind w:left="0" w:firstLine="0"/>
        <w:rPr>
          <w:b/>
          <w:sz w:val="24"/>
          <w:szCs w:val="18"/>
        </w:rPr>
      </w:pPr>
    </w:p>
    <w:p w:rsidR="00DD5F67" w:rsidRPr="00E51FF0" w:rsidRDefault="00DD5F67" w:rsidP="00ED74D1">
      <w:pPr>
        <w:widowControl/>
        <w:overflowPunct/>
        <w:autoSpaceDE/>
        <w:autoSpaceDN/>
        <w:adjustRightInd/>
        <w:spacing w:before="120" w:after="120"/>
        <w:ind w:left="0" w:firstLine="0"/>
        <w:jc w:val="left"/>
        <w:textAlignment w:val="auto"/>
        <w:rPr>
          <w:lang w:eastAsia="de-DE"/>
        </w:rPr>
      </w:pPr>
      <w:r w:rsidRPr="00E51FF0">
        <w:rPr>
          <w:lang w:eastAsia="de-DE"/>
        </w:rPr>
        <w:t>6.</w:t>
      </w:r>
      <w:r w:rsidRPr="00E51FF0">
        <w:rPr>
          <w:lang w:eastAsia="de-DE"/>
        </w:rPr>
        <w:tab/>
        <w:t>Der ADN-Sicherheitsausschuss könnte die folgenden Änderungsvorschläge zur weiteren Beratung in die informelle Arbeitsgruppe Stof</w:t>
      </w:r>
      <w:r w:rsidR="00DB3F4C" w:rsidRPr="00E51FF0">
        <w:rPr>
          <w:lang w:eastAsia="de-DE"/>
        </w:rPr>
        <w:t>fe verweisen</w:t>
      </w:r>
      <w:r w:rsidR="00147212" w:rsidRPr="00E51FF0">
        <w:rPr>
          <w:lang w:eastAsia="de-DE"/>
        </w:rPr>
        <w:t xml:space="preserve">. Für diese Beratung sollten die Verbände des Schifffahrtsgewerbes (EBU, ESO, ERSTU) gebeten werden, möglichst viele bei ihren Mitgliedern bekannte Informationen wie Analytik von </w:t>
      </w:r>
      <w:r w:rsidR="000D31FA">
        <w:rPr>
          <w:lang w:eastAsia="de-DE"/>
        </w:rPr>
        <w:t>Ölschlamm</w:t>
      </w:r>
      <w:r w:rsidR="00147212" w:rsidRPr="00E51FF0">
        <w:rPr>
          <w:lang w:eastAsia="de-DE"/>
        </w:rPr>
        <w:t xml:space="preserve"> (eventuell aus dem abfallrechtlichen Entsorgungsverfahren), Aufkommen, derzeit verwendete Schiffe</w:t>
      </w:r>
      <w:r w:rsidR="008816BF" w:rsidRPr="00E51FF0">
        <w:rPr>
          <w:lang w:eastAsia="de-DE"/>
        </w:rPr>
        <w:t xml:space="preserve"> </w:t>
      </w:r>
      <w:r w:rsidR="003C04F2" w:rsidRPr="00E51FF0">
        <w:rPr>
          <w:lang w:eastAsia="de-DE"/>
        </w:rPr>
        <w:t xml:space="preserve">etc. </w:t>
      </w:r>
      <w:r w:rsidR="008816BF" w:rsidRPr="00E51FF0">
        <w:rPr>
          <w:lang w:eastAsia="de-DE"/>
        </w:rPr>
        <w:t>beizutragen.</w:t>
      </w:r>
    </w:p>
    <w:p w:rsidR="00676ECD" w:rsidRPr="000D31FA" w:rsidRDefault="00DB3F4C" w:rsidP="00415714">
      <w:pPr>
        <w:widowControl/>
        <w:overflowPunct/>
        <w:autoSpaceDE/>
        <w:autoSpaceDN/>
        <w:adjustRightInd/>
        <w:spacing w:after="200" w:line="276" w:lineRule="auto"/>
        <w:jc w:val="left"/>
        <w:textAlignment w:val="auto"/>
        <w:rPr>
          <w:lang w:eastAsia="de-DE"/>
        </w:rPr>
      </w:pPr>
      <w:r w:rsidRPr="000D31FA">
        <w:rPr>
          <w:lang w:eastAsia="de-DE"/>
        </w:rPr>
        <w:t>a)</w:t>
      </w:r>
      <w:r w:rsidR="00B81A9E" w:rsidRPr="000D31FA">
        <w:rPr>
          <w:lang w:eastAsia="de-DE"/>
        </w:rPr>
        <w:tab/>
        <w:t>In Unterabschnitt 1.2.1 ADN eine neue Begriffsbestimmung einfügen:</w:t>
      </w:r>
    </w:p>
    <w:p w:rsidR="00B81A9E" w:rsidRPr="000D31FA" w:rsidRDefault="00B81A9E" w:rsidP="00B81A9E">
      <w:pPr>
        <w:widowControl/>
        <w:overflowPunct/>
        <w:autoSpaceDE/>
        <w:autoSpaceDN/>
        <w:adjustRightInd/>
        <w:spacing w:after="200" w:line="276" w:lineRule="auto"/>
        <w:ind w:firstLine="0"/>
        <w:jc w:val="left"/>
        <w:textAlignment w:val="auto"/>
        <w:rPr>
          <w:lang w:eastAsia="de-DE"/>
        </w:rPr>
      </w:pPr>
      <w:r w:rsidRPr="000D31FA">
        <w:rPr>
          <w:lang w:eastAsia="de-DE"/>
        </w:rPr>
        <w:t>„</w:t>
      </w:r>
      <w:r w:rsidR="002172D9" w:rsidRPr="000D31FA">
        <w:rPr>
          <w:b/>
          <w:i/>
        </w:rPr>
        <w:t>Ölschlamm</w:t>
      </w:r>
      <w:r w:rsidR="002172D9" w:rsidRPr="000D31FA">
        <w:rPr>
          <w:lang w:eastAsia="de-DE"/>
        </w:rPr>
        <w:t xml:space="preserve"> [</w:t>
      </w:r>
      <w:r w:rsidR="002A18FD" w:rsidRPr="000D31FA">
        <w:rPr>
          <w:lang w:eastAsia="de-DE"/>
        </w:rPr>
        <w:t xml:space="preserve">für die Übersetzung, </w:t>
      </w:r>
      <w:r w:rsidR="002172D9" w:rsidRPr="000D31FA">
        <w:rPr>
          <w:lang w:eastAsia="de-DE"/>
        </w:rPr>
        <w:t xml:space="preserve">englisch: </w:t>
      </w:r>
      <w:proofErr w:type="spellStart"/>
      <w:r w:rsidRPr="000D31FA">
        <w:rPr>
          <w:b/>
          <w:i/>
          <w:lang w:eastAsia="de-DE"/>
        </w:rPr>
        <w:t>Sludge</w:t>
      </w:r>
      <w:proofErr w:type="spellEnd"/>
      <w:r w:rsidR="002172D9" w:rsidRPr="000D31FA">
        <w:rPr>
          <w:b/>
          <w:i/>
          <w:lang w:eastAsia="de-DE"/>
        </w:rPr>
        <w:t>]</w:t>
      </w:r>
      <w:r w:rsidRPr="000D31FA">
        <w:rPr>
          <w:lang w:eastAsia="de-DE"/>
        </w:rPr>
        <w:t xml:space="preserve">: </w:t>
      </w:r>
      <w:r w:rsidR="002172D9" w:rsidRPr="000D31FA">
        <w:t xml:space="preserve">Restölprodukte, die während des normalen Schiffsbetriebs anfallen, z. B. </w:t>
      </w:r>
      <w:r w:rsidRPr="000D31FA">
        <w:rPr>
          <w:lang w:eastAsia="de-DE"/>
        </w:rPr>
        <w:t>Rückstände aus der Aufbereitung von Brennstoffen und Schmierölen</w:t>
      </w:r>
      <w:r w:rsidR="00D475FB" w:rsidRPr="000D31FA">
        <w:t xml:space="preserve"> für die Haupt- oder Hilfsantriebsanlage, getrennte Ölrückstände</w:t>
      </w:r>
      <w:r w:rsidR="00D475FB" w:rsidRPr="000D31FA">
        <w:rPr>
          <w:lang w:eastAsia="de-DE"/>
        </w:rPr>
        <w:t xml:space="preserve"> </w:t>
      </w:r>
      <w:r w:rsidRPr="000D31FA">
        <w:rPr>
          <w:lang w:eastAsia="de-DE"/>
        </w:rPr>
        <w:t xml:space="preserve">aus </w:t>
      </w:r>
      <w:r w:rsidR="00D475FB" w:rsidRPr="000D31FA">
        <w:rPr>
          <w:lang w:eastAsia="de-DE"/>
        </w:rPr>
        <w:t xml:space="preserve">den </w:t>
      </w:r>
      <w:r w:rsidRPr="000D31FA">
        <w:rPr>
          <w:lang w:eastAsia="de-DE"/>
        </w:rPr>
        <w:t>Ölfilteranlagen, in Auffangwannen aufgefangene Ölrückstände und Hydraulik- und Schmierölrückstände von Seeschiffen, auch vermischt mit Wasser“.</w:t>
      </w:r>
    </w:p>
    <w:p w:rsidR="002172D9" w:rsidRPr="000D31FA" w:rsidRDefault="002172D9" w:rsidP="00B81A9E">
      <w:pPr>
        <w:widowControl/>
        <w:overflowPunct/>
        <w:autoSpaceDE/>
        <w:autoSpaceDN/>
        <w:adjustRightInd/>
        <w:spacing w:after="200" w:line="276" w:lineRule="auto"/>
        <w:jc w:val="left"/>
        <w:textAlignment w:val="auto"/>
        <w:rPr>
          <w:lang w:eastAsia="de-DE"/>
        </w:rPr>
      </w:pPr>
    </w:p>
    <w:p w:rsidR="00B81A9E" w:rsidRPr="000D31FA" w:rsidRDefault="00DB3F4C" w:rsidP="00B81A9E">
      <w:pPr>
        <w:widowControl/>
        <w:overflowPunct/>
        <w:autoSpaceDE/>
        <w:autoSpaceDN/>
        <w:adjustRightInd/>
        <w:spacing w:after="200" w:line="276" w:lineRule="auto"/>
        <w:jc w:val="left"/>
        <w:textAlignment w:val="auto"/>
        <w:rPr>
          <w:lang w:eastAsia="de-DE"/>
        </w:rPr>
      </w:pPr>
      <w:r w:rsidRPr="000D31FA">
        <w:rPr>
          <w:lang w:eastAsia="de-DE"/>
        </w:rPr>
        <w:t>b)</w:t>
      </w:r>
      <w:r w:rsidR="00B81A9E" w:rsidRPr="000D31FA">
        <w:rPr>
          <w:lang w:eastAsia="de-DE"/>
        </w:rPr>
        <w:tab/>
        <w:t>In Unterabschnitt 1.2.1 ADN die Begriffsbestimmung für „Schiffs</w:t>
      </w:r>
      <w:r w:rsidR="00B36A36" w:rsidRPr="000D31FA">
        <w:rPr>
          <w:lang w:eastAsia="de-DE"/>
        </w:rPr>
        <w:t>betriebsabfälle, öl- und fetthaltige</w:t>
      </w:r>
      <w:r w:rsidR="00B81A9E" w:rsidRPr="000D31FA">
        <w:rPr>
          <w:lang w:eastAsia="de-DE"/>
        </w:rPr>
        <w:t>:</w:t>
      </w:r>
      <w:r w:rsidR="00B36A36" w:rsidRPr="000D31FA">
        <w:rPr>
          <w:lang w:eastAsia="de-DE"/>
        </w:rPr>
        <w:t>“ wie folgt ändern:</w:t>
      </w:r>
    </w:p>
    <w:p w:rsidR="00B36A36" w:rsidRPr="000D31FA" w:rsidRDefault="00B36A36" w:rsidP="00B36A36">
      <w:pPr>
        <w:widowControl/>
        <w:overflowPunct/>
        <w:autoSpaceDE/>
        <w:autoSpaceDN/>
        <w:adjustRightInd/>
        <w:spacing w:after="200" w:line="276" w:lineRule="auto"/>
        <w:ind w:firstLine="0"/>
        <w:jc w:val="left"/>
        <w:textAlignment w:val="auto"/>
        <w:rPr>
          <w:lang w:eastAsia="de-DE"/>
        </w:rPr>
      </w:pPr>
      <w:r w:rsidRPr="000D31FA">
        <w:rPr>
          <w:lang w:eastAsia="de-DE"/>
        </w:rPr>
        <w:t>Nach „</w:t>
      </w:r>
      <w:proofErr w:type="spellStart"/>
      <w:r w:rsidRPr="000D31FA">
        <w:rPr>
          <w:lang w:eastAsia="de-DE"/>
        </w:rPr>
        <w:t>Bilgenwasser</w:t>
      </w:r>
      <w:proofErr w:type="spellEnd"/>
      <w:r w:rsidRPr="000D31FA">
        <w:rPr>
          <w:lang w:eastAsia="de-DE"/>
        </w:rPr>
        <w:t xml:space="preserve">“ einfügen: </w:t>
      </w:r>
      <w:proofErr w:type="gramStart"/>
      <w:r w:rsidRPr="000D31FA">
        <w:rPr>
          <w:lang w:eastAsia="de-DE"/>
        </w:rPr>
        <w:t>„ ,</w:t>
      </w:r>
      <w:proofErr w:type="gramEnd"/>
      <w:r w:rsidRPr="000D31FA">
        <w:rPr>
          <w:lang w:eastAsia="de-DE"/>
        </w:rPr>
        <w:t xml:space="preserve"> </w:t>
      </w:r>
      <w:r w:rsidR="00D475FB" w:rsidRPr="000D31FA">
        <w:t>Ölschlamm</w:t>
      </w:r>
      <w:r w:rsidRPr="000D31FA">
        <w:rPr>
          <w:lang w:eastAsia="de-DE"/>
        </w:rPr>
        <w:t>“.</w:t>
      </w:r>
    </w:p>
    <w:p w:rsidR="00676ECD" w:rsidRPr="000D31FA" w:rsidRDefault="00DB3F4C" w:rsidP="00B36A36">
      <w:pPr>
        <w:widowControl/>
        <w:overflowPunct/>
        <w:autoSpaceDE/>
        <w:autoSpaceDN/>
        <w:adjustRightInd/>
        <w:spacing w:after="200" w:line="276" w:lineRule="auto"/>
        <w:jc w:val="left"/>
        <w:textAlignment w:val="auto"/>
        <w:rPr>
          <w:lang w:eastAsia="de-DE"/>
        </w:rPr>
      </w:pPr>
      <w:r w:rsidRPr="000D31FA">
        <w:rPr>
          <w:lang w:eastAsia="de-DE"/>
        </w:rPr>
        <w:t>c)</w:t>
      </w:r>
      <w:r w:rsidR="00676ECD" w:rsidRPr="000D31FA">
        <w:rPr>
          <w:lang w:eastAsia="de-DE"/>
        </w:rPr>
        <w:t xml:space="preserve"> </w:t>
      </w:r>
      <w:r w:rsidR="00676ECD" w:rsidRPr="000D31FA">
        <w:rPr>
          <w:lang w:eastAsia="de-DE"/>
        </w:rPr>
        <w:tab/>
      </w:r>
      <w:r w:rsidR="00B36A36" w:rsidRPr="000D31FA">
        <w:rPr>
          <w:lang w:eastAsia="de-DE"/>
        </w:rPr>
        <w:t>In Unterabschnitt 3.2.3.2 ADN,</w:t>
      </w:r>
      <w:r w:rsidR="00676ECD" w:rsidRPr="000D31FA">
        <w:rPr>
          <w:lang w:eastAsia="de-DE"/>
        </w:rPr>
        <w:t xml:space="preserve"> Tabelle C </w:t>
      </w:r>
      <w:r w:rsidR="00B0252B" w:rsidRPr="000D31FA">
        <w:rPr>
          <w:lang w:eastAsia="de-DE"/>
        </w:rPr>
        <w:t>den</w:t>
      </w:r>
      <w:r w:rsidR="00676ECD" w:rsidRPr="000D31FA">
        <w:rPr>
          <w:lang w:eastAsia="de-DE"/>
        </w:rPr>
        <w:t xml:space="preserve"> </w:t>
      </w:r>
      <w:r w:rsidR="00B0252B" w:rsidRPr="000D31FA">
        <w:rPr>
          <w:lang w:eastAsia="de-DE"/>
        </w:rPr>
        <w:t xml:space="preserve">auf der letzten Seite </w:t>
      </w:r>
      <w:proofErr w:type="gramStart"/>
      <w:r w:rsidR="00B0252B" w:rsidRPr="000D31FA">
        <w:rPr>
          <w:lang w:eastAsia="de-DE"/>
        </w:rPr>
        <w:t>diese Dokument</w:t>
      </w:r>
      <w:r w:rsidR="003C04F2" w:rsidRPr="000D31FA">
        <w:rPr>
          <w:lang w:eastAsia="de-DE"/>
        </w:rPr>
        <w:t>e</w:t>
      </w:r>
      <w:r w:rsidR="00B0252B" w:rsidRPr="000D31FA">
        <w:rPr>
          <w:lang w:eastAsia="de-DE"/>
        </w:rPr>
        <w:t>s</w:t>
      </w:r>
      <w:proofErr w:type="gramEnd"/>
      <w:r w:rsidR="00B0252B" w:rsidRPr="000D31FA">
        <w:rPr>
          <w:lang w:eastAsia="de-DE"/>
        </w:rPr>
        <w:t xml:space="preserve"> wiedergegebenen Eintrag</w:t>
      </w:r>
      <w:r w:rsidR="00676ECD" w:rsidRPr="000D31FA">
        <w:rPr>
          <w:lang w:eastAsia="de-DE"/>
        </w:rPr>
        <w:t xml:space="preserve"> </w:t>
      </w:r>
      <w:r w:rsidR="00B36A36" w:rsidRPr="000D31FA">
        <w:rPr>
          <w:lang w:eastAsia="de-DE"/>
        </w:rPr>
        <w:t>einfügen</w:t>
      </w:r>
      <w:r w:rsidR="00B0252B" w:rsidRPr="000D31FA">
        <w:rPr>
          <w:lang w:eastAsia="de-DE"/>
        </w:rPr>
        <w:t>.</w:t>
      </w:r>
    </w:p>
    <w:p w:rsidR="00676ECD" w:rsidRPr="000D31FA" w:rsidRDefault="00DB3F4C" w:rsidP="00DD5F67">
      <w:pPr>
        <w:widowControl/>
        <w:overflowPunct/>
        <w:autoSpaceDE/>
        <w:autoSpaceDN/>
        <w:adjustRightInd/>
        <w:spacing w:after="200" w:line="276" w:lineRule="auto"/>
        <w:jc w:val="left"/>
        <w:textAlignment w:val="auto"/>
        <w:rPr>
          <w:lang w:eastAsia="de-DE"/>
        </w:rPr>
      </w:pPr>
      <w:r w:rsidRPr="000D31FA">
        <w:rPr>
          <w:lang w:eastAsia="de-DE"/>
        </w:rPr>
        <w:lastRenderedPageBreak/>
        <w:t>d)</w:t>
      </w:r>
      <w:r w:rsidR="00DD5F67" w:rsidRPr="000D31FA">
        <w:rPr>
          <w:lang w:eastAsia="de-DE"/>
        </w:rPr>
        <w:tab/>
        <w:t>Es wird festgestellt, dass d</w:t>
      </w:r>
      <w:r w:rsidR="00676ECD" w:rsidRPr="000D31FA">
        <w:rPr>
          <w:lang w:eastAsia="de-DE"/>
        </w:rPr>
        <w:t xml:space="preserve">ie Übergangsbestimmung in Abschnitt 1.6.7.4.1. ADN, 2. Satz, auch für </w:t>
      </w:r>
      <w:r w:rsidR="00DD5F67" w:rsidRPr="000D31FA">
        <w:rPr>
          <w:lang w:eastAsia="de-DE"/>
        </w:rPr>
        <w:t xml:space="preserve">die Beförderung von </w:t>
      </w:r>
      <w:r w:rsidR="00D475FB" w:rsidRPr="000D31FA">
        <w:rPr>
          <w:b/>
          <w:i/>
        </w:rPr>
        <w:t>Ölrückständen (Ölschlamm)</w:t>
      </w:r>
      <w:r w:rsidR="00D475FB" w:rsidRPr="000D31FA">
        <w:rPr>
          <w:lang w:eastAsia="de-DE"/>
        </w:rPr>
        <w:t xml:space="preserve"> </w:t>
      </w:r>
      <w:r w:rsidR="00DD5F67" w:rsidRPr="000D31FA">
        <w:rPr>
          <w:lang w:eastAsia="de-DE"/>
        </w:rPr>
        <w:t>gilt</w:t>
      </w:r>
      <w:r w:rsidR="00066ABD" w:rsidRPr="000D31FA">
        <w:rPr>
          <w:lang w:eastAsia="de-DE"/>
        </w:rPr>
        <w:t xml:space="preserve"> (Beförderung in </w:t>
      </w:r>
      <w:proofErr w:type="spellStart"/>
      <w:r w:rsidR="00066ABD" w:rsidRPr="000D31FA">
        <w:rPr>
          <w:lang w:eastAsia="de-DE"/>
        </w:rPr>
        <w:t>Bilgenentölungsboote</w:t>
      </w:r>
      <w:proofErr w:type="spellEnd"/>
      <w:r w:rsidR="00F10E67" w:rsidRPr="000D31FA">
        <w:rPr>
          <w:lang w:eastAsia="de-DE"/>
        </w:rPr>
        <w:br/>
      </w:r>
      <w:r w:rsidR="00066ABD" w:rsidRPr="000D31FA">
        <w:rPr>
          <w:lang w:eastAsia="de-DE"/>
        </w:rPr>
        <w:t xml:space="preserve">&lt; 300 Tonnen Tragfähigkeit bis zum 31.12.2038, wenn </w:t>
      </w:r>
      <w:r w:rsidR="00F01471" w:rsidRPr="000D31FA">
        <w:t>diese</w:t>
      </w:r>
      <w:r w:rsidR="00D475FB" w:rsidRPr="000D31FA">
        <w:rPr>
          <w:lang w:eastAsia="de-DE"/>
        </w:rPr>
        <w:t xml:space="preserve"> </w:t>
      </w:r>
      <w:r w:rsidR="00066ABD" w:rsidRPr="000D31FA">
        <w:rPr>
          <w:lang w:eastAsia="de-DE"/>
        </w:rPr>
        <w:t>bereits unter einem am 31.12.2008 in der Schiffsstoffliste enthaltenen Eintrag befördert wurde</w:t>
      </w:r>
      <w:r w:rsidR="00BE7943" w:rsidRPr="000D31FA">
        <w:rPr>
          <w:lang w:eastAsia="de-DE"/>
        </w:rPr>
        <w:t>n.</w:t>
      </w:r>
    </w:p>
    <w:p w:rsidR="006E7759" w:rsidRDefault="006E7759" w:rsidP="006E7759">
      <w:pPr>
        <w:pStyle w:val="CommentText"/>
        <w:spacing w:line="240" w:lineRule="atLeast"/>
        <w:contextualSpacing/>
      </w:pPr>
    </w:p>
    <w:p w:rsidR="00B041A6" w:rsidRPr="00B041A6" w:rsidRDefault="0004134B" w:rsidP="00B041A6">
      <w:pPr>
        <w:tabs>
          <w:tab w:val="left" w:pos="567"/>
        </w:tabs>
        <w:spacing w:line="240" w:lineRule="atLeast"/>
        <w:contextualSpacing/>
        <w:rPr>
          <w:b/>
          <w:sz w:val="28"/>
          <w:szCs w:val="18"/>
        </w:rPr>
      </w:pPr>
      <w:r>
        <w:rPr>
          <w:b/>
          <w:sz w:val="28"/>
          <w:szCs w:val="18"/>
        </w:rPr>
        <w:t>III</w:t>
      </w:r>
      <w:r w:rsidR="00B041A6" w:rsidRPr="00B041A6">
        <w:rPr>
          <w:b/>
          <w:sz w:val="28"/>
          <w:szCs w:val="18"/>
        </w:rPr>
        <w:t>.</w:t>
      </w:r>
      <w:r w:rsidR="00B041A6" w:rsidRPr="00B041A6">
        <w:rPr>
          <w:b/>
          <w:sz w:val="28"/>
          <w:szCs w:val="18"/>
        </w:rPr>
        <w:tab/>
      </w:r>
      <w:r w:rsidR="004A0752">
        <w:rPr>
          <w:b/>
          <w:sz w:val="28"/>
          <w:szCs w:val="18"/>
        </w:rPr>
        <w:t>Begründung</w:t>
      </w:r>
    </w:p>
    <w:p w:rsidR="00B041A6" w:rsidRPr="00DB3F4C" w:rsidRDefault="00B041A6" w:rsidP="00DB3F4C">
      <w:pPr>
        <w:pStyle w:val="CommentText"/>
        <w:spacing w:line="240" w:lineRule="atLeast"/>
        <w:contextualSpacing/>
      </w:pPr>
    </w:p>
    <w:p w:rsidR="00DB3F4C" w:rsidRPr="000D31FA" w:rsidRDefault="008816BF" w:rsidP="00DB3F4C">
      <w:pPr>
        <w:widowControl/>
        <w:overflowPunct/>
        <w:autoSpaceDE/>
        <w:autoSpaceDN/>
        <w:adjustRightInd/>
        <w:spacing w:after="200" w:line="276" w:lineRule="auto"/>
        <w:ind w:left="0" w:firstLine="0"/>
        <w:jc w:val="left"/>
        <w:textAlignment w:val="auto"/>
        <w:rPr>
          <w:lang w:eastAsia="de-DE"/>
        </w:rPr>
      </w:pPr>
      <w:r w:rsidRPr="000D31FA">
        <w:rPr>
          <w:lang w:eastAsia="de-DE"/>
        </w:rPr>
        <w:t>7.</w:t>
      </w:r>
      <w:r w:rsidRPr="000D31FA">
        <w:rPr>
          <w:lang w:eastAsia="de-DE"/>
        </w:rPr>
        <w:tab/>
      </w:r>
      <w:r w:rsidR="00DB3F4C" w:rsidRPr="000D31FA">
        <w:rPr>
          <w:lang w:eastAsia="de-DE"/>
        </w:rPr>
        <w:t xml:space="preserve">Der Bedarf, </w:t>
      </w:r>
      <w:r w:rsidR="00BE7943" w:rsidRPr="000D31FA">
        <w:t>Ölrückstände (Ölschlamm)</w:t>
      </w:r>
      <w:r w:rsidR="00BE7943" w:rsidRPr="000D31FA">
        <w:rPr>
          <w:lang w:eastAsia="de-DE"/>
        </w:rPr>
        <w:t xml:space="preserve">, englisch </w:t>
      </w:r>
      <w:proofErr w:type="spellStart"/>
      <w:r w:rsidR="00DB3F4C" w:rsidRPr="000D31FA">
        <w:rPr>
          <w:lang w:eastAsia="de-DE"/>
        </w:rPr>
        <w:t>Sludge</w:t>
      </w:r>
      <w:proofErr w:type="spellEnd"/>
      <w:r w:rsidR="00BE7943" w:rsidRPr="000D31FA">
        <w:rPr>
          <w:lang w:eastAsia="de-DE"/>
        </w:rPr>
        <w:t>,</w:t>
      </w:r>
      <w:r w:rsidR="00DB3F4C" w:rsidRPr="000D31FA">
        <w:rPr>
          <w:lang w:eastAsia="de-DE"/>
        </w:rPr>
        <w:t xml:space="preserve"> im Sinne des MARPOL-Übereinkommens </w:t>
      </w:r>
      <w:r w:rsidR="00BE7943" w:rsidRPr="000D31FA">
        <w:rPr>
          <w:lang w:eastAsia="de-DE"/>
        </w:rPr>
        <w:t xml:space="preserve">Anlage I, Regel 1, Absatz 31, </w:t>
      </w:r>
      <w:r w:rsidR="00DB3F4C" w:rsidRPr="000D31FA">
        <w:rPr>
          <w:lang w:eastAsia="de-DE"/>
        </w:rPr>
        <w:t>in Binnenschiffen zu befördern ist objektiv gegeben. Bisher enthält Tabelle C jedoch keinen namentlichen oder von</w:t>
      </w:r>
      <w:r w:rsidR="00B61B41" w:rsidRPr="000D31FA">
        <w:rPr>
          <w:lang w:eastAsia="de-DE"/>
        </w:rPr>
        <w:t xml:space="preserve"> der Beschreibung und</w:t>
      </w:r>
      <w:r w:rsidR="00DB3F4C" w:rsidRPr="000D31FA">
        <w:rPr>
          <w:lang w:eastAsia="de-DE"/>
        </w:rPr>
        <w:t xml:space="preserve"> den Gefahren her passenden </w:t>
      </w:r>
      <w:proofErr w:type="gramStart"/>
      <w:r w:rsidR="00DB3F4C" w:rsidRPr="000D31FA">
        <w:rPr>
          <w:lang w:eastAsia="de-DE"/>
        </w:rPr>
        <w:t>N:A.G.</w:t>
      </w:r>
      <w:proofErr w:type="gramEnd"/>
      <w:r w:rsidR="00DB3F4C" w:rsidRPr="000D31FA">
        <w:rPr>
          <w:lang w:eastAsia="de-DE"/>
        </w:rPr>
        <w:t>-Eintrag für dieses Gut.</w:t>
      </w:r>
    </w:p>
    <w:p w:rsidR="00DB3F4C" w:rsidRPr="000D31FA" w:rsidRDefault="008816BF" w:rsidP="00147212">
      <w:pPr>
        <w:widowControl/>
        <w:overflowPunct/>
        <w:autoSpaceDE/>
        <w:autoSpaceDN/>
        <w:adjustRightInd/>
        <w:spacing w:after="200" w:line="276" w:lineRule="auto"/>
        <w:ind w:left="0" w:firstLine="0"/>
        <w:jc w:val="left"/>
        <w:textAlignment w:val="auto"/>
        <w:rPr>
          <w:lang w:eastAsia="de-DE"/>
        </w:rPr>
      </w:pPr>
      <w:r w:rsidRPr="000D31FA">
        <w:rPr>
          <w:lang w:eastAsia="de-DE"/>
        </w:rPr>
        <w:t>8.</w:t>
      </w:r>
      <w:r w:rsidRPr="000D31FA">
        <w:rPr>
          <w:lang w:eastAsia="de-DE"/>
        </w:rPr>
        <w:tab/>
      </w:r>
      <w:r w:rsidR="00147212" w:rsidRPr="000D31FA">
        <w:rPr>
          <w:lang w:eastAsia="de-DE"/>
        </w:rPr>
        <w:t>In Tankschiffen dürfen nur Stoffe befördert werden, die in Tabelle C enthalten sind.</w:t>
      </w:r>
      <w:r w:rsidRPr="000D31FA">
        <w:rPr>
          <w:lang w:eastAsia="de-DE"/>
        </w:rPr>
        <w:t xml:space="preserve"> Weil ein objektiver Beförderungsbedarf </w:t>
      </w:r>
      <w:r w:rsidR="00B61B41" w:rsidRPr="000D31FA">
        <w:rPr>
          <w:lang w:eastAsia="de-DE"/>
        </w:rPr>
        <w:t xml:space="preserve">in Abhängigkeit von den Regelungen der Seeschifffahrt </w:t>
      </w:r>
      <w:r w:rsidRPr="000D31FA">
        <w:rPr>
          <w:lang w:eastAsia="de-DE"/>
        </w:rPr>
        <w:t>gegeben ist, ist eine Ergänzung der Tabelle C erforderlich.</w:t>
      </w:r>
    </w:p>
    <w:p w:rsidR="00DD5F67" w:rsidRPr="00B61B41" w:rsidRDefault="008816BF" w:rsidP="008816BF">
      <w:pPr>
        <w:widowControl/>
        <w:overflowPunct/>
        <w:autoSpaceDE/>
        <w:autoSpaceDN/>
        <w:adjustRightInd/>
        <w:spacing w:after="200" w:line="276" w:lineRule="auto"/>
        <w:ind w:left="0" w:firstLine="0"/>
        <w:jc w:val="left"/>
        <w:textAlignment w:val="auto"/>
        <w:rPr>
          <w:lang w:eastAsia="de-DE"/>
        </w:rPr>
      </w:pPr>
      <w:r w:rsidRPr="00B61B41">
        <w:rPr>
          <w:lang w:eastAsia="de-DE"/>
        </w:rPr>
        <w:t>9.</w:t>
      </w:r>
      <w:r w:rsidRPr="00B61B41">
        <w:rPr>
          <w:lang w:eastAsia="de-DE"/>
        </w:rPr>
        <w:tab/>
      </w:r>
      <w:r w:rsidR="00DD5F67" w:rsidRPr="00B61B41">
        <w:rPr>
          <w:lang w:eastAsia="de-DE"/>
        </w:rPr>
        <w:t xml:space="preserve">Die zu erwartenden Gefahren des </w:t>
      </w:r>
      <w:r w:rsidR="00BE7943">
        <w:rPr>
          <w:lang w:eastAsia="de-DE"/>
        </w:rPr>
        <w:t>wasserhaltigen ölbasierten</w:t>
      </w:r>
      <w:r w:rsidR="00DD5F67" w:rsidRPr="00B61B41">
        <w:rPr>
          <w:lang w:eastAsia="de-DE"/>
        </w:rPr>
        <w:t xml:space="preserve"> Gemisches werden überwiegend vom darin vorhandenen Anteil des Ölschlamms aus der physikalischen Aufbereitung von normiertem Schiffsbrennstoff (Schweröl, englisch Heavy Fuel </w:t>
      </w:r>
      <w:proofErr w:type="spellStart"/>
      <w:r w:rsidR="00DD5F67" w:rsidRPr="00B61B41">
        <w:rPr>
          <w:lang w:eastAsia="de-DE"/>
        </w:rPr>
        <w:t>Oil</w:t>
      </w:r>
      <w:proofErr w:type="spellEnd"/>
      <w:r w:rsidR="00DD5F67" w:rsidRPr="00B61B41">
        <w:rPr>
          <w:lang w:eastAsia="de-DE"/>
        </w:rPr>
        <w:t xml:space="preserve">, (HFO) oder Marine (Residual) Fuel </w:t>
      </w:r>
      <w:proofErr w:type="spellStart"/>
      <w:r w:rsidR="00DD5F67" w:rsidRPr="00B61B41">
        <w:rPr>
          <w:lang w:eastAsia="de-DE"/>
        </w:rPr>
        <w:t>Oil</w:t>
      </w:r>
      <w:proofErr w:type="spellEnd"/>
      <w:r w:rsidR="00DD5F67" w:rsidRPr="00B61B41">
        <w:rPr>
          <w:lang w:eastAsia="de-DE"/>
        </w:rPr>
        <w:t xml:space="preserve"> (MFO); US-Bezeichnung Bunker C) bestimmt. Das Gemisch vorher oder bei der Übernahme gem. 2.4.3 ADN auf seine Bestandteile zu prüfen, ist in der Praxis wegen der kurzen Liegezeiten von Seeschiffen in Häfen, dem nicht Vorhandensein von aktuellen Sicherheitsdatenblättern sowie dem homogenen Aussehen des Gemisches nicht möglich. Aufgrund des mehrheitlich vorhandenen Schwerölanteils im </w:t>
      </w:r>
      <w:r w:rsidR="00BE7943" w:rsidRPr="00BE7943">
        <w:rPr>
          <w:color w:val="0070C0"/>
        </w:rPr>
        <w:t>Ölschlamm</w:t>
      </w:r>
      <w:r w:rsidR="00BE7943" w:rsidRPr="00B61B41">
        <w:rPr>
          <w:lang w:eastAsia="de-DE"/>
        </w:rPr>
        <w:t xml:space="preserve"> </w:t>
      </w:r>
      <w:r w:rsidR="00DD5F67" w:rsidRPr="00B61B41">
        <w:rPr>
          <w:lang w:eastAsia="de-DE"/>
        </w:rPr>
        <w:t>ist zu erwarten, dass dieser Abfall durchweg eine vergleichbare akute oder chronische aquatische Giftigkeit 1 (N1) bzw. CMR-Eigenschaften der Kat. 1A oder 1B gem. Kap. 3.5, 3.6 und 3.7 des GHS besitzt.</w:t>
      </w:r>
    </w:p>
    <w:p w:rsidR="00DD5F67" w:rsidRPr="00B61B41" w:rsidRDefault="00DD5F67" w:rsidP="008816BF">
      <w:pPr>
        <w:widowControl/>
        <w:overflowPunct/>
        <w:autoSpaceDE/>
        <w:autoSpaceDN/>
        <w:adjustRightInd/>
        <w:spacing w:after="200" w:line="276" w:lineRule="auto"/>
        <w:ind w:left="0" w:firstLine="0"/>
        <w:jc w:val="left"/>
        <w:textAlignment w:val="auto"/>
        <w:rPr>
          <w:lang w:eastAsia="de-DE"/>
        </w:rPr>
      </w:pPr>
      <w:r w:rsidRPr="00B61B41">
        <w:rPr>
          <w:lang w:eastAsia="de-DE"/>
        </w:rPr>
        <w:t xml:space="preserve">Die relative Dichte von Schweröl mit Sedimentanteilen liegt nicht einheitlich unter 1,0. Die Eigenschaften </w:t>
      </w:r>
      <w:proofErr w:type="spellStart"/>
      <w:r w:rsidRPr="00B61B41">
        <w:rPr>
          <w:lang w:eastAsia="de-DE"/>
        </w:rPr>
        <w:t>Floater</w:t>
      </w:r>
      <w:proofErr w:type="spellEnd"/>
      <w:r w:rsidRPr="00B61B41">
        <w:rPr>
          <w:lang w:eastAsia="de-DE"/>
        </w:rPr>
        <w:t xml:space="preserve"> oder </w:t>
      </w:r>
      <w:proofErr w:type="spellStart"/>
      <w:r w:rsidRPr="00B61B41">
        <w:rPr>
          <w:lang w:eastAsia="de-DE"/>
        </w:rPr>
        <w:t>Sinker</w:t>
      </w:r>
      <w:proofErr w:type="spellEnd"/>
      <w:r w:rsidRPr="00B61B41">
        <w:rPr>
          <w:lang w:eastAsia="de-DE"/>
        </w:rPr>
        <w:t xml:space="preserve"> sind im Einzelfall zu prüfen; es kann angenommen werden, dass die </w:t>
      </w:r>
      <w:proofErr w:type="spellStart"/>
      <w:r w:rsidRPr="00B61B41">
        <w:rPr>
          <w:lang w:eastAsia="de-DE"/>
        </w:rPr>
        <w:t>Ölphase</w:t>
      </w:r>
      <w:proofErr w:type="spellEnd"/>
      <w:r w:rsidRPr="00B61B41">
        <w:rPr>
          <w:lang w:eastAsia="de-DE"/>
        </w:rPr>
        <w:t xml:space="preserve"> des Gemisches vorherrschend kleiner 1,0 sein wird.</w:t>
      </w:r>
    </w:p>
    <w:p w:rsidR="00DD5F67" w:rsidRPr="000D31FA" w:rsidRDefault="00DD5F67" w:rsidP="008816BF">
      <w:pPr>
        <w:widowControl/>
        <w:overflowPunct/>
        <w:autoSpaceDE/>
        <w:autoSpaceDN/>
        <w:adjustRightInd/>
        <w:spacing w:after="200" w:line="276" w:lineRule="auto"/>
        <w:ind w:left="0" w:firstLine="0"/>
        <w:jc w:val="left"/>
        <w:textAlignment w:val="auto"/>
        <w:rPr>
          <w:lang w:eastAsia="de-DE"/>
        </w:rPr>
      </w:pPr>
      <w:r w:rsidRPr="000D31FA">
        <w:rPr>
          <w:lang w:eastAsia="de-DE"/>
        </w:rPr>
        <w:t>Die</w:t>
      </w:r>
      <w:r w:rsidR="00B61B41" w:rsidRPr="000D31FA">
        <w:rPr>
          <w:lang w:eastAsia="de-DE"/>
        </w:rPr>
        <w:t xml:space="preserve"> vorgeschlagenen</w:t>
      </w:r>
      <w:r w:rsidRPr="000D31FA">
        <w:rPr>
          <w:lang w:eastAsia="de-DE"/>
        </w:rPr>
        <w:t xml:space="preserve"> Eintragungen in den Spalten (3a) bis (20) in der Tabelle C entsprechen den Einträgen für UN 3082 (Schweres Heizöl).</w:t>
      </w:r>
    </w:p>
    <w:p w:rsidR="00B041A6" w:rsidRPr="000D31FA" w:rsidRDefault="008816BF" w:rsidP="008816BF">
      <w:pPr>
        <w:widowControl/>
        <w:overflowPunct/>
        <w:autoSpaceDE/>
        <w:autoSpaceDN/>
        <w:adjustRightInd/>
        <w:spacing w:after="200" w:line="276" w:lineRule="auto"/>
        <w:ind w:left="0" w:firstLine="0"/>
        <w:jc w:val="left"/>
        <w:textAlignment w:val="auto"/>
        <w:rPr>
          <w:lang w:eastAsia="de-DE"/>
        </w:rPr>
      </w:pPr>
      <w:r w:rsidRPr="000D31FA">
        <w:rPr>
          <w:lang w:eastAsia="de-DE"/>
        </w:rPr>
        <w:t>10.</w:t>
      </w:r>
      <w:r w:rsidRPr="000D31FA">
        <w:rPr>
          <w:lang w:eastAsia="de-DE"/>
        </w:rPr>
        <w:tab/>
        <w:t>Die Daten- und Erkenntnislage zu „</w:t>
      </w:r>
      <w:r w:rsidR="002A18FD" w:rsidRPr="000D31FA">
        <w:t>Ölschlamm</w:t>
      </w:r>
      <w:r w:rsidRPr="000D31FA">
        <w:rPr>
          <w:lang w:eastAsia="de-DE"/>
        </w:rPr>
        <w:t>“ ist noch zu dünn, um eine abschließende Entscheidung zu treffen. Deswegen erscheint eine weitere Beratung in der informellen Arbeitsgruppe Stoffe erforderlich, die aber ohne weitergehende Beiträge des Schifffahrtsgewerbes und technischer</w:t>
      </w:r>
      <w:r w:rsidR="00066ABD" w:rsidRPr="000D31FA">
        <w:rPr>
          <w:lang w:eastAsia="de-DE"/>
        </w:rPr>
        <w:t>/umweltbezogener Fachbehörden nicht möglich ist.</w:t>
      </w:r>
    </w:p>
    <w:p w:rsidR="00066ABD" w:rsidRPr="000D31FA" w:rsidRDefault="00066ABD" w:rsidP="008816BF">
      <w:pPr>
        <w:widowControl/>
        <w:overflowPunct/>
        <w:autoSpaceDE/>
        <w:autoSpaceDN/>
        <w:adjustRightInd/>
        <w:spacing w:after="200" w:line="276" w:lineRule="auto"/>
        <w:ind w:left="0" w:firstLine="0"/>
        <w:jc w:val="left"/>
        <w:textAlignment w:val="auto"/>
        <w:rPr>
          <w:lang w:eastAsia="de-DE"/>
        </w:rPr>
      </w:pPr>
      <w:r w:rsidRPr="000D31FA">
        <w:rPr>
          <w:lang w:eastAsia="de-DE"/>
        </w:rPr>
        <w:t>11.</w:t>
      </w:r>
      <w:r w:rsidRPr="000D31FA">
        <w:rPr>
          <w:lang w:eastAsia="de-DE"/>
        </w:rPr>
        <w:tab/>
        <w:t>Der Vorschlag für einen neuen Eintrag in Tabelle C ist deshalb sehr konservativ ausgerichtet.</w:t>
      </w:r>
    </w:p>
    <w:p w:rsidR="00361725" w:rsidRPr="00B041A6" w:rsidRDefault="00361725" w:rsidP="00B041A6">
      <w:pPr>
        <w:tabs>
          <w:tab w:val="left" w:pos="1418"/>
        </w:tabs>
        <w:spacing w:line="240" w:lineRule="atLeast"/>
        <w:contextualSpacing/>
        <w:rPr>
          <w:rFonts w:cs="Arial"/>
        </w:rPr>
      </w:pPr>
    </w:p>
    <w:p w:rsidR="00FC032F" w:rsidRDefault="00FC032F" w:rsidP="00B041A6">
      <w:pPr>
        <w:tabs>
          <w:tab w:val="left" w:pos="567"/>
          <w:tab w:val="left" w:pos="1418"/>
        </w:tabs>
        <w:spacing w:line="240" w:lineRule="atLeast"/>
        <w:ind w:left="0" w:firstLine="0"/>
        <w:contextualSpacing/>
      </w:pPr>
    </w:p>
    <w:p w:rsidR="00DD5F67" w:rsidRDefault="00DD5F67" w:rsidP="003D3605">
      <w:pPr>
        <w:tabs>
          <w:tab w:val="left" w:pos="567"/>
          <w:tab w:val="left" w:pos="1418"/>
        </w:tabs>
        <w:spacing w:line="240" w:lineRule="atLeast"/>
        <w:ind w:left="0" w:firstLine="0"/>
        <w:contextualSpacing/>
        <w:sectPr w:rsidR="00DD5F67" w:rsidSect="00B0252B">
          <w:headerReference w:type="even" r:id="rId9"/>
          <w:headerReference w:type="default" r:id="rId10"/>
          <w:footerReference w:type="default" r:id="rId11"/>
          <w:headerReference w:type="first" r:id="rId12"/>
          <w:pgSz w:w="11906" w:h="16838"/>
          <w:pgMar w:top="1701" w:right="1418" w:bottom="1134" w:left="1418" w:header="709" w:footer="709" w:gutter="0"/>
          <w:cols w:space="708"/>
          <w:titlePg/>
          <w:docGrid w:linePitch="360"/>
        </w:sectPr>
      </w:pPr>
    </w:p>
    <w:p w:rsidR="003D3605" w:rsidRDefault="003D3605" w:rsidP="003D3605">
      <w:pPr>
        <w:tabs>
          <w:tab w:val="left" w:pos="567"/>
          <w:tab w:val="left" w:pos="1418"/>
        </w:tabs>
        <w:spacing w:line="240" w:lineRule="atLeast"/>
        <w:ind w:left="0" w:firstLine="0"/>
        <w:contextualSpacing/>
      </w:pPr>
    </w:p>
    <w:p w:rsidR="00827382" w:rsidRPr="000D31FA" w:rsidRDefault="00827382" w:rsidP="003D3605">
      <w:pPr>
        <w:tabs>
          <w:tab w:val="left" w:pos="567"/>
          <w:tab w:val="left" w:pos="1418"/>
        </w:tabs>
        <w:spacing w:line="240" w:lineRule="atLeast"/>
        <w:ind w:left="0" w:firstLine="0"/>
        <w:contextualSpacing/>
      </w:pPr>
      <w:r w:rsidRPr="000D31FA">
        <w:t>12. Vorschlag für Tabelle C:</w:t>
      </w:r>
    </w:p>
    <w:p w:rsidR="00827382" w:rsidRDefault="00827382" w:rsidP="003D3605">
      <w:pPr>
        <w:tabs>
          <w:tab w:val="left" w:pos="567"/>
          <w:tab w:val="left" w:pos="1418"/>
        </w:tabs>
        <w:spacing w:line="240" w:lineRule="atLeast"/>
        <w:ind w:left="0" w:firstLine="0"/>
        <w:contextualSpacing/>
      </w:pPr>
    </w:p>
    <w:tbl>
      <w:tblPr>
        <w:tblW w:w="506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64"/>
        <w:gridCol w:w="3677"/>
        <w:gridCol w:w="516"/>
        <w:gridCol w:w="508"/>
        <w:gridCol w:w="379"/>
        <w:gridCol w:w="1561"/>
        <w:gridCol w:w="379"/>
        <w:gridCol w:w="379"/>
        <w:gridCol w:w="379"/>
        <w:gridCol w:w="379"/>
        <w:gridCol w:w="490"/>
        <w:gridCol w:w="490"/>
        <w:gridCol w:w="490"/>
        <w:gridCol w:w="490"/>
        <w:gridCol w:w="490"/>
        <w:gridCol w:w="490"/>
        <w:gridCol w:w="490"/>
        <w:gridCol w:w="534"/>
        <w:gridCol w:w="490"/>
        <w:gridCol w:w="490"/>
        <w:gridCol w:w="490"/>
      </w:tblGrid>
      <w:tr w:rsidR="00DD5F67" w:rsidRPr="00B0252B" w:rsidTr="008A0175">
        <w:trPr>
          <w:cantSplit/>
          <w:trHeight w:val="173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2F8D4F6B" wp14:editId="5B2C8B98">
                  <wp:extent cx="209550" cy="790575"/>
                  <wp:effectExtent l="0" t="0" r="0" b="9525"/>
                  <wp:docPr id="22" name="Grafik 22" descr="http://www.umwelt-online.de/regelwerk/gefahr.gut/adn/tk_un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welt-online.de/regelwerk/gefahr.gut/adn/tk_unnr.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790575"/>
                          </a:xfrm>
                          <a:prstGeom prst="rect">
                            <a:avLst/>
                          </a:prstGeom>
                          <a:noFill/>
                          <a:ln>
                            <a:noFill/>
                          </a:ln>
                        </pic:spPr>
                      </pic:pic>
                    </a:graphicData>
                  </a:graphic>
                </wp:inline>
              </w:drawing>
            </w:r>
          </w:p>
        </w:tc>
        <w:tc>
          <w:tcPr>
            <w:tcW w:w="1299" w:type="pct"/>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szCs w:val="16"/>
              </w:rPr>
            </w:pPr>
            <w:r w:rsidRPr="00B0252B">
              <w:rPr>
                <w:rFonts w:ascii="Century Gothic" w:hAnsi="Century Gothic"/>
                <w:noProof/>
                <w:lang w:val="en-GB" w:eastAsia="en-GB"/>
              </w:rPr>
              <w:drawing>
                <wp:inline distT="0" distB="0" distL="0" distR="0" wp14:anchorId="56F42A3F" wp14:editId="70059F88">
                  <wp:extent cx="1352550" cy="133350"/>
                  <wp:effectExtent l="0" t="0" r="0" b="0"/>
                  <wp:docPr id="21" name="Grafik 21" descr="http://www.umwelt-online.de/regelwerk/gefahr.gut/adn/tk_benen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welt-online.de/regelwerk/gefahr.gut/adn/tk_benennu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1333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22C60CC9" wp14:editId="22E52F8C">
                  <wp:extent cx="104775" cy="333375"/>
                  <wp:effectExtent l="0" t="0" r="9525" b="9525"/>
                  <wp:docPr id="20" name="Grafik 20" descr="http://www.umwelt-online.de/regelwerk/gefahr.gut/adn/tk_kla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welt-online.de/regelwerk/gefahr.gut/adn/tk_klass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3333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4D5DCDFF" wp14:editId="22B49C0F">
                  <wp:extent cx="190500" cy="704850"/>
                  <wp:effectExtent l="0" t="0" r="0" b="0"/>
                  <wp:docPr id="19" name="Grafik 19" descr="http://www.umwelt-online.de/regelwerk/gefahr.gut/adn/tk_klassifizierungs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welt-online.de/regelwerk/gefahr.gut/adn/tk_klassifizierungscod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7048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05D3BEEC" wp14:editId="2750248D">
                  <wp:extent cx="104775" cy="857250"/>
                  <wp:effectExtent l="0" t="0" r="9525" b="0"/>
                  <wp:docPr id="18" name="Grafik 18" descr="http://www.umwelt-online.de/regelwerk/gefahr.gut/adn/tk_verp_g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welt-online.de/regelwerk/gefahr.gut/adn/tk_verp_g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 cy="857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extDirection w:val="tbRl"/>
            <w:vAlign w:val="center"/>
            <w:hideMark/>
          </w:tcPr>
          <w:p w:rsidR="00DD5F67" w:rsidRPr="00B0252B" w:rsidRDefault="00DD5F67" w:rsidP="008A0175">
            <w:pPr>
              <w:ind w:left="113" w:right="113"/>
              <w:jc w:val="center"/>
              <w:rPr>
                <w:rFonts w:ascii="Century Gothic" w:hAnsi="Century Gothic"/>
              </w:rPr>
            </w:pPr>
            <w:r w:rsidRPr="00B0252B">
              <w:rPr>
                <w:rFonts w:ascii="Century Gothic" w:hAnsi="Century Gothic"/>
                <w:noProof/>
                <w:lang w:val="en-GB" w:eastAsia="en-GB"/>
              </w:rPr>
              <w:drawing>
                <wp:inline distT="0" distB="0" distL="0" distR="0" wp14:anchorId="4896ED45" wp14:editId="611944CF">
                  <wp:extent cx="95250" cy="419100"/>
                  <wp:effectExtent l="171450" t="0" r="152400" b="0"/>
                  <wp:docPr id="17" name="Grafik 17" descr="http://www.umwelt-online.de/regelwerk/gefahr.gut/adn/tk_gefah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welt-online.de/regelwerk/gefahr.gut/adn/tk_gefahren.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6200000">
                            <a:off x="0" y="0"/>
                            <a:ext cx="95250" cy="419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2171A3C0" wp14:editId="1FA3BB78">
                  <wp:extent cx="95250" cy="609600"/>
                  <wp:effectExtent l="0" t="0" r="0" b="0"/>
                  <wp:docPr id="16" name="Grafik 16" descr="http://www.umwelt-online.de/regelwerk/gefahr.gut/adn/tk_tankschiffs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welt-online.de/regelwerk/gefahr.gut/adn/tk_tankschiffstyp.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 cy="609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675B9F57" wp14:editId="40FCC803">
                  <wp:extent cx="123825" cy="742950"/>
                  <wp:effectExtent l="0" t="0" r="9525" b="0"/>
                  <wp:docPr id="15" name="Grafik 15" descr="http://www.umwelt-online.de/regelwerk/gefahr.gut/adn/tk_ladetankzust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welt-online.de/regelwerk/gefahr.gut/adn/tk_ladetankzustand.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7429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3C91FB26" wp14:editId="475CB566">
                  <wp:extent cx="104775" cy="552450"/>
                  <wp:effectExtent l="0" t="0" r="9525" b="0"/>
                  <wp:docPr id="14" name="Grafik 14" descr="http://www.umwelt-online.de/regelwerk/gefahr.gut/adn/tk_ladetank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welt-online.de/regelwerk/gefahr.gut/adn/tk_ladetanktyp.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75" cy="5524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4AA7E6AA" wp14:editId="2648F515">
                  <wp:extent cx="114300" cy="857250"/>
                  <wp:effectExtent l="0" t="0" r="0" b="0"/>
                  <wp:docPr id="13" name="Grafik 13" descr="http://www.umwelt-online.de/regelwerk/gefahr.gut/adn/tk_ladetankausru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welt-online.de/regelwerk/gefahr.gut/adn/tk_ladetankausruest.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857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57EEDAA1" wp14:editId="01462E94">
                  <wp:extent cx="228600" cy="885825"/>
                  <wp:effectExtent l="0" t="0" r="0" b="9525"/>
                  <wp:docPr id="12" name="Grafik 12" descr="http://www.umwelt-online.de/regelwerk/gefahr.gut/adn/tk_oeffnungs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welt-online.de/regelwerk/gefahr.gut/adn/tk_oeffnungsd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8858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7C75A04E" wp14:editId="4793C78C">
                  <wp:extent cx="200025" cy="685800"/>
                  <wp:effectExtent l="0" t="0" r="9525" b="0"/>
                  <wp:docPr id="11" name="Grafik 11" descr="http://www.umwelt-online.de/regelwerk/gefahr.gut/adn/tk_fuellgr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welt-online.de/regelwerk/gefahr.gut/adn/tk_fuellgrad.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0025" cy="685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0B5B2ACB" wp14:editId="4385548F">
                  <wp:extent cx="123825" cy="1057275"/>
                  <wp:effectExtent l="0" t="0" r="9525" b="9525"/>
                  <wp:docPr id="10" name="Grafik 10" descr="http://www.umwelt-online.de/regelwerk/gefahr.gut/adn/tk_dich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welt-online.de/regelwerk/gefahr.gut/adn/tk_dichte.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10572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6D09CF3C" wp14:editId="2C60101B">
                  <wp:extent cx="190500" cy="714375"/>
                  <wp:effectExtent l="0" t="0" r="0" b="9525"/>
                  <wp:docPr id="9" name="Grafik 9" descr="http://www.umwelt-online.de/regelwerk/gefahr.gut/adn/tk_probenah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welt-online.de/regelwerk/gefahr.gut/adn/tk_probenahme.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7143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7C56B771" wp14:editId="25C86FE0">
                  <wp:extent cx="171450" cy="771525"/>
                  <wp:effectExtent l="0" t="0" r="0" b="9525"/>
                  <wp:docPr id="7" name="Grafik 7" descr="http://www.umwelt-online.de/regelwerk/gefahr.gut/adn/tk_pumpenra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welt-online.de/regelwerk/gefahr.gut/adn/tk_pumpenraum.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450" cy="7715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1578A797" wp14:editId="50C1FCB5">
                  <wp:extent cx="123825" cy="771525"/>
                  <wp:effectExtent l="0" t="0" r="9525" b="9525"/>
                  <wp:docPr id="6" name="Grafik 6" descr="http://www.umwelt-online.de/regelwerk/gefahr.gut/adn/tk_tempkla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welt-online.de/regelwerk/gefahr.gut/adn/tk_tempklasse.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3D089614" wp14:editId="0D724D71">
                  <wp:extent cx="104775" cy="752475"/>
                  <wp:effectExtent l="0" t="0" r="9525" b="9525"/>
                  <wp:docPr id="5" name="Grafik 5" descr="http://www.umwelt-online.de/regelwerk/gefahr.gut/adn/tk_explgrup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welt-online.de/regelwerk/gefahr.gut/adn/tk_explgruppe.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7511A929" wp14:editId="4193842D">
                  <wp:extent cx="200025" cy="733425"/>
                  <wp:effectExtent l="0" t="0" r="9525" b="9525"/>
                  <wp:docPr id="4" name="Grafik 4" descr="http://www.umwelt-online.de/regelwerk/gefahr.gut/adn/tk_exschut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welt-online.de/regelwerk/gefahr.gut/adn/tk_exschutz.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0025" cy="7334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53429CF8" wp14:editId="3D8CC224">
                  <wp:extent cx="228600" cy="523875"/>
                  <wp:effectExtent l="0" t="0" r="0" b="9525"/>
                  <wp:docPr id="3" name="Grafik 3" descr="http://www.umwelt-online.de/regelwerk/gefahr.gut/adn/tk_ausruest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welt-online.de/regelwerk/gefahr.gut/adn/tk_ausruestung.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5238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5C00B612" wp14:editId="2255A5F6">
                  <wp:extent cx="104775" cy="1028700"/>
                  <wp:effectExtent l="0" t="0" r="9525" b="0"/>
                  <wp:docPr id="2" name="Grafik 2" descr="http://www.umwelt-online.de/regelwerk/gefahr.gut/adn/tk_anz_keg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welt-online.de/regelwerk/gefahr.gut/adn/tk_anz_kegel.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10287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noProof/>
                <w:lang w:val="en-GB" w:eastAsia="en-GB"/>
              </w:rPr>
              <w:drawing>
                <wp:inline distT="0" distB="0" distL="0" distR="0" wp14:anchorId="4ACC848A" wp14:editId="2305887D">
                  <wp:extent cx="190500" cy="942975"/>
                  <wp:effectExtent l="0" t="0" r="0" b="9525"/>
                  <wp:docPr id="8" name="Grafik 8" descr="http://www.umwelt-online.de/regelwerk/gefahr.gut/adn/tk_zus_anf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welt-online.de/regelwerk/gefahr.gut/adn/tk_zus_anforder.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942975"/>
                          </a:xfrm>
                          <a:prstGeom prst="rect">
                            <a:avLst/>
                          </a:prstGeom>
                          <a:noFill/>
                          <a:ln>
                            <a:noFill/>
                          </a:ln>
                        </pic:spPr>
                      </pic:pic>
                    </a:graphicData>
                  </a:graphic>
                </wp:inline>
              </w:drawing>
            </w:r>
          </w:p>
        </w:tc>
      </w:tr>
      <w:tr w:rsidR="00DD5F67" w:rsidRPr="00B0252B" w:rsidTr="008A017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w:t>
            </w:r>
          </w:p>
        </w:tc>
        <w:tc>
          <w:tcPr>
            <w:tcW w:w="1299" w:type="pct"/>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(3a)</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(3c)</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w:t>
            </w:r>
            <w:r w:rsidRPr="00B0252B">
              <w:rPr>
                <w:rFonts w:ascii="Century Gothic" w:hAnsi="Century Gothic"/>
                <w:lang w:val="en-US"/>
              </w:rPr>
              <w:t>1</w:t>
            </w:r>
            <w:r w:rsidRPr="00B0252B">
              <w:rPr>
                <w:rFonts w:ascii="Century Gothic" w:hAnsi="Century Gothic"/>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jc w:val="center"/>
              <w:rPr>
                <w:rFonts w:ascii="Century Gothic" w:hAnsi="Century Gothic"/>
              </w:rPr>
            </w:pPr>
            <w:r w:rsidRPr="00B0252B">
              <w:rPr>
                <w:rFonts w:ascii="Century Gothic" w:hAnsi="Century Gothic"/>
              </w:rPr>
              <w:t>(20)</w:t>
            </w:r>
          </w:p>
        </w:tc>
      </w:tr>
      <w:tr w:rsidR="00DD5F67" w:rsidRPr="00B0252B" w:rsidTr="008A0175">
        <w:trPr>
          <w:trHeight w:val="766"/>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bookmarkStart w:id="1" w:name="nr3082a"/>
            <w:r w:rsidRPr="00B0252B">
              <w:rPr>
                <w:rFonts w:ascii="Century Gothic" w:hAnsi="Century Gothic"/>
              </w:rPr>
              <w:t>3082</w:t>
            </w:r>
            <w:bookmarkEnd w:id="1"/>
          </w:p>
        </w:tc>
        <w:tc>
          <w:tcPr>
            <w:tcW w:w="1299" w:type="pct"/>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F01471">
            <w:pPr>
              <w:ind w:left="0" w:firstLine="0"/>
              <w:jc w:val="left"/>
              <w:rPr>
                <w:rFonts w:ascii="Century Gothic" w:hAnsi="Century Gothic"/>
              </w:rPr>
            </w:pPr>
            <w:r w:rsidRPr="00B0252B">
              <w:rPr>
                <w:rFonts w:ascii="Century Gothic" w:hAnsi="Century Gothic"/>
              </w:rPr>
              <w:t>UMWELTGEFÄHRDENDER STOFF, FLÜSSIG, N.A.G. (</w:t>
            </w:r>
            <w:r w:rsidR="002A18FD">
              <w:rPr>
                <w:rFonts w:ascii="Century Gothic" w:hAnsi="Century Gothic"/>
              </w:rPr>
              <w:t>Ölschlamm</w:t>
            </w:r>
            <w:r w:rsidRPr="00B0252B">
              <w:rPr>
                <w:rFonts w:ascii="Century Gothic" w:hAnsi="Century Gothic"/>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M6</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III</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BC3D86" w:rsidP="00D81FA9">
            <w:pPr>
              <w:ind w:left="0" w:firstLine="0"/>
              <w:jc w:val="left"/>
              <w:rPr>
                <w:rFonts w:ascii="Century Gothic" w:hAnsi="Century Gothic"/>
                <w:lang w:val="en-US"/>
              </w:rPr>
            </w:pPr>
            <w:r>
              <w:rPr>
                <w:rFonts w:ascii="Century Gothic" w:hAnsi="Century Gothic"/>
                <w:lang w:val="en-US"/>
              </w:rPr>
              <w:t xml:space="preserve">9 + CMR (N1, N2, </w:t>
            </w:r>
            <w:r w:rsidR="00DD5F67" w:rsidRPr="00B0252B">
              <w:rPr>
                <w:rFonts w:ascii="Century Gothic" w:hAnsi="Century Gothic"/>
                <w:lang w:val="en-US"/>
              </w:rPr>
              <w:t xml:space="preserve">F </w:t>
            </w:r>
            <w:proofErr w:type="spellStart"/>
            <w:r w:rsidR="00DD5F67" w:rsidRPr="00B0252B">
              <w:rPr>
                <w:rFonts w:ascii="Century Gothic" w:hAnsi="Century Gothic"/>
                <w:lang w:val="en-US"/>
              </w:rPr>
              <w:t>oder</w:t>
            </w:r>
            <w:proofErr w:type="spellEnd"/>
            <w:r w:rsidR="00DD5F67" w:rsidRPr="00B0252B">
              <w:rPr>
                <w:rFonts w:ascii="Century Gothic" w:hAnsi="Century Gothic"/>
                <w:lang w:val="en-US"/>
              </w:rPr>
              <w:t xml:space="preserve"> S</w:t>
            </w:r>
            <w:r w:rsidR="00F01471">
              <w:rPr>
                <w:rFonts w:ascii="Century Gothic" w:hAnsi="Century Gothic"/>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ja</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nein</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PP</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r w:rsidRPr="00B0252B">
              <w:rPr>
                <w:rFonts w:ascii="Century Gothic" w:hAnsi="Century Gothic"/>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D5F67" w:rsidRPr="00B0252B" w:rsidRDefault="00DD5F67" w:rsidP="008A0175">
            <w:pPr>
              <w:rPr>
                <w:rFonts w:ascii="Century Gothic" w:hAnsi="Century Gothic"/>
              </w:rPr>
            </w:pPr>
          </w:p>
        </w:tc>
      </w:tr>
    </w:tbl>
    <w:p w:rsidR="00DD5F67" w:rsidRPr="00EA7A70" w:rsidRDefault="00DD5F67" w:rsidP="003D3605">
      <w:pPr>
        <w:tabs>
          <w:tab w:val="left" w:pos="567"/>
          <w:tab w:val="left" w:pos="1418"/>
        </w:tabs>
        <w:spacing w:line="240" w:lineRule="atLeast"/>
        <w:ind w:left="0" w:firstLine="0"/>
        <w:contextualSpacing/>
      </w:pPr>
    </w:p>
    <w:p w:rsidR="00751575" w:rsidRPr="00B041A6" w:rsidRDefault="00B041A6" w:rsidP="003D3605">
      <w:pPr>
        <w:tabs>
          <w:tab w:val="left" w:pos="567"/>
          <w:tab w:val="left" w:pos="1418"/>
        </w:tabs>
        <w:spacing w:line="240" w:lineRule="atLeast"/>
        <w:ind w:left="0" w:firstLine="0"/>
        <w:contextualSpacing/>
        <w:jc w:val="center"/>
      </w:pPr>
      <w:r w:rsidRPr="00B041A6">
        <w:t>***</w:t>
      </w:r>
    </w:p>
    <w:sectPr w:rsidR="00751575" w:rsidRPr="00B041A6" w:rsidSect="00DD5F67">
      <w:pgSz w:w="16838" w:h="11906" w:orient="landscape"/>
      <w:pgMar w:top="1418" w:right="170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6A" w:rsidRDefault="00D4056A" w:rsidP="0011702A">
      <w:r>
        <w:separator/>
      </w:r>
    </w:p>
  </w:endnote>
  <w:endnote w:type="continuationSeparator" w:id="0">
    <w:p w:rsidR="00D4056A" w:rsidRDefault="00D4056A"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B041A6" w:rsidRDefault="00D4056A" w:rsidP="00B041A6">
    <w:pPr>
      <w:widowControl/>
      <w:suppressAutoHyphens/>
      <w:overflowPunct/>
      <w:autoSpaceDE/>
      <w:autoSpaceDN/>
      <w:adjustRightInd/>
      <w:ind w:left="0" w:firstLine="0"/>
      <w:jc w:val="right"/>
      <w:textAlignment w:val="auto"/>
      <w:rPr>
        <w:rFonts w:ascii="Arial" w:hAnsi="Arial"/>
        <w:noProof/>
        <w:snapToGrid w:val="0"/>
        <w:sz w:val="1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6A" w:rsidRDefault="00D4056A" w:rsidP="0011702A">
      <w:r>
        <w:separator/>
      </w:r>
    </w:p>
  </w:footnote>
  <w:footnote w:type="continuationSeparator" w:id="0">
    <w:p w:rsidR="00D4056A" w:rsidRDefault="00D4056A" w:rsidP="0011702A">
      <w:r>
        <w:continuationSeparator/>
      </w:r>
    </w:p>
  </w:footnote>
  <w:footnote w:id="1">
    <w:p w:rsidR="00D4056A" w:rsidRPr="00B041A6" w:rsidRDefault="00D4056A" w:rsidP="00B041A6">
      <w:pPr>
        <w:pStyle w:val="FootnoteText"/>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Von der UN-ECE in Englisch, Französisch und Russisch unter dem Aktenzeichen ECE/TRANS/WP.15/AC.2/2017/</w:t>
      </w:r>
      <w:r>
        <w:rPr>
          <w:sz w:val="16"/>
          <w:szCs w:val="16"/>
        </w:rPr>
        <w:t>31</w:t>
      </w:r>
      <w:r w:rsidRPr="00B041A6">
        <w:rPr>
          <w:sz w:val="16"/>
          <w:szCs w:val="16"/>
        </w:rPr>
        <w:t xml:space="preserve"> verteilt.</w:t>
      </w:r>
    </w:p>
  </w:footnote>
  <w:footnote w:id="2">
    <w:p w:rsidR="00D4056A" w:rsidRPr="00B041A6" w:rsidRDefault="00D4056A" w:rsidP="00B041A6">
      <w:pPr>
        <w:pStyle w:val="FootnoteText"/>
        <w:tabs>
          <w:tab w:val="left" w:pos="284"/>
        </w:tabs>
        <w:ind w:left="284" w:hanging="284"/>
        <w:rPr>
          <w:sz w:val="16"/>
          <w:szCs w:val="16"/>
        </w:rPr>
      </w:pPr>
      <w:r w:rsidRPr="00B041A6">
        <w:rPr>
          <w:rStyle w:val="FootnoteReference"/>
          <w:sz w:val="16"/>
          <w:szCs w:val="16"/>
        </w:rPr>
        <w:footnoteRef/>
      </w:r>
      <w:r w:rsidRPr="00B041A6">
        <w:rPr>
          <w:sz w:val="16"/>
          <w:szCs w:val="16"/>
        </w:rPr>
        <w:t xml:space="preserve"> </w:t>
      </w:r>
      <w:r w:rsidRPr="00B041A6">
        <w:rPr>
          <w:sz w:val="16"/>
          <w:szCs w:val="16"/>
        </w:rPr>
        <w:tab/>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B041A6" w:rsidRDefault="00D4056A" w:rsidP="00B041A6">
    <w:pPr>
      <w:widowControl/>
      <w:suppressAutoHyphens/>
      <w:overflowPunct/>
      <w:autoSpaceDE/>
      <w:autoSpaceDN/>
      <w:adjustRightInd/>
      <w:ind w:left="0" w:firstLine="0"/>
      <w:jc w:val="left"/>
      <w:textAlignment w:val="auto"/>
      <w:rPr>
        <w:rFonts w:ascii="Arial" w:hAnsi="Arial"/>
        <w:snapToGrid w:val="0"/>
        <w:sz w:val="16"/>
        <w:szCs w:val="16"/>
        <w:lang w:val="en-US"/>
      </w:rPr>
    </w:pPr>
    <w:r w:rsidRPr="00B041A6">
      <w:rPr>
        <w:rFonts w:ascii="Arial" w:hAnsi="Arial"/>
        <w:snapToGrid w:val="0"/>
        <w:sz w:val="16"/>
        <w:szCs w:val="16"/>
        <w:lang w:val="en-US"/>
      </w:rPr>
      <w:t>CCNR-ZKR/ADN/WP.15/AC.2/</w:t>
    </w:r>
    <w:r w:rsidR="0011545F">
      <w:rPr>
        <w:rFonts w:ascii="Arial" w:hAnsi="Arial"/>
        <w:snapToGrid w:val="0"/>
        <w:sz w:val="16"/>
        <w:szCs w:val="16"/>
        <w:lang w:val="en-US"/>
      </w:rPr>
      <w:t>2018</w:t>
    </w:r>
    <w:r w:rsidRPr="00B041A6">
      <w:rPr>
        <w:rFonts w:ascii="Arial" w:hAnsi="Arial"/>
        <w:snapToGrid w:val="0"/>
        <w:sz w:val="16"/>
        <w:szCs w:val="16"/>
        <w:lang w:val="en-US"/>
      </w:rPr>
      <w:t>/</w:t>
    </w:r>
    <w:r w:rsidR="00C21E33">
      <w:rPr>
        <w:rFonts w:ascii="Arial" w:hAnsi="Arial"/>
        <w:snapToGrid w:val="0"/>
        <w:sz w:val="16"/>
        <w:szCs w:val="16"/>
        <w:lang w:val="en-US"/>
      </w:rPr>
      <w:t>INF.00_v2</w:t>
    </w:r>
  </w:p>
  <w:p w:rsidR="00D4056A" w:rsidRPr="00B041A6" w:rsidRDefault="00D4056A" w:rsidP="00B041A6">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B041A6">
      <w:rPr>
        <w:rFonts w:ascii="Arial" w:hAnsi="Arial"/>
        <w:snapToGrid w:val="0"/>
        <w:sz w:val="16"/>
        <w:szCs w:val="16"/>
        <w:lang w:val="en-GB"/>
      </w:rPr>
      <w:t>Seite</w:t>
    </w:r>
    <w:proofErr w:type="spellEnd"/>
    <w:r w:rsidRPr="00B041A6">
      <w:rPr>
        <w:rFonts w:ascii="Arial" w:hAnsi="Arial"/>
        <w:snapToGrid w:val="0"/>
        <w:sz w:val="16"/>
        <w:szCs w:val="16"/>
        <w:lang w:val="en-GB"/>
      </w:rPr>
      <w:t xml:space="preserv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4B5771" w:rsidRPr="004B5771">
      <w:rPr>
        <w:rFonts w:ascii="Arial" w:hAnsi="Arial"/>
        <w:noProof/>
        <w:snapToGrid w:val="0"/>
        <w:sz w:val="16"/>
        <w:szCs w:val="16"/>
      </w:rPr>
      <w:t>2</w:t>
    </w:r>
    <w:r w:rsidRPr="00B041A6">
      <w:rPr>
        <w:rFonts w:ascii="Arial" w:hAnsi="Arial"/>
        <w:snapToGrid w:val="0"/>
        <w:sz w:val="16"/>
        <w:szCs w:val="16"/>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6A" w:rsidRPr="00B041A6" w:rsidRDefault="00D4056A" w:rsidP="00B041A6">
    <w:pPr>
      <w:widowControl/>
      <w:suppressAutoHyphens/>
      <w:overflowPunct/>
      <w:autoSpaceDE/>
      <w:autoSpaceDN/>
      <w:adjustRightInd/>
      <w:ind w:left="0" w:firstLine="0"/>
      <w:jc w:val="right"/>
      <w:textAlignment w:val="auto"/>
      <w:rPr>
        <w:rFonts w:ascii="Arial" w:hAnsi="Arial"/>
        <w:snapToGrid w:val="0"/>
        <w:sz w:val="16"/>
        <w:szCs w:val="16"/>
        <w:lang w:val="en-US"/>
      </w:rPr>
    </w:pPr>
    <w:r w:rsidRPr="00B041A6">
      <w:rPr>
        <w:rFonts w:ascii="Arial" w:hAnsi="Arial"/>
        <w:snapToGrid w:val="0"/>
        <w:sz w:val="16"/>
        <w:szCs w:val="16"/>
        <w:lang w:val="en-US"/>
      </w:rPr>
      <w:t>CCNR-ZKR/ADN/WP.15/AC.2/20</w:t>
    </w:r>
    <w:r w:rsidR="00827382">
      <w:rPr>
        <w:rFonts w:ascii="Arial" w:hAnsi="Arial"/>
        <w:snapToGrid w:val="0"/>
        <w:sz w:val="16"/>
        <w:szCs w:val="16"/>
        <w:lang w:val="en-US"/>
      </w:rPr>
      <w:t>18/</w:t>
    </w:r>
    <w:r w:rsidR="00C21E33">
      <w:rPr>
        <w:rFonts w:ascii="Arial" w:hAnsi="Arial"/>
        <w:snapToGrid w:val="0"/>
        <w:sz w:val="16"/>
        <w:szCs w:val="16"/>
        <w:lang w:val="en-US"/>
      </w:rPr>
      <w:t>INF.00_v2</w:t>
    </w:r>
  </w:p>
  <w:p w:rsidR="00D4056A" w:rsidRPr="00B041A6" w:rsidRDefault="00D4056A" w:rsidP="00B041A6">
    <w:pPr>
      <w:widowControl/>
      <w:suppressAutoHyphens/>
      <w:overflowPunct/>
      <w:autoSpaceDE/>
      <w:autoSpaceDN/>
      <w:adjustRightInd/>
      <w:ind w:left="0" w:firstLine="0"/>
      <w:jc w:val="right"/>
      <w:textAlignment w:val="auto"/>
      <w:rPr>
        <w:rFonts w:ascii="Arial" w:hAnsi="Arial"/>
        <w:snapToGrid w:val="0"/>
        <w:sz w:val="16"/>
        <w:szCs w:val="16"/>
      </w:rPr>
    </w:pPr>
    <w:proofErr w:type="spellStart"/>
    <w:r w:rsidRPr="00B041A6">
      <w:rPr>
        <w:rFonts w:ascii="Arial" w:hAnsi="Arial"/>
        <w:snapToGrid w:val="0"/>
        <w:sz w:val="16"/>
        <w:szCs w:val="16"/>
        <w:lang w:val="en-GB"/>
      </w:rPr>
      <w:t>Seite</w:t>
    </w:r>
    <w:proofErr w:type="spellEnd"/>
    <w:r w:rsidRPr="00B041A6">
      <w:rPr>
        <w:rFonts w:ascii="Arial" w:hAnsi="Arial"/>
        <w:snapToGrid w:val="0"/>
        <w:sz w:val="16"/>
        <w:szCs w:val="16"/>
        <w:lang w:val="en-GB"/>
      </w:rPr>
      <w:t xml:space="preserve"> </w:t>
    </w:r>
    <w:r w:rsidRPr="00B041A6">
      <w:rPr>
        <w:rFonts w:ascii="Arial" w:hAnsi="Arial"/>
        <w:snapToGrid w:val="0"/>
        <w:sz w:val="16"/>
        <w:szCs w:val="16"/>
        <w:lang w:val="en-GB"/>
      </w:rPr>
      <w:fldChar w:fldCharType="begin"/>
    </w:r>
    <w:r w:rsidRPr="00B041A6">
      <w:rPr>
        <w:rFonts w:ascii="Arial" w:hAnsi="Arial"/>
        <w:snapToGrid w:val="0"/>
        <w:sz w:val="16"/>
        <w:szCs w:val="16"/>
        <w:lang w:val="en-GB"/>
      </w:rPr>
      <w:instrText xml:space="preserve"> PAGE  \* MERGEFORMAT </w:instrText>
    </w:r>
    <w:r w:rsidRPr="00B041A6">
      <w:rPr>
        <w:rFonts w:ascii="Arial" w:hAnsi="Arial"/>
        <w:snapToGrid w:val="0"/>
        <w:sz w:val="16"/>
        <w:szCs w:val="16"/>
        <w:lang w:val="en-GB"/>
      </w:rPr>
      <w:fldChar w:fldCharType="separate"/>
    </w:r>
    <w:r w:rsidR="004B5771" w:rsidRPr="004B5771">
      <w:rPr>
        <w:rFonts w:ascii="Arial" w:hAnsi="Arial"/>
        <w:noProof/>
        <w:snapToGrid w:val="0"/>
        <w:sz w:val="16"/>
        <w:szCs w:val="16"/>
      </w:rPr>
      <w:t>3</w:t>
    </w:r>
    <w:r w:rsidRPr="00B041A6">
      <w:rPr>
        <w:rFonts w:ascii="Arial" w:hAnsi="Arial"/>
        <w:snapToGrid w:val="0"/>
        <w:sz w:val="16"/>
        <w:szCs w:val="16"/>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772648"/>
      <w:docPartObj>
        <w:docPartGallery w:val="Watermarks"/>
        <w:docPartUnique/>
      </w:docPartObj>
    </w:sdtPr>
    <w:sdtEndPr/>
    <w:sdtContent>
      <w:p w:rsidR="00BA2451" w:rsidRDefault="004B577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8630A2"/>
    <w:multiLevelType w:val="hybridMultilevel"/>
    <w:tmpl w:val="A184B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750F0C"/>
    <w:multiLevelType w:val="hybridMultilevel"/>
    <w:tmpl w:val="A184B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A533EB"/>
    <w:multiLevelType w:val="hybridMultilevel"/>
    <w:tmpl w:val="A184B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5">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DE"/>
    <w:rsid w:val="000049F5"/>
    <w:rsid w:val="00006820"/>
    <w:rsid w:val="000143A3"/>
    <w:rsid w:val="00014D4F"/>
    <w:rsid w:val="00016593"/>
    <w:rsid w:val="00026176"/>
    <w:rsid w:val="0003284B"/>
    <w:rsid w:val="00034828"/>
    <w:rsid w:val="0004134B"/>
    <w:rsid w:val="00047E84"/>
    <w:rsid w:val="00052E7E"/>
    <w:rsid w:val="000563D5"/>
    <w:rsid w:val="00056B10"/>
    <w:rsid w:val="00066ABD"/>
    <w:rsid w:val="00076F9A"/>
    <w:rsid w:val="00080275"/>
    <w:rsid w:val="00080F60"/>
    <w:rsid w:val="00090A58"/>
    <w:rsid w:val="0009215A"/>
    <w:rsid w:val="00097410"/>
    <w:rsid w:val="000A1A85"/>
    <w:rsid w:val="000A324C"/>
    <w:rsid w:val="000B3573"/>
    <w:rsid w:val="000C108A"/>
    <w:rsid w:val="000C6E63"/>
    <w:rsid w:val="000C72ED"/>
    <w:rsid w:val="000C754F"/>
    <w:rsid w:val="000C795B"/>
    <w:rsid w:val="000D31FA"/>
    <w:rsid w:val="000D3D4C"/>
    <w:rsid w:val="000D4406"/>
    <w:rsid w:val="000D5D27"/>
    <w:rsid w:val="000D7FD6"/>
    <w:rsid w:val="000E4620"/>
    <w:rsid w:val="000E6786"/>
    <w:rsid w:val="000F6242"/>
    <w:rsid w:val="000F79E4"/>
    <w:rsid w:val="001013D7"/>
    <w:rsid w:val="00106FC3"/>
    <w:rsid w:val="00113A60"/>
    <w:rsid w:val="00114102"/>
    <w:rsid w:val="0011545F"/>
    <w:rsid w:val="0011702A"/>
    <w:rsid w:val="0012236C"/>
    <w:rsid w:val="00126AA9"/>
    <w:rsid w:val="00131CD7"/>
    <w:rsid w:val="00143354"/>
    <w:rsid w:val="00147212"/>
    <w:rsid w:val="00156782"/>
    <w:rsid w:val="00156903"/>
    <w:rsid w:val="00156ACE"/>
    <w:rsid w:val="0016790C"/>
    <w:rsid w:val="001729A2"/>
    <w:rsid w:val="001739E9"/>
    <w:rsid w:val="00176072"/>
    <w:rsid w:val="0017767A"/>
    <w:rsid w:val="001878DE"/>
    <w:rsid w:val="00190390"/>
    <w:rsid w:val="001A078E"/>
    <w:rsid w:val="001B4F22"/>
    <w:rsid w:val="001B7B3E"/>
    <w:rsid w:val="001C0E5C"/>
    <w:rsid w:val="001C1D1B"/>
    <w:rsid w:val="001C4ED8"/>
    <w:rsid w:val="001D1B0A"/>
    <w:rsid w:val="001E4D07"/>
    <w:rsid w:val="0020240A"/>
    <w:rsid w:val="00202E6D"/>
    <w:rsid w:val="00205465"/>
    <w:rsid w:val="002132D2"/>
    <w:rsid w:val="002172D9"/>
    <w:rsid w:val="00223DF9"/>
    <w:rsid w:val="00235B56"/>
    <w:rsid w:val="00240203"/>
    <w:rsid w:val="002431F2"/>
    <w:rsid w:val="00250FDB"/>
    <w:rsid w:val="00255192"/>
    <w:rsid w:val="0027414F"/>
    <w:rsid w:val="00283323"/>
    <w:rsid w:val="00291CB3"/>
    <w:rsid w:val="002A18FD"/>
    <w:rsid w:val="002A337E"/>
    <w:rsid w:val="002A4FCB"/>
    <w:rsid w:val="002A53A6"/>
    <w:rsid w:val="002C0469"/>
    <w:rsid w:val="002D1BFB"/>
    <w:rsid w:val="002E3745"/>
    <w:rsid w:val="002E6A16"/>
    <w:rsid w:val="002E7227"/>
    <w:rsid w:val="002F4FC6"/>
    <w:rsid w:val="003033DD"/>
    <w:rsid w:val="00316D5A"/>
    <w:rsid w:val="0032045B"/>
    <w:rsid w:val="003233C8"/>
    <w:rsid w:val="00325D76"/>
    <w:rsid w:val="00326B14"/>
    <w:rsid w:val="00337284"/>
    <w:rsid w:val="003439FC"/>
    <w:rsid w:val="00344C19"/>
    <w:rsid w:val="00357412"/>
    <w:rsid w:val="00361725"/>
    <w:rsid w:val="00364E68"/>
    <w:rsid w:val="003702C7"/>
    <w:rsid w:val="003772DB"/>
    <w:rsid w:val="0038428F"/>
    <w:rsid w:val="00387545"/>
    <w:rsid w:val="00397E52"/>
    <w:rsid w:val="003A2337"/>
    <w:rsid w:val="003B23DA"/>
    <w:rsid w:val="003C04F2"/>
    <w:rsid w:val="003C61C4"/>
    <w:rsid w:val="003D3605"/>
    <w:rsid w:val="003E0BD6"/>
    <w:rsid w:val="003E6E61"/>
    <w:rsid w:val="00400ADD"/>
    <w:rsid w:val="00401179"/>
    <w:rsid w:val="00406965"/>
    <w:rsid w:val="00410285"/>
    <w:rsid w:val="00415714"/>
    <w:rsid w:val="004176F9"/>
    <w:rsid w:val="00427609"/>
    <w:rsid w:val="00427804"/>
    <w:rsid w:val="00430CD0"/>
    <w:rsid w:val="00432779"/>
    <w:rsid w:val="00446085"/>
    <w:rsid w:val="00466FB5"/>
    <w:rsid w:val="00472198"/>
    <w:rsid w:val="004819A4"/>
    <w:rsid w:val="0048292C"/>
    <w:rsid w:val="004847DC"/>
    <w:rsid w:val="00492FA6"/>
    <w:rsid w:val="004A0752"/>
    <w:rsid w:val="004A3FE7"/>
    <w:rsid w:val="004A46B8"/>
    <w:rsid w:val="004B0D93"/>
    <w:rsid w:val="004B5771"/>
    <w:rsid w:val="004B7EA6"/>
    <w:rsid w:val="004C18DE"/>
    <w:rsid w:val="004E622A"/>
    <w:rsid w:val="004F4DE3"/>
    <w:rsid w:val="004F5608"/>
    <w:rsid w:val="0051476B"/>
    <w:rsid w:val="00534340"/>
    <w:rsid w:val="00540683"/>
    <w:rsid w:val="005533B4"/>
    <w:rsid w:val="00561447"/>
    <w:rsid w:val="0056605A"/>
    <w:rsid w:val="00573D3E"/>
    <w:rsid w:val="0057786D"/>
    <w:rsid w:val="00582B60"/>
    <w:rsid w:val="00583496"/>
    <w:rsid w:val="00585999"/>
    <w:rsid w:val="00586819"/>
    <w:rsid w:val="00591A7D"/>
    <w:rsid w:val="00593E26"/>
    <w:rsid w:val="00595C5C"/>
    <w:rsid w:val="00596953"/>
    <w:rsid w:val="005A1A44"/>
    <w:rsid w:val="005A5B6A"/>
    <w:rsid w:val="005B6280"/>
    <w:rsid w:val="005C2D4D"/>
    <w:rsid w:val="005C558D"/>
    <w:rsid w:val="005C7246"/>
    <w:rsid w:val="005E1804"/>
    <w:rsid w:val="005E5EF7"/>
    <w:rsid w:val="005F26AD"/>
    <w:rsid w:val="005F58DF"/>
    <w:rsid w:val="0060269E"/>
    <w:rsid w:val="006047AC"/>
    <w:rsid w:val="00607B11"/>
    <w:rsid w:val="00611C20"/>
    <w:rsid w:val="00620982"/>
    <w:rsid w:val="006256AF"/>
    <w:rsid w:val="00626C86"/>
    <w:rsid w:val="00630422"/>
    <w:rsid w:val="00642215"/>
    <w:rsid w:val="00643AEA"/>
    <w:rsid w:val="00651386"/>
    <w:rsid w:val="0066312D"/>
    <w:rsid w:val="00666284"/>
    <w:rsid w:val="00670028"/>
    <w:rsid w:val="00676ECD"/>
    <w:rsid w:val="0069164E"/>
    <w:rsid w:val="006924C5"/>
    <w:rsid w:val="006970A1"/>
    <w:rsid w:val="006A0959"/>
    <w:rsid w:val="006A507B"/>
    <w:rsid w:val="006A73AD"/>
    <w:rsid w:val="006A7F94"/>
    <w:rsid w:val="006B57B7"/>
    <w:rsid w:val="006B7C55"/>
    <w:rsid w:val="006E7759"/>
    <w:rsid w:val="006F2C93"/>
    <w:rsid w:val="006F3C42"/>
    <w:rsid w:val="006F58B7"/>
    <w:rsid w:val="00702BE6"/>
    <w:rsid w:val="00706883"/>
    <w:rsid w:val="007217D6"/>
    <w:rsid w:val="007225A1"/>
    <w:rsid w:val="00742BD3"/>
    <w:rsid w:val="00751575"/>
    <w:rsid w:val="00754516"/>
    <w:rsid w:val="00760FB2"/>
    <w:rsid w:val="00763E17"/>
    <w:rsid w:val="007705CB"/>
    <w:rsid w:val="00773B7E"/>
    <w:rsid w:val="0079124E"/>
    <w:rsid w:val="00792E94"/>
    <w:rsid w:val="007A19A7"/>
    <w:rsid w:val="007A584D"/>
    <w:rsid w:val="007A6D93"/>
    <w:rsid w:val="007B5D5A"/>
    <w:rsid w:val="007C1AA7"/>
    <w:rsid w:val="007D1EF9"/>
    <w:rsid w:val="007D2FA0"/>
    <w:rsid w:val="007D6265"/>
    <w:rsid w:val="007E7F2A"/>
    <w:rsid w:val="0080091C"/>
    <w:rsid w:val="00805AEB"/>
    <w:rsid w:val="00810504"/>
    <w:rsid w:val="0081450F"/>
    <w:rsid w:val="00816C7F"/>
    <w:rsid w:val="00826787"/>
    <w:rsid w:val="00827382"/>
    <w:rsid w:val="00834438"/>
    <w:rsid w:val="00835551"/>
    <w:rsid w:val="00837FB8"/>
    <w:rsid w:val="00841328"/>
    <w:rsid w:val="00854209"/>
    <w:rsid w:val="0086477D"/>
    <w:rsid w:val="00876F50"/>
    <w:rsid w:val="008816BF"/>
    <w:rsid w:val="00894221"/>
    <w:rsid w:val="00896081"/>
    <w:rsid w:val="008967B7"/>
    <w:rsid w:val="008B3106"/>
    <w:rsid w:val="008B7C4B"/>
    <w:rsid w:val="008D3CEC"/>
    <w:rsid w:val="008F4B57"/>
    <w:rsid w:val="00903D48"/>
    <w:rsid w:val="0090748A"/>
    <w:rsid w:val="00912A46"/>
    <w:rsid w:val="009422FA"/>
    <w:rsid w:val="00953866"/>
    <w:rsid w:val="00962E31"/>
    <w:rsid w:val="00965DC5"/>
    <w:rsid w:val="00966CE6"/>
    <w:rsid w:val="00975B09"/>
    <w:rsid w:val="009771C0"/>
    <w:rsid w:val="009777E8"/>
    <w:rsid w:val="0098158C"/>
    <w:rsid w:val="0099031A"/>
    <w:rsid w:val="00991BA0"/>
    <w:rsid w:val="009A4FC8"/>
    <w:rsid w:val="009C79C4"/>
    <w:rsid w:val="009E281C"/>
    <w:rsid w:val="009E3EBD"/>
    <w:rsid w:val="009E795B"/>
    <w:rsid w:val="009F2DD9"/>
    <w:rsid w:val="00A005D6"/>
    <w:rsid w:val="00A0723D"/>
    <w:rsid w:val="00A1389E"/>
    <w:rsid w:val="00A21A7D"/>
    <w:rsid w:val="00A2645D"/>
    <w:rsid w:val="00A27409"/>
    <w:rsid w:val="00A57CE8"/>
    <w:rsid w:val="00A62126"/>
    <w:rsid w:val="00A71FAE"/>
    <w:rsid w:val="00A77993"/>
    <w:rsid w:val="00A77C4E"/>
    <w:rsid w:val="00A81D2D"/>
    <w:rsid w:val="00A917C1"/>
    <w:rsid w:val="00A94B80"/>
    <w:rsid w:val="00AB23F2"/>
    <w:rsid w:val="00AB6055"/>
    <w:rsid w:val="00AC1577"/>
    <w:rsid w:val="00AC3059"/>
    <w:rsid w:val="00AD68F2"/>
    <w:rsid w:val="00AD69C2"/>
    <w:rsid w:val="00AE50D2"/>
    <w:rsid w:val="00AE73A7"/>
    <w:rsid w:val="00AE7E9E"/>
    <w:rsid w:val="00B02145"/>
    <w:rsid w:val="00B0252B"/>
    <w:rsid w:val="00B041A6"/>
    <w:rsid w:val="00B17A75"/>
    <w:rsid w:val="00B2269A"/>
    <w:rsid w:val="00B26810"/>
    <w:rsid w:val="00B30626"/>
    <w:rsid w:val="00B36A36"/>
    <w:rsid w:val="00B40836"/>
    <w:rsid w:val="00B45122"/>
    <w:rsid w:val="00B4533C"/>
    <w:rsid w:val="00B61B41"/>
    <w:rsid w:val="00B71545"/>
    <w:rsid w:val="00B737F6"/>
    <w:rsid w:val="00B81A9E"/>
    <w:rsid w:val="00B87AB9"/>
    <w:rsid w:val="00B92BF7"/>
    <w:rsid w:val="00B9368D"/>
    <w:rsid w:val="00B940F8"/>
    <w:rsid w:val="00BA2451"/>
    <w:rsid w:val="00BA358B"/>
    <w:rsid w:val="00BA6693"/>
    <w:rsid w:val="00BC224B"/>
    <w:rsid w:val="00BC3D86"/>
    <w:rsid w:val="00BD6076"/>
    <w:rsid w:val="00BD77CE"/>
    <w:rsid w:val="00BE7943"/>
    <w:rsid w:val="00BF6A72"/>
    <w:rsid w:val="00BF7D16"/>
    <w:rsid w:val="00C01D3D"/>
    <w:rsid w:val="00C05CED"/>
    <w:rsid w:val="00C161A1"/>
    <w:rsid w:val="00C16233"/>
    <w:rsid w:val="00C21E33"/>
    <w:rsid w:val="00C24FA8"/>
    <w:rsid w:val="00C27690"/>
    <w:rsid w:val="00C4703A"/>
    <w:rsid w:val="00C509C1"/>
    <w:rsid w:val="00C532C5"/>
    <w:rsid w:val="00C64A71"/>
    <w:rsid w:val="00C7003A"/>
    <w:rsid w:val="00C72A39"/>
    <w:rsid w:val="00C82985"/>
    <w:rsid w:val="00C90787"/>
    <w:rsid w:val="00C93A09"/>
    <w:rsid w:val="00C945EC"/>
    <w:rsid w:val="00C95218"/>
    <w:rsid w:val="00CA2B03"/>
    <w:rsid w:val="00CA71CC"/>
    <w:rsid w:val="00CB17EE"/>
    <w:rsid w:val="00CB257D"/>
    <w:rsid w:val="00CB7948"/>
    <w:rsid w:val="00CC62F9"/>
    <w:rsid w:val="00CD7A4F"/>
    <w:rsid w:val="00CE1F32"/>
    <w:rsid w:val="00CE77BC"/>
    <w:rsid w:val="00CF2359"/>
    <w:rsid w:val="00CF3E33"/>
    <w:rsid w:val="00CF645B"/>
    <w:rsid w:val="00D0072D"/>
    <w:rsid w:val="00D03FC5"/>
    <w:rsid w:val="00D04647"/>
    <w:rsid w:val="00D064E0"/>
    <w:rsid w:val="00D12EA3"/>
    <w:rsid w:val="00D16A29"/>
    <w:rsid w:val="00D2514D"/>
    <w:rsid w:val="00D33B77"/>
    <w:rsid w:val="00D35074"/>
    <w:rsid w:val="00D4056A"/>
    <w:rsid w:val="00D475FB"/>
    <w:rsid w:val="00D52AF0"/>
    <w:rsid w:val="00D52F95"/>
    <w:rsid w:val="00D6320C"/>
    <w:rsid w:val="00D65991"/>
    <w:rsid w:val="00D7150D"/>
    <w:rsid w:val="00D80CB1"/>
    <w:rsid w:val="00D81FA9"/>
    <w:rsid w:val="00D8467E"/>
    <w:rsid w:val="00D92E0F"/>
    <w:rsid w:val="00D97C9F"/>
    <w:rsid w:val="00DA1F54"/>
    <w:rsid w:val="00DA28E2"/>
    <w:rsid w:val="00DA312C"/>
    <w:rsid w:val="00DA3AF6"/>
    <w:rsid w:val="00DB178D"/>
    <w:rsid w:val="00DB3F4C"/>
    <w:rsid w:val="00DB57E7"/>
    <w:rsid w:val="00DC66D9"/>
    <w:rsid w:val="00DD5F67"/>
    <w:rsid w:val="00DF426C"/>
    <w:rsid w:val="00E1103A"/>
    <w:rsid w:val="00E14568"/>
    <w:rsid w:val="00E21D3C"/>
    <w:rsid w:val="00E22556"/>
    <w:rsid w:val="00E236E5"/>
    <w:rsid w:val="00E240AE"/>
    <w:rsid w:val="00E30C9D"/>
    <w:rsid w:val="00E40062"/>
    <w:rsid w:val="00E45BA1"/>
    <w:rsid w:val="00E51FF0"/>
    <w:rsid w:val="00E521C8"/>
    <w:rsid w:val="00E568C0"/>
    <w:rsid w:val="00E619C6"/>
    <w:rsid w:val="00E626D1"/>
    <w:rsid w:val="00E66171"/>
    <w:rsid w:val="00E82CF7"/>
    <w:rsid w:val="00E8770E"/>
    <w:rsid w:val="00E93819"/>
    <w:rsid w:val="00EA0422"/>
    <w:rsid w:val="00EA2C25"/>
    <w:rsid w:val="00EA7A70"/>
    <w:rsid w:val="00EB4ADF"/>
    <w:rsid w:val="00EB4D3D"/>
    <w:rsid w:val="00ED49D7"/>
    <w:rsid w:val="00ED557F"/>
    <w:rsid w:val="00ED74D1"/>
    <w:rsid w:val="00EE4226"/>
    <w:rsid w:val="00EE457F"/>
    <w:rsid w:val="00EE5CAB"/>
    <w:rsid w:val="00EF00ED"/>
    <w:rsid w:val="00EF022A"/>
    <w:rsid w:val="00EF7231"/>
    <w:rsid w:val="00F01471"/>
    <w:rsid w:val="00F07812"/>
    <w:rsid w:val="00F10D47"/>
    <w:rsid w:val="00F10E67"/>
    <w:rsid w:val="00F12E99"/>
    <w:rsid w:val="00F31FEF"/>
    <w:rsid w:val="00F330E1"/>
    <w:rsid w:val="00F42DC0"/>
    <w:rsid w:val="00F4792F"/>
    <w:rsid w:val="00F524CA"/>
    <w:rsid w:val="00F52E19"/>
    <w:rsid w:val="00F54B5E"/>
    <w:rsid w:val="00F55DD3"/>
    <w:rsid w:val="00F607DC"/>
    <w:rsid w:val="00F70B1D"/>
    <w:rsid w:val="00F70D98"/>
    <w:rsid w:val="00F736DE"/>
    <w:rsid w:val="00F74646"/>
    <w:rsid w:val="00F801E0"/>
    <w:rsid w:val="00F8608C"/>
    <w:rsid w:val="00F87B83"/>
    <w:rsid w:val="00F92BF9"/>
    <w:rsid w:val="00F93402"/>
    <w:rsid w:val="00FA712F"/>
    <w:rsid w:val="00FB06A1"/>
    <w:rsid w:val="00FB305A"/>
    <w:rsid w:val="00FC032F"/>
    <w:rsid w:val="00FC2D7D"/>
    <w:rsid w:val="00FC5E77"/>
    <w:rsid w:val="00FD17D7"/>
    <w:rsid w:val="00FD4BC8"/>
    <w:rsid w:val="00FE2EF4"/>
    <w:rsid w:val="00FE78E8"/>
    <w:rsid w:val="00FE7C92"/>
    <w:rsid w:val="00FF23C9"/>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oNotEmbedSmartTags/>
  <w:decimalSymbol w:val="."/>
  <w:listSeparator w:val=","/>
  <w14:docId w14:val="5C479252"/>
  <w15:docId w15:val="{2C9E76AC-2506-4B44-AD6B-1A87793B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rsid w:val="007A19A7"/>
  </w:style>
  <w:style w:type="character" w:customStyle="1" w:styleId="CommentTextChar">
    <w:name w:val="Comment Text Char"/>
    <w:basedOn w:val="DefaultParagraphFont"/>
    <w:link w:val="CommentText"/>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basedOn w:val="Normal"/>
    <w:link w:val="FooterChar"/>
    <w:uiPriority w:val="99"/>
    <w:rsid w:val="0011702A"/>
    <w:pPr>
      <w:tabs>
        <w:tab w:val="center" w:pos="4536"/>
        <w:tab w:val="right" w:pos="9072"/>
      </w:tabs>
    </w:pPr>
  </w:style>
  <w:style w:type="character" w:customStyle="1" w:styleId="FooterChar">
    <w:name w:val="Footer Char"/>
    <w:basedOn w:val="DefaultParagraphFont"/>
    <w:link w:val="Footer"/>
    <w:uiPriority w:val="99"/>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image" Target="media/image15.gif"/><Relationship Id="rId3" Type="http://schemas.openxmlformats.org/officeDocument/2006/relationships/styles" Target="styles.xml"/><Relationship Id="rId21" Type="http://schemas.openxmlformats.org/officeDocument/2006/relationships/image" Target="media/image10.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2.gi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gif"/><Relationship Id="rId29" Type="http://schemas.openxmlformats.org/officeDocument/2006/relationships/image" Target="media/image18.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gif"/><Relationship Id="rId32" Type="http://schemas.openxmlformats.org/officeDocument/2006/relationships/image" Target="media/image21.gif"/><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gif"/><Relationship Id="rId10" Type="http://schemas.openxmlformats.org/officeDocument/2006/relationships/header" Target="header2.xml"/><Relationship Id="rId19" Type="http://schemas.openxmlformats.org/officeDocument/2006/relationships/image" Target="media/image8.gif"/><Relationship Id="rId31"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2B10-45D4-4E99-A979-8906ABCA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7272</Characters>
  <Application>Microsoft Office Word</Application>
  <DocSecurity>0</DocSecurity>
  <Lines>60</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BMVBS</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Marie-Claude Collet</cp:lastModifiedBy>
  <cp:revision>3</cp:revision>
  <cp:lastPrinted>2017-06-06T08:16:00Z</cp:lastPrinted>
  <dcterms:created xsi:type="dcterms:W3CDTF">2017-12-15T10:09:00Z</dcterms:created>
  <dcterms:modified xsi:type="dcterms:W3CDTF">2017-12-19T10:41:00Z</dcterms:modified>
</cp:coreProperties>
</file>