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B40749" w:rsidRDefault="00EE1D86" w:rsidP="00EE1D86">
      <w:pPr>
        <w:suppressAutoHyphens w:val="0"/>
        <w:spacing w:line="240" w:lineRule="auto"/>
        <w:ind w:left="5387" w:right="-286"/>
        <w:outlineLvl w:val="0"/>
        <w:rPr>
          <w:rFonts w:ascii="Arial" w:hAnsi="Arial"/>
          <w:lang w:val="en-US" w:bidi="fr-FR"/>
        </w:rPr>
      </w:pPr>
      <w:bookmarkStart w:id="0" w:name="_GoBack"/>
      <w:bookmarkEnd w:id="0"/>
      <w:r w:rsidRPr="002D550A">
        <w:rPr>
          <w:noProof/>
          <w:snapToGrid/>
          <w:lang w:eastAsia="en-GB"/>
        </w:rPr>
        <w:drawing>
          <wp:anchor distT="0" distB="0" distL="114300" distR="114300" simplePos="0" relativeHeight="251661312" behindDoc="0" locked="0" layoutInCell="1" allowOverlap="1" wp14:anchorId="0A60D857" wp14:editId="405847F7">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Pr>
          <w:rFonts w:ascii="Arial" w:eastAsia="Arial" w:hAnsi="Arial" w:cs="Arial"/>
          <w:bCs/>
          <w:snapToGrid/>
          <w:szCs w:val="24"/>
          <w:lang w:val="en-US" w:eastAsia="de-DE"/>
        </w:rPr>
        <w:t>CCNR-ZKR/ADN/WP.15/AC.2/2017</w:t>
      </w:r>
      <w:r w:rsidRPr="00B40749">
        <w:rPr>
          <w:rFonts w:ascii="Arial" w:eastAsia="Arial" w:hAnsi="Arial" w:cs="Arial"/>
          <w:bCs/>
          <w:snapToGrid/>
          <w:szCs w:val="24"/>
          <w:lang w:val="en-US" w:eastAsia="de-DE"/>
        </w:rPr>
        <w:t>/</w:t>
      </w:r>
      <w:r w:rsidR="00CC0A80">
        <w:rPr>
          <w:rFonts w:ascii="Arial" w:eastAsia="Arial" w:hAnsi="Arial" w:cs="Arial"/>
          <w:bCs/>
          <w:snapToGrid/>
          <w:szCs w:val="24"/>
          <w:lang w:val="en-US" w:eastAsia="de-DE"/>
        </w:rPr>
        <w:t>42</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CC0A80"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8</w:t>
      </w:r>
      <w:r w:rsidR="00C91DE4">
        <w:rPr>
          <w:rFonts w:ascii="Arial" w:eastAsia="Arial" w:hAnsi="Arial" w:cs="Arial"/>
          <w:snapToGrid/>
          <w:szCs w:val="24"/>
          <w:lang w:val="de-DE" w:eastAsia="de-DE"/>
        </w:rPr>
        <w:t xml:space="preserve">. </w:t>
      </w:r>
      <w:r w:rsidR="009051C2">
        <w:rPr>
          <w:rFonts w:ascii="Arial" w:eastAsia="Arial" w:hAnsi="Arial" w:cs="Arial"/>
          <w:snapToGrid/>
          <w:szCs w:val="24"/>
          <w:lang w:val="de-DE" w:eastAsia="de-DE"/>
        </w:rPr>
        <w:t>Juni</w:t>
      </w:r>
      <w:r w:rsidR="003A5281">
        <w:rPr>
          <w:rFonts w:ascii="Arial" w:eastAsia="Arial" w:hAnsi="Arial" w:cs="Arial"/>
          <w:snapToGrid/>
          <w:szCs w:val="24"/>
          <w:lang w:val="de-DE" w:eastAsia="de-DE"/>
        </w:rPr>
        <w:t xml:space="preserve"> 2017</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 xml:space="preserve">Or. </w:t>
      </w:r>
      <w:r w:rsidR="00915FF8">
        <w:rPr>
          <w:rFonts w:ascii="Arial" w:eastAsia="Arial" w:hAnsi="Arial" w:cs="Arial"/>
          <w:snapToGrid/>
          <w:sz w:val="16"/>
          <w:szCs w:val="24"/>
          <w:lang w:val="de-DE" w:eastAsia="de-DE"/>
        </w:rPr>
        <w:t>ENGLISCH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sidR="003A5281">
        <w:rPr>
          <w:rFonts w:ascii="Arial" w:hAnsi="Arial"/>
          <w:sz w:val="16"/>
          <w:szCs w:val="24"/>
          <w:lang w:val="de-DE"/>
        </w:rPr>
        <w:t>31</w:t>
      </w:r>
      <w:r w:rsidRPr="002D550A">
        <w:rPr>
          <w:rFonts w:ascii="Arial" w:hAnsi="Arial"/>
          <w:sz w:val="16"/>
          <w:szCs w:val="24"/>
          <w:lang w:val="de-DE"/>
        </w:rPr>
        <w:t xml:space="preserve">. </w:t>
      </w:r>
      <w:r w:rsidR="00852F91">
        <w:rPr>
          <w:rFonts w:ascii="Arial" w:hAnsi="Arial"/>
          <w:noProof/>
          <w:sz w:val="16"/>
          <w:szCs w:val="24"/>
          <w:lang w:val="de-DE"/>
        </w:rPr>
        <w:t xml:space="preserve">Tagung, Genf, </w:t>
      </w:r>
      <w:r w:rsidR="007B5B23">
        <w:rPr>
          <w:rFonts w:ascii="Arial" w:hAnsi="Arial"/>
          <w:noProof/>
          <w:sz w:val="16"/>
          <w:szCs w:val="24"/>
          <w:lang w:val="de-DE"/>
        </w:rPr>
        <w:t>28</w:t>
      </w:r>
      <w:r w:rsidR="00852F91">
        <w:rPr>
          <w:rFonts w:ascii="Arial" w:hAnsi="Arial"/>
          <w:noProof/>
          <w:sz w:val="16"/>
          <w:szCs w:val="24"/>
          <w:lang w:val="de-DE"/>
        </w:rPr>
        <w:t xml:space="preserve"> bis </w:t>
      </w:r>
      <w:r w:rsidR="007B5B23">
        <w:rPr>
          <w:rFonts w:ascii="Arial" w:hAnsi="Arial"/>
          <w:noProof/>
          <w:sz w:val="16"/>
          <w:szCs w:val="24"/>
          <w:lang w:val="de-DE"/>
        </w:rPr>
        <w:t>31</w:t>
      </w:r>
      <w:r w:rsidR="00852F91">
        <w:rPr>
          <w:rFonts w:ascii="Arial" w:hAnsi="Arial"/>
          <w:noProof/>
          <w:sz w:val="16"/>
          <w:szCs w:val="24"/>
          <w:lang w:val="de-DE"/>
        </w:rPr>
        <w:t>. August 2017</w:t>
      </w:r>
      <w:r w:rsidRPr="002D550A">
        <w:rPr>
          <w:rFonts w:ascii="Arial" w:hAnsi="Arial"/>
          <w:noProof/>
          <w:sz w:val="16"/>
          <w:szCs w:val="24"/>
          <w:lang w:val="de-DE"/>
        </w:rPr>
        <w:t>)</w:t>
      </w:r>
    </w:p>
    <w:p w:rsidR="00EE1D86" w:rsidRPr="00D72504"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D72504">
        <w:rPr>
          <w:rFonts w:ascii="Arial" w:hAnsi="Arial" w:cs="Arial"/>
          <w:snapToGrid/>
          <w:sz w:val="16"/>
          <w:szCs w:val="16"/>
          <w:lang w:val="de-DE" w:eastAsia="en-US"/>
        </w:rPr>
        <w:t xml:space="preserve">Punkt </w:t>
      </w:r>
      <w:r w:rsidR="00D72504">
        <w:rPr>
          <w:rFonts w:ascii="Arial" w:hAnsi="Arial" w:cs="Arial"/>
          <w:snapToGrid/>
          <w:sz w:val="16"/>
          <w:szCs w:val="16"/>
          <w:lang w:val="de-DE" w:eastAsia="en-US"/>
        </w:rPr>
        <w:t>4</w:t>
      </w:r>
      <w:r w:rsidR="00752A6D" w:rsidRPr="00D72504">
        <w:rPr>
          <w:rFonts w:ascii="Arial" w:hAnsi="Arial" w:cs="Arial"/>
          <w:snapToGrid/>
          <w:sz w:val="16"/>
          <w:szCs w:val="16"/>
          <w:lang w:val="de-DE" w:eastAsia="en-US"/>
        </w:rPr>
        <w:t xml:space="preserve"> </w:t>
      </w:r>
      <w:r w:rsidR="00D72504">
        <w:rPr>
          <w:rFonts w:ascii="Arial" w:hAnsi="Arial" w:cs="Arial"/>
          <w:snapToGrid/>
          <w:sz w:val="16"/>
          <w:szCs w:val="16"/>
          <w:lang w:val="de-DE" w:eastAsia="en-US"/>
        </w:rPr>
        <w:t>b</w:t>
      </w:r>
      <w:r w:rsidR="00752A6D" w:rsidRPr="00D72504">
        <w:rPr>
          <w:rFonts w:ascii="Arial" w:hAnsi="Arial" w:cs="Arial"/>
          <w:snapToGrid/>
          <w:sz w:val="16"/>
          <w:szCs w:val="16"/>
          <w:lang w:val="de-DE" w:eastAsia="en-US"/>
        </w:rPr>
        <w:t>)</w:t>
      </w:r>
      <w:r w:rsidRPr="00D72504">
        <w:rPr>
          <w:rFonts w:ascii="Arial" w:hAnsi="Arial" w:cs="Arial"/>
          <w:snapToGrid/>
          <w:sz w:val="16"/>
          <w:szCs w:val="16"/>
          <w:lang w:val="de-DE" w:eastAsia="en-US"/>
        </w:rPr>
        <w:t xml:space="preserve"> zur vorläufigen Tagesordnung</w:t>
      </w:r>
    </w:p>
    <w:p w:rsidR="00D72504" w:rsidRPr="002D550A" w:rsidRDefault="00D72504" w:rsidP="00D72504">
      <w:pPr>
        <w:tabs>
          <w:tab w:val="left" w:pos="2977"/>
        </w:tabs>
        <w:suppressAutoHyphens w:val="0"/>
        <w:spacing w:line="240" w:lineRule="auto"/>
        <w:ind w:left="3960"/>
        <w:rPr>
          <w:rFonts w:ascii="Arial" w:hAnsi="Arial" w:cs="Arial"/>
          <w:b/>
          <w:snapToGrid/>
          <w:sz w:val="16"/>
          <w:szCs w:val="16"/>
          <w:lang w:val="de-DE" w:eastAsia="en-US"/>
        </w:rPr>
      </w:pPr>
      <w:r w:rsidRPr="00DC4C63">
        <w:rPr>
          <w:rFonts w:ascii="Arial" w:hAnsi="Arial" w:cs="Arial"/>
          <w:b/>
          <w:snapToGrid/>
          <w:sz w:val="16"/>
          <w:szCs w:val="16"/>
          <w:lang w:val="de-DE" w:eastAsia="en-US"/>
        </w:rPr>
        <w:t>Vorschläge für Änderungen der dem ADN beigefügten Verordnung</w:t>
      </w:r>
      <w:r w:rsidRPr="002D550A">
        <w:rPr>
          <w:rFonts w:ascii="Arial" w:hAnsi="Arial" w:cs="Arial"/>
          <w:b/>
          <w:snapToGrid/>
          <w:sz w:val="16"/>
          <w:szCs w:val="16"/>
          <w:lang w:val="de-DE" w:eastAsia="en-US"/>
        </w:rPr>
        <w:t>:</w:t>
      </w:r>
    </w:p>
    <w:p w:rsidR="00EE1D86" w:rsidRPr="009051C2" w:rsidRDefault="00D72504" w:rsidP="00EE1D86">
      <w:pPr>
        <w:tabs>
          <w:tab w:val="left" w:pos="2977"/>
        </w:tabs>
        <w:suppressAutoHyphens w:val="0"/>
        <w:spacing w:line="240" w:lineRule="auto"/>
        <w:ind w:left="3960"/>
        <w:rPr>
          <w:rFonts w:ascii="Arial" w:hAnsi="Arial" w:cs="Arial"/>
          <w:b/>
          <w:snapToGrid/>
          <w:sz w:val="16"/>
          <w:szCs w:val="16"/>
          <w:lang w:val="de-DE" w:eastAsia="en-US"/>
        </w:rPr>
      </w:pPr>
      <w:r>
        <w:rPr>
          <w:rFonts w:ascii="Arial" w:hAnsi="Arial" w:cs="Arial"/>
          <w:b/>
          <w:snapToGrid/>
          <w:sz w:val="16"/>
          <w:szCs w:val="16"/>
          <w:lang w:val="de-DE" w:eastAsia="en-US"/>
        </w:rPr>
        <w:t>Weitere Vorschläge</w:t>
      </w:r>
    </w:p>
    <w:p w:rsidR="00C91DE4" w:rsidRPr="009051C2" w:rsidRDefault="00C91DE4" w:rsidP="008623E4">
      <w:pPr>
        <w:tabs>
          <w:tab w:val="right" w:pos="851"/>
        </w:tabs>
        <w:snapToGrid w:val="0"/>
        <w:spacing w:line="300" w:lineRule="exact"/>
        <w:ind w:left="1134" w:right="1134" w:hanging="1134"/>
        <w:jc w:val="both"/>
        <w:rPr>
          <w:b/>
          <w:bCs/>
          <w:snapToGrid/>
          <w:sz w:val="28"/>
          <w:szCs w:val="24"/>
          <w:lang w:val="de-DE"/>
        </w:rPr>
      </w:pPr>
    </w:p>
    <w:p w:rsidR="0046353C" w:rsidRPr="009051C2" w:rsidRDefault="0046353C" w:rsidP="008623E4">
      <w:pPr>
        <w:tabs>
          <w:tab w:val="right" w:pos="851"/>
        </w:tabs>
        <w:snapToGrid w:val="0"/>
        <w:spacing w:line="300" w:lineRule="exact"/>
        <w:ind w:left="1134" w:right="1134" w:hanging="1134"/>
        <w:jc w:val="both"/>
        <w:rPr>
          <w:b/>
          <w:bCs/>
          <w:snapToGrid/>
          <w:sz w:val="28"/>
          <w:szCs w:val="24"/>
          <w:lang w:val="de-DE"/>
        </w:rPr>
      </w:pPr>
    </w:p>
    <w:p w:rsidR="00CC0A80" w:rsidRPr="00E06502" w:rsidRDefault="00CC0A80" w:rsidP="00D32387">
      <w:pPr>
        <w:keepNext/>
        <w:keepLines/>
        <w:spacing w:before="360" w:after="240" w:line="300" w:lineRule="exact"/>
        <w:ind w:left="1134" w:right="1134" w:hanging="567"/>
        <w:rPr>
          <w:b/>
          <w:snapToGrid/>
          <w:sz w:val="28"/>
          <w:lang w:val="de-DE" w:eastAsia="en-US"/>
        </w:rPr>
      </w:pPr>
      <w:r w:rsidRPr="00E06502">
        <w:rPr>
          <w:b/>
          <w:snapToGrid/>
          <w:sz w:val="28"/>
          <w:lang w:val="de-DE" w:eastAsia="en-US"/>
        </w:rPr>
        <w:tab/>
      </w:r>
      <w:r w:rsidR="00D32387" w:rsidRPr="00664C7D">
        <w:rPr>
          <w:b/>
          <w:snapToGrid/>
          <w:sz w:val="28"/>
          <w:lang w:val="de-DE" w:eastAsia="en-US"/>
        </w:rPr>
        <w:t xml:space="preserve">Ausnahme von </w:t>
      </w:r>
      <w:r w:rsidR="007D50B8" w:rsidRPr="00664C7D">
        <w:rPr>
          <w:b/>
          <w:snapToGrid/>
          <w:sz w:val="28"/>
          <w:lang w:val="de-DE" w:eastAsia="en-US"/>
        </w:rPr>
        <w:t xml:space="preserve">den Unterabschnitten </w:t>
      </w:r>
      <w:r w:rsidR="00D32387" w:rsidRPr="00664C7D">
        <w:rPr>
          <w:b/>
          <w:snapToGrid/>
          <w:sz w:val="28"/>
          <w:lang w:val="de-DE" w:eastAsia="en-US"/>
        </w:rPr>
        <w:t>7.1.2.19 und 7.2.2.19 ADN</w:t>
      </w:r>
    </w:p>
    <w:p w:rsidR="00CC0A80" w:rsidRPr="00664C7D" w:rsidRDefault="00CC0A80" w:rsidP="00CC0A80">
      <w:pPr>
        <w:keepNext/>
        <w:keepLines/>
        <w:spacing w:before="360" w:after="240" w:line="300" w:lineRule="exact"/>
        <w:ind w:left="1134" w:right="1134" w:hanging="567"/>
        <w:rPr>
          <w:b/>
          <w:snapToGrid/>
          <w:sz w:val="24"/>
          <w:lang w:val="de-DE" w:eastAsia="en-US"/>
        </w:rPr>
      </w:pPr>
      <w:r w:rsidRPr="00E06502">
        <w:rPr>
          <w:b/>
          <w:snapToGrid/>
          <w:sz w:val="24"/>
          <w:lang w:val="de-DE" w:eastAsia="en-US"/>
        </w:rPr>
        <w:tab/>
      </w:r>
      <w:r w:rsidR="002C17CF" w:rsidRPr="00664C7D">
        <w:rPr>
          <w:b/>
          <w:snapToGrid/>
          <w:sz w:val="24"/>
          <w:lang w:val="de-DE" w:eastAsia="en-US"/>
        </w:rPr>
        <w:t>Eingereicht</w:t>
      </w:r>
      <w:r w:rsidRPr="00664C7D">
        <w:rPr>
          <w:b/>
          <w:snapToGrid/>
          <w:sz w:val="24"/>
          <w:lang w:val="de-DE" w:eastAsia="en-US"/>
        </w:rPr>
        <w:t xml:space="preserve"> von der </w:t>
      </w:r>
      <w:r w:rsidR="002C17CF" w:rsidRPr="00664C7D">
        <w:rPr>
          <w:b/>
          <w:snapToGrid/>
          <w:sz w:val="24"/>
          <w:lang w:val="de-DE" w:eastAsia="en-US"/>
        </w:rPr>
        <w:t>b</w:t>
      </w:r>
      <w:r w:rsidRPr="00664C7D">
        <w:rPr>
          <w:b/>
          <w:snapToGrid/>
          <w:sz w:val="24"/>
          <w:lang w:val="de-DE" w:eastAsia="en-US"/>
        </w:rPr>
        <w:t>elgischen Regierung</w:t>
      </w:r>
      <w:r w:rsidRPr="00664C7D">
        <w:rPr>
          <w:b/>
          <w:snapToGrid/>
          <w:sz w:val="24"/>
          <w:vertAlign w:val="superscript"/>
          <w:lang w:val="de-DE" w:eastAsia="en-US"/>
        </w:rPr>
        <w:footnoteReference w:id="2"/>
      </w:r>
      <w:r w:rsidRPr="00664C7D">
        <w:rPr>
          <w:b/>
          <w:snapToGrid/>
          <w:sz w:val="24"/>
          <w:vertAlign w:val="superscript"/>
          <w:lang w:val="de-DE" w:eastAsia="en-US"/>
        </w:rPr>
        <w:t>,</w:t>
      </w:r>
      <w:r w:rsidRPr="00664C7D">
        <w:rPr>
          <w:b/>
          <w:snapToGrid/>
          <w:sz w:val="24"/>
          <w:vertAlign w:val="superscript"/>
          <w:lang w:val="de-DE" w:eastAsia="en-US"/>
        </w:rPr>
        <w:footnoteReference w:id="3"/>
      </w:r>
    </w:p>
    <w:p w:rsidR="00CC0A80" w:rsidRPr="00664C7D" w:rsidRDefault="00CC0A80" w:rsidP="00CC0A80">
      <w:pPr>
        <w:keepNext/>
        <w:keepLines/>
        <w:spacing w:before="360" w:after="240" w:line="300" w:lineRule="exact"/>
        <w:ind w:left="1134" w:right="1134" w:hanging="567"/>
        <w:rPr>
          <w:b/>
          <w:snapToGrid/>
          <w:sz w:val="28"/>
          <w:lang w:val="en-US" w:eastAsia="en-US"/>
        </w:rPr>
      </w:pPr>
      <w:r w:rsidRPr="00664C7D">
        <w:rPr>
          <w:b/>
          <w:snapToGrid/>
          <w:sz w:val="28"/>
          <w:lang w:val="de-DE" w:eastAsia="en-US"/>
        </w:rPr>
        <w:tab/>
      </w:r>
      <w:r w:rsidRPr="00664C7D">
        <w:rPr>
          <w:b/>
          <w:snapToGrid/>
          <w:sz w:val="28"/>
          <w:lang w:val="en-US" w:eastAsia="en-US"/>
        </w:rPr>
        <w:t>Einleitung</w:t>
      </w:r>
    </w:p>
    <w:p w:rsidR="00CC0A80" w:rsidRPr="00E06502" w:rsidRDefault="00CC0A80" w:rsidP="00D32387">
      <w:pPr>
        <w:spacing w:after="120"/>
        <w:ind w:left="1134" w:right="1134"/>
        <w:jc w:val="both"/>
        <w:rPr>
          <w:snapToGrid/>
          <w:lang w:val="de-DE" w:eastAsia="en-US"/>
        </w:rPr>
      </w:pPr>
      <w:r w:rsidRPr="00E06502">
        <w:rPr>
          <w:snapToGrid/>
          <w:lang w:val="de-DE" w:eastAsia="en-US"/>
        </w:rPr>
        <w:t>1.</w:t>
      </w:r>
      <w:r w:rsidRPr="00E06502">
        <w:rPr>
          <w:snapToGrid/>
          <w:lang w:val="de-DE" w:eastAsia="en-US"/>
        </w:rPr>
        <w:tab/>
      </w:r>
      <w:r w:rsidR="00D32387" w:rsidRPr="00664C7D">
        <w:rPr>
          <w:snapToGrid/>
          <w:lang w:val="de-DE" w:eastAsia="en-US"/>
        </w:rPr>
        <w:t>Das ADN 2017 sieht in Bezug auf „Schubverbände und gekuppelte Schiffe“ folgende Anforderungen vor:</w:t>
      </w:r>
    </w:p>
    <w:p w:rsidR="00CC0A80" w:rsidRPr="00E06502" w:rsidRDefault="00CC0A80" w:rsidP="00CC0A80">
      <w:pPr>
        <w:spacing w:after="120"/>
        <w:ind w:left="1134" w:right="1134"/>
        <w:jc w:val="both"/>
        <w:rPr>
          <w:b/>
          <w:snapToGrid/>
          <w:sz w:val="22"/>
          <w:szCs w:val="22"/>
          <w:lang w:val="de-DE" w:eastAsia="en-US"/>
        </w:rPr>
      </w:pPr>
      <w:r w:rsidRPr="00E06502">
        <w:rPr>
          <w:b/>
          <w:snapToGrid/>
          <w:sz w:val="22"/>
          <w:szCs w:val="22"/>
          <w:lang w:val="de-DE" w:eastAsia="en-US"/>
        </w:rPr>
        <w:t>„7.1.2.19</w:t>
      </w:r>
      <w:r w:rsidRPr="00E06502">
        <w:rPr>
          <w:b/>
          <w:snapToGrid/>
          <w:sz w:val="22"/>
          <w:szCs w:val="22"/>
          <w:lang w:val="de-DE" w:eastAsia="en-US"/>
        </w:rPr>
        <w:tab/>
        <w:t>Schubverbände und gekuppelte Schiffe</w:t>
      </w:r>
    </w:p>
    <w:p w:rsidR="00CC0A80" w:rsidRPr="00E06502" w:rsidRDefault="00CC0A80" w:rsidP="00CC0A80">
      <w:pPr>
        <w:spacing w:after="120"/>
        <w:ind w:left="1134" w:right="1134"/>
        <w:jc w:val="both"/>
        <w:rPr>
          <w:i/>
          <w:snapToGrid/>
          <w:lang w:val="de-DE" w:eastAsia="en-US"/>
        </w:rPr>
      </w:pPr>
      <w:r w:rsidRPr="00E06502">
        <w:rPr>
          <w:i/>
          <w:snapToGrid/>
          <w:lang w:val="de-DE" w:eastAsia="en-US"/>
        </w:rPr>
        <w:t>7.1.2.19.1</w:t>
      </w:r>
      <w:r w:rsidRPr="00E06502">
        <w:rPr>
          <w:i/>
          <w:snapToGrid/>
          <w:lang w:val="de-DE" w:eastAsia="en-US"/>
        </w:rPr>
        <w:tab/>
        <w:t>Wenn in einem Schubverband oder bei gekuppelten Schiffen mindestens ein Schiff mit einem Zulassungszeugnis für die Beförderung von gefährlichen Gütern versehen sein muss, müssen alle Schiffe dieser Schiffszusammenstellung mit einem auf sie ausgestellten Zulassungszeugnis versehen sein.</w:t>
      </w:r>
    </w:p>
    <w:p w:rsidR="008834CE" w:rsidRPr="00E06502" w:rsidRDefault="008834CE">
      <w:pPr>
        <w:suppressAutoHyphens w:val="0"/>
        <w:spacing w:line="240" w:lineRule="auto"/>
        <w:rPr>
          <w:i/>
          <w:snapToGrid/>
          <w:lang w:val="de-DE" w:eastAsia="en-US"/>
        </w:rPr>
      </w:pPr>
      <w:r w:rsidRPr="00E06502">
        <w:rPr>
          <w:i/>
          <w:snapToGrid/>
          <w:lang w:val="de-DE" w:eastAsia="en-US"/>
        </w:rPr>
        <w:br w:type="page"/>
      </w:r>
    </w:p>
    <w:p w:rsidR="00CC0A80" w:rsidRPr="00E06502" w:rsidRDefault="00CC0A80" w:rsidP="00CC0A80">
      <w:pPr>
        <w:spacing w:after="120"/>
        <w:ind w:left="1134" w:right="1134"/>
        <w:jc w:val="both"/>
        <w:rPr>
          <w:i/>
          <w:snapToGrid/>
          <w:lang w:val="de-DE" w:eastAsia="en-US"/>
        </w:rPr>
      </w:pPr>
      <w:r w:rsidRPr="00E06502">
        <w:rPr>
          <w:i/>
          <w:snapToGrid/>
          <w:lang w:val="de-DE" w:eastAsia="en-US"/>
        </w:rPr>
        <w:lastRenderedPageBreak/>
        <w:t>Schiffe, welche keine gefährlichen Güter befördern, müssen den nachstehend aufgeführten Abschnitten, Unterabschnitten und Absätzen des ADN entsprechen:</w:t>
      </w:r>
    </w:p>
    <w:p w:rsidR="00CC0A80" w:rsidRPr="00E06502" w:rsidRDefault="00CC0A80" w:rsidP="00CC0A80">
      <w:pPr>
        <w:spacing w:after="120"/>
        <w:ind w:left="1134" w:right="1134"/>
        <w:jc w:val="both"/>
        <w:rPr>
          <w:i/>
          <w:snapToGrid/>
          <w:lang w:val="de-DE" w:eastAsia="en-US"/>
        </w:rPr>
      </w:pPr>
      <w:r w:rsidRPr="00E06502">
        <w:rPr>
          <w:i/>
          <w:snapToGrid/>
          <w:lang w:val="de-DE" w:eastAsia="en-US"/>
        </w:rPr>
        <w:t>1</w:t>
      </w:r>
      <w:r w:rsidR="009243E3" w:rsidRPr="00E06502">
        <w:rPr>
          <w:i/>
          <w:snapToGrid/>
          <w:lang w:val="de-DE" w:eastAsia="en-US"/>
        </w:rPr>
        <w:t>.</w:t>
      </w:r>
      <w:r w:rsidRPr="00E06502">
        <w:rPr>
          <w:i/>
          <w:snapToGrid/>
          <w:lang w:val="de-DE" w:eastAsia="en-US"/>
        </w:rPr>
        <w:t>16.1.1, 1.16.1.2, 1.16.1.3, 7.1.2.5, 8.1.5, 8.1.6.1, 8.1.6.3, 8.1.7, 9.1.0.0, 9.1.0.12.3, 9.1.0.17.2, 9.1.0.17.3, 9.1.0.31, 9.1.0.32, 9.1.0.34, 9.1.0.41, 9.1.0.52.2, 9.1.0.52.3, 9.1.0.56, 9.1.0.71 und 9.1.0.74.</w:t>
      </w:r>
    </w:p>
    <w:p w:rsidR="00CC0A80" w:rsidRPr="00E06502" w:rsidRDefault="00CC0A80" w:rsidP="00CC0A80">
      <w:pPr>
        <w:spacing w:after="120"/>
        <w:ind w:left="1134" w:right="1134"/>
        <w:jc w:val="both"/>
        <w:rPr>
          <w:i/>
          <w:snapToGrid/>
          <w:lang w:val="de-DE" w:eastAsia="en-US"/>
        </w:rPr>
      </w:pPr>
      <w:r w:rsidRPr="00E06502">
        <w:rPr>
          <w:i/>
          <w:snapToGrid/>
          <w:lang w:val="de-DE" w:eastAsia="en-US"/>
        </w:rPr>
        <w:t>7.1.2.19.2</w:t>
      </w:r>
      <w:r w:rsidRPr="00E06502">
        <w:rPr>
          <w:i/>
          <w:snapToGrid/>
          <w:lang w:val="de-DE" w:eastAsia="en-US"/>
        </w:rPr>
        <w:tab/>
        <w:t>Hinsichtlich der Anwendung der Vorschriften des Teils 7 mit Ausnahme der Absätze 7.1.4.1.1 und 7.1.4.1.2 wird der ganze Schubverband oder werden die gekuppelten Schiffe als ein einziges Schiff angesehen.</w:t>
      </w:r>
    </w:p>
    <w:p w:rsidR="00CC0A80" w:rsidRPr="00E06502" w:rsidRDefault="00CC0A80" w:rsidP="00CC0A80">
      <w:pPr>
        <w:spacing w:after="120"/>
        <w:ind w:left="1134" w:right="1134"/>
        <w:jc w:val="both"/>
        <w:rPr>
          <w:i/>
          <w:snapToGrid/>
          <w:lang w:val="de-DE" w:eastAsia="en-US"/>
        </w:rPr>
      </w:pPr>
    </w:p>
    <w:p w:rsidR="00CC0A80" w:rsidRPr="00E06502" w:rsidRDefault="00CC0A80" w:rsidP="00CC0A80">
      <w:pPr>
        <w:spacing w:after="120"/>
        <w:ind w:left="1134" w:right="1134"/>
        <w:jc w:val="both"/>
        <w:rPr>
          <w:b/>
          <w:snapToGrid/>
          <w:sz w:val="22"/>
          <w:szCs w:val="22"/>
          <w:lang w:val="de-DE" w:eastAsia="en-US"/>
        </w:rPr>
      </w:pPr>
      <w:r w:rsidRPr="00E06502">
        <w:rPr>
          <w:b/>
          <w:snapToGrid/>
          <w:sz w:val="22"/>
          <w:szCs w:val="22"/>
          <w:lang w:val="de-DE" w:eastAsia="en-US"/>
        </w:rPr>
        <w:t>7.2.2.19</w:t>
      </w:r>
      <w:r w:rsidRPr="00E06502">
        <w:rPr>
          <w:b/>
          <w:snapToGrid/>
          <w:sz w:val="22"/>
          <w:szCs w:val="22"/>
          <w:lang w:val="de-DE" w:eastAsia="en-US"/>
        </w:rPr>
        <w:tab/>
        <w:t>Schubverbände und gekuppelte Schiffe</w:t>
      </w:r>
    </w:p>
    <w:p w:rsidR="009243E3" w:rsidRPr="00E06502" w:rsidRDefault="00CC0A80" w:rsidP="00CC0A80">
      <w:pPr>
        <w:spacing w:after="120"/>
        <w:ind w:left="1134" w:right="1134"/>
        <w:jc w:val="both"/>
        <w:rPr>
          <w:i/>
          <w:snapToGrid/>
          <w:lang w:val="de-DE" w:eastAsia="en-US"/>
        </w:rPr>
      </w:pPr>
      <w:r w:rsidRPr="00E06502">
        <w:rPr>
          <w:i/>
          <w:snapToGrid/>
          <w:lang w:val="de-DE" w:eastAsia="en-US"/>
        </w:rPr>
        <w:t>7.2.2.19.1</w:t>
      </w:r>
      <w:r w:rsidRPr="00E06502">
        <w:rPr>
          <w:i/>
          <w:snapToGrid/>
          <w:lang w:val="de-DE" w:eastAsia="en-US"/>
        </w:rPr>
        <w:tab/>
        <w:t xml:space="preserve">Wenn in einem Schubverband oder bei gekuppelten Schiffen mindestens ein Schiff mit einem Zulassungszeugnis für die Beförderung von gefährlichen Stoffen versehen sein muss, müssen alle Schiffe dieser Schiffszusammenstellung mit einem auf sie ausgestellten Zulassungszeugnis versehen sein. </w:t>
      </w:r>
    </w:p>
    <w:p w:rsidR="00CC0A80" w:rsidRPr="00E06502" w:rsidRDefault="00CC0A80" w:rsidP="00CC0A80">
      <w:pPr>
        <w:spacing w:after="120"/>
        <w:ind w:left="1134" w:right="1134"/>
        <w:jc w:val="both"/>
        <w:rPr>
          <w:i/>
          <w:snapToGrid/>
          <w:lang w:val="de-DE" w:eastAsia="en-US"/>
        </w:rPr>
      </w:pPr>
      <w:r w:rsidRPr="00E06502">
        <w:rPr>
          <w:i/>
          <w:snapToGrid/>
          <w:lang w:val="de-DE" w:eastAsia="en-US"/>
        </w:rPr>
        <w:t>Schiffe, die keine gefährlichen Güter befördern, müssen den Vorschriften des Unterabschnitts 7.1.2.19 entsprechen.</w:t>
      </w:r>
    </w:p>
    <w:p w:rsidR="00CC0A80" w:rsidRPr="00E06502" w:rsidRDefault="00CC0A80" w:rsidP="00CC0A80">
      <w:pPr>
        <w:spacing w:after="120"/>
        <w:ind w:left="1134" w:right="1134"/>
        <w:jc w:val="both"/>
        <w:rPr>
          <w:i/>
          <w:snapToGrid/>
          <w:lang w:val="de-DE" w:eastAsia="en-US"/>
        </w:rPr>
      </w:pPr>
      <w:r w:rsidRPr="00E06502">
        <w:rPr>
          <w:i/>
          <w:snapToGrid/>
          <w:lang w:val="de-DE" w:eastAsia="en-US"/>
        </w:rPr>
        <w:t>7.2.2.19.2</w:t>
      </w:r>
      <w:r w:rsidRPr="00E06502">
        <w:rPr>
          <w:i/>
          <w:snapToGrid/>
          <w:lang w:val="de-DE" w:eastAsia="en-US"/>
        </w:rPr>
        <w:tab/>
        <w:t>Hinsichtlich der Anwendung der Vorschriften dieses Teils wird der ganze Schubverband oder werden die gekuppelten Schiffe als ein einziges Schiff angesehen.</w:t>
      </w:r>
    </w:p>
    <w:p w:rsidR="00CC0A80" w:rsidRPr="00E06502" w:rsidRDefault="00CC0A80" w:rsidP="00CC0A80">
      <w:pPr>
        <w:spacing w:after="120"/>
        <w:ind w:left="1134" w:right="1134"/>
        <w:jc w:val="both"/>
        <w:rPr>
          <w:i/>
          <w:snapToGrid/>
          <w:lang w:val="de-DE" w:eastAsia="en-US"/>
        </w:rPr>
      </w:pPr>
      <w:r w:rsidRPr="00E06502">
        <w:rPr>
          <w:bCs/>
          <w:i/>
          <w:snapToGrid/>
          <w:lang w:val="de-DE" w:eastAsia="en-US"/>
        </w:rPr>
        <w:t>7.2.2.19.3</w:t>
      </w:r>
      <w:r w:rsidRPr="00E06502">
        <w:rPr>
          <w:bCs/>
          <w:i/>
          <w:snapToGrid/>
          <w:lang w:val="de-DE" w:eastAsia="en-US"/>
        </w:rPr>
        <w:tab/>
      </w:r>
      <w:r w:rsidRPr="00E06502">
        <w:rPr>
          <w:i/>
          <w:snapToGrid/>
          <w:lang w:val="de-DE" w:eastAsia="en-US"/>
        </w:rPr>
        <w:t>Wenn in einem Schubverband oder bei gekuppelten Schiffen mindestens ein Tankschiff gefährliche Güter befördert, müssen die Schiffe, die für die Fortbewegung verwendet werden, den nachstehend aufgeführten Abschnitten, Unterabschnitten und Absätzen entsprechen:</w:t>
      </w:r>
    </w:p>
    <w:p w:rsidR="00CC0A80" w:rsidRPr="00E06502" w:rsidRDefault="00CC0A80" w:rsidP="00CC0A80">
      <w:pPr>
        <w:spacing w:after="120"/>
        <w:ind w:left="1134" w:right="1134"/>
        <w:jc w:val="both"/>
        <w:rPr>
          <w:i/>
          <w:snapToGrid/>
          <w:lang w:val="de-DE" w:eastAsia="en-US"/>
        </w:rPr>
      </w:pPr>
      <w:r w:rsidRPr="00E06502">
        <w:rPr>
          <w:i/>
          <w:snapToGrid/>
          <w:lang w:val="de-DE" w:eastAsia="en-US"/>
        </w:rPr>
        <w:t>1.16.1.1, 1.16.1.2, 1.16.1.3, 7.2.2.5, 8.1.4, 8.1.5, 8.1.6.1, 8.1.6.3, 8.1.7, 9.3.3.0.1, 9.3.3.0.3 d), 9.3.3.0.5, 9.3.3.10.1, 9.3.3.10.2, 9.3.3.12.4, 9.3.3.12.6, 9.3.3.16., 9.3.3.17.1 bis 9.3.3.17.4, 9.3.3.31.1 bis 9.3.3.31.5, 9.3.3.32.2, 9.3.3.34.1, 9.3.3.34.2, 9.3.3.40.1 (jedoch genügt eine einzige Feuerlösch- oder Ballastpumpe), 9.3.3.40.2, 9.3.3.41, 9.3.3.50.1 c), 9.3.3.50.2, 9.3.3.51, 9.3.3.52.3 bis 9.3.3.52.6, 9.3.3.56.5, 9.3.3.71 und 9.3.3.74.</w:t>
      </w:r>
    </w:p>
    <w:p w:rsidR="00CC0A80" w:rsidRPr="00E06502" w:rsidRDefault="00CC0A80" w:rsidP="00CC0A80">
      <w:pPr>
        <w:spacing w:after="120"/>
        <w:ind w:left="1134" w:right="1134"/>
        <w:jc w:val="both"/>
        <w:rPr>
          <w:i/>
          <w:snapToGrid/>
          <w:lang w:val="de-DE" w:eastAsia="en-US"/>
        </w:rPr>
      </w:pPr>
      <w:r w:rsidRPr="00E06502">
        <w:rPr>
          <w:i/>
          <w:snapToGrid/>
          <w:lang w:val="de-DE" w:eastAsia="en-US"/>
        </w:rPr>
        <w:t>Schiffe, die ausschließlich zum Fortbewegen von Tankschiffen des Typs N offen genutzt werden, müssen den Absätzen 9.3.3.10.1, 9.3.3.10.2 und 9.3.3.12.6 nicht entsprechen. In diesem Fall ist im Zulassungszeugnis bzw. im vorläufigen Zulassungszeugnis unter Nummer 5, „Zugelassene Abweichungen“, einzutragen: „Abweichung von 9.3.3.10.1, 9.3.3.10.2 und 9.3.3.12.6; das Schiff darf ausschließlich Tankschiffe des Typs N offen fortbewegen.“.</w:t>
      </w:r>
    </w:p>
    <w:p w:rsidR="00CC0A80" w:rsidRPr="00E06502" w:rsidRDefault="00CC0A80" w:rsidP="007D50B8">
      <w:pPr>
        <w:keepNext/>
        <w:keepLines/>
        <w:spacing w:before="360" w:after="240" w:line="270" w:lineRule="exact"/>
        <w:ind w:left="1134" w:right="1134" w:hanging="567"/>
        <w:jc w:val="both"/>
        <w:rPr>
          <w:snapToGrid/>
          <w:lang w:val="de-DE" w:eastAsia="en-US"/>
        </w:rPr>
      </w:pPr>
      <w:r w:rsidRPr="00CC0A80">
        <w:rPr>
          <w:b/>
          <w:snapToGrid/>
          <w:sz w:val="24"/>
          <w:lang w:val="de-DE" w:eastAsia="en-US"/>
        </w:rPr>
        <w:tab/>
      </w:r>
      <w:r w:rsidRPr="00E06502">
        <w:rPr>
          <w:snapToGrid/>
          <w:lang w:val="de-DE" w:eastAsia="en-US"/>
        </w:rPr>
        <w:t>2.</w:t>
      </w:r>
      <w:r w:rsidRPr="00E06502">
        <w:rPr>
          <w:snapToGrid/>
          <w:lang w:val="de-DE" w:eastAsia="en-US"/>
        </w:rPr>
        <w:tab/>
      </w:r>
      <w:r w:rsidR="00D32387" w:rsidRPr="00664C7D">
        <w:rPr>
          <w:snapToGrid/>
          <w:lang w:val="de-DE" w:eastAsia="en-US"/>
        </w:rPr>
        <w:t xml:space="preserve">Belgien möchte darauf hinweisen, dass die Anforderungen der Unterabschnitte 7.1.2.19 und 7.2.2.19 ADN </w:t>
      </w:r>
      <w:r w:rsidR="004B2DDD" w:rsidRPr="00664C7D">
        <w:rPr>
          <w:snapToGrid/>
          <w:lang w:val="de-DE" w:eastAsia="en-US"/>
        </w:rPr>
        <w:t>beim Bunkern Probleme verursachen.</w:t>
      </w:r>
      <w:r w:rsidRPr="00E06502">
        <w:rPr>
          <w:snapToGrid/>
          <w:lang w:val="de-DE" w:eastAsia="en-US"/>
        </w:rPr>
        <w:t xml:space="preserve"> </w:t>
      </w:r>
      <w:r w:rsidR="004B2DDD" w:rsidRPr="00664C7D">
        <w:rPr>
          <w:snapToGrid/>
          <w:lang w:val="de-DE" w:eastAsia="en-US"/>
        </w:rPr>
        <w:t xml:space="preserve">Ein Bunkerschiff (ein </w:t>
      </w:r>
      <w:r w:rsidR="004B2DDD" w:rsidRPr="00664C7D">
        <w:rPr>
          <w:color w:val="000000"/>
          <w:lang w:val="de-DE"/>
        </w:rPr>
        <w:t xml:space="preserve">Tankschiff </w:t>
      </w:r>
      <w:r w:rsidR="004B2DDD" w:rsidRPr="00664C7D">
        <w:rPr>
          <w:snapToGrid/>
          <w:lang w:val="de-DE" w:eastAsia="en-US"/>
        </w:rPr>
        <w:t xml:space="preserve">des Typs N offen, das zur Beförderung und Abgabe von Schiffsbetriebsstoffen an andere Schiffe gebaut und eingerichtet ist und eine </w:t>
      </w:r>
      <w:r w:rsidR="004B2DDD" w:rsidRPr="00664C7D">
        <w:rPr>
          <w:color w:val="000000"/>
          <w:lang w:val="de-DE"/>
        </w:rPr>
        <w:t xml:space="preserve">Tragfähigkeit von bis zu 300 Tonnen hat) ist während des Bunkervorgangs </w:t>
      </w:r>
      <w:r w:rsidR="001269B6" w:rsidRPr="00664C7D">
        <w:rPr>
          <w:color w:val="000000"/>
          <w:lang w:val="de-DE"/>
        </w:rPr>
        <w:t xml:space="preserve">über Festmachleinen an das zu bebunkernde Schiff </w:t>
      </w:r>
      <w:r w:rsidR="004B2DDD" w:rsidRPr="00664C7D">
        <w:rPr>
          <w:snapToGrid/>
          <w:lang w:val="de-DE" w:eastAsia="en-US"/>
        </w:rPr>
        <w:t>gek</w:t>
      </w:r>
      <w:r w:rsidR="001269B6" w:rsidRPr="00664C7D">
        <w:rPr>
          <w:snapToGrid/>
          <w:lang w:val="de-DE" w:eastAsia="en-US"/>
        </w:rPr>
        <w:t>o</w:t>
      </w:r>
      <w:r w:rsidR="004B2DDD" w:rsidRPr="00664C7D">
        <w:rPr>
          <w:snapToGrid/>
          <w:lang w:val="de-DE" w:eastAsia="en-US"/>
        </w:rPr>
        <w:t>ppelt</w:t>
      </w:r>
      <w:r w:rsidR="001269B6" w:rsidRPr="00664C7D">
        <w:rPr>
          <w:snapToGrid/>
          <w:lang w:val="de-DE" w:eastAsia="en-US"/>
        </w:rPr>
        <w:t>.</w:t>
      </w:r>
    </w:p>
    <w:p w:rsidR="00CC0A80" w:rsidRPr="00E06502" w:rsidRDefault="00CC0A80" w:rsidP="00535175">
      <w:pPr>
        <w:spacing w:after="120"/>
        <w:ind w:left="1134" w:right="1134"/>
        <w:jc w:val="both"/>
        <w:rPr>
          <w:snapToGrid/>
          <w:lang w:val="de-DE" w:eastAsia="en-US"/>
        </w:rPr>
      </w:pPr>
      <w:r w:rsidRPr="00E06502">
        <w:rPr>
          <w:snapToGrid/>
          <w:lang w:val="de-DE" w:eastAsia="en-US"/>
        </w:rPr>
        <w:t>3.</w:t>
      </w:r>
      <w:r w:rsidRPr="00E06502">
        <w:rPr>
          <w:snapToGrid/>
          <w:lang w:val="de-DE" w:eastAsia="en-US"/>
        </w:rPr>
        <w:tab/>
      </w:r>
      <w:r w:rsidR="001269B6" w:rsidRPr="00664C7D">
        <w:rPr>
          <w:snapToGrid/>
          <w:lang w:val="de-DE" w:eastAsia="en-US"/>
        </w:rPr>
        <w:t>Gemäß den Anforderungen muss auch das zu bebunkernde Schiff ein Zulassungszeugnis besitzen.</w:t>
      </w:r>
      <w:r w:rsidRPr="00E06502">
        <w:rPr>
          <w:snapToGrid/>
          <w:lang w:val="de-DE" w:eastAsia="en-US"/>
        </w:rPr>
        <w:t xml:space="preserve"> </w:t>
      </w:r>
      <w:r w:rsidR="00D56A4E" w:rsidRPr="00664C7D">
        <w:rPr>
          <w:snapToGrid/>
          <w:lang w:val="de-DE" w:eastAsia="en-US"/>
        </w:rPr>
        <w:t>Die</w:t>
      </w:r>
      <w:r w:rsidR="001269B6" w:rsidRPr="00664C7D">
        <w:rPr>
          <w:snapToGrid/>
          <w:lang w:val="de-DE" w:eastAsia="en-US"/>
        </w:rPr>
        <w:t xml:space="preserve"> Absätze 7.1.2.19.1 und 7.2.2.19.3 ADN </w:t>
      </w:r>
      <w:r w:rsidR="00D90338" w:rsidRPr="00664C7D">
        <w:rPr>
          <w:snapToGrid/>
          <w:lang w:val="de-DE" w:eastAsia="en-US"/>
        </w:rPr>
        <w:t>legen fest, dass in Fällen, in denen</w:t>
      </w:r>
      <w:r w:rsidR="00D56A4E" w:rsidRPr="00664C7D">
        <w:rPr>
          <w:snapToGrid/>
          <w:lang w:val="de-DE" w:eastAsia="en-US"/>
        </w:rPr>
        <w:t xml:space="preserve"> in einem Schubverband oder bei gekuppelten Schiffen mindestens ein Schiff mit einem Zulassungszeugnis für die Beförderung gefährliche</w:t>
      </w:r>
      <w:r w:rsidR="007D50B8" w:rsidRPr="00664C7D">
        <w:rPr>
          <w:snapToGrid/>
          <w:lang w:val="de-DE" w:eastAsia="en-US"/>
        </w:rPr>
        <w:t>r</w:t>
      </w:r>
      <w:r w:rsidR="00D56A4E" w:rsidRPr="00664C7D">
        <w:rPr>
          <w:snapToGrid/>
          <w:lang w:val="de-DE" w:eastAsia="en-US"/>
        </w:rPr>
        <w:t xml:space="preserve"> Güter versehen sein muss, alle Schiffe dieser Schiffszusammenstellung mit einem auf sie ausgestellten Zulassungszeugnis versehen sein</w:t>
      </w:r>
      <w:r w:rsidR="00D90338" w:rsidRPr="00664C7D">
        <w:rPr>
          <w:snapToGrid/>
          <w:lang w:val="de-DE" w:eastAsia="en-US"/>
        </w:rPr>
        <w:t xml:space="preserve"> müssen</w:t>
      </w:r>
      <w:r w:rsidR="00D56A4E" w:rsidRPr="00664C7D">
        <w:rPr>
          <w:snapToGrid/>
          <w:lang w:val="de-DE" w:eastAsia="en-US"/>
        </w:rPr>
        <w:t>.</w:t>
      </w:r>
    </w:p>
    <w:p w:rsidR="00CC0A80" w:rsidRPr="00E06502" w:rsidRDefault="00CC0A80" w:rsidP="00535175">
      <w:pPr>
        <w:spacing w:after="120"/>
        <w:ind w:left="1134" w:right="1134"/>
        <w:jc w:val="both"/>
        <w:rPr>
          <w:snapToGrid/>
          <w:lang w:val="de-DE" w:eastAsia="en-US"/>
        </w:rPr>
      </w:pPr>
      <w:r w:rsidRPr="00E06502">
        <w:rPr>
          <w:snapToGrid/>
          <w:lang w:val="de-DE" w:eastAsia="en-US"/>
        </w:rPr>
        <w:t>4.</w:t>
      </w:r>
      <w:r w:rsidRPr="00E06502">
        <w:rPr>
          <w:snapToGrid/>
          <w:lang w:val="de-DE" w:eastAsia="en-US"/>
        </w:rPr>
        <w:tab/>
      </w:r>
      <w:r w:rsidR="00D90338" w:rsidRPr="00664C7D">
        <w:rPr>
          <w:snapToGrid/>
          <w:lang w:val="de-DE" w:eastAsia="en-US"/>
        </w:rPr>
        <w:t>Da das Zulassungszeugnis nicht vorgeschrieben ist, besitzen einige Schiffe kein solches Zeugnis, sodass sie nur bebunkert werden könnten, wenn das Bunkerschiff nicht gekoppelt ist (d. h. keine Festmachleinen verwendet).</w:t>
      </w:r>
      <w:r w:rsidRPr="00E06502">
        <w:rPr>
          <w:snapToGrid/>
          <w:lang w:val="de-DE" w:eastAsia="en-US"/>
        </w:rPr>
        <w:t xml:space="preserve"> </w:t>
      </w:r>
      <w:r w:rsidR="00D90338" w:rsidRPr="00664C7D">
        <w:rPr>
          <w:snapToGrid/>
          <w:lang w:val="de-DE" w:eastAsia="en-US"/>
        </w:rPr>
        <w:t xml:space="preserve">Dies ist </w:t>
      </w:r>
      <w:r w:rsidR="005B6D84">
        <w:rPr>
          <w:snapToGrid/>
          <w:lang w:val="de-DE" w:eastAsia="en-US"/>
        </w:rPr>
        <w:t xml:space="preserve">jedoch </w:t>
      </w:r>
      <w:r w:rsidR="00D90338" w:rsidRPr="00664C7D">
        <w:rPr>
          <w:snapToGrid/>
          <w:lang w:val="de-DE" w:eastAsia="en-US"/>
        </w:rPr>
        <w:t>nicht ungefährlich.</w:t>
      </w:r>
    </w:p>
    <w:p w:rsidR="00CC0A80" w:rsidRPr="00E06502" w:rsidRDefault="00CC0A80" w:rsidP="00D90338">
      <w:pPr>
        <w:keepNext/>
        <w:keepLines/>
        <w:tabs>
          <w:tab w:val="right" w:pos="851"/>
        </w:tabs>
        <w:spacing w:before="360" w:after="240" w:line="270" w:lineRule="exact"/>
        <w:ind w:left="1134" w:right="1134" w:hanging="1134"/>
        <w:rPr>
          <w:b/>
          <w:snapToGrid/>
          <w:sz w:val="24"/>
          <w:lang w:val="de-DE" w:eastAsia="en-US"/>
        </w:rPr>
      </w:pPr>
      <w:r w:rsidRPr="00E06502">
        <w:rPr>
          <w:b/>
          <w:snapToGrid/>
          <w:sz w:val="24"/>
          <w:lang w:val="de-DE" w:eastAsia="en-US"/>
        </w:rPr>
        <w:lastRenderedPageBreak/>
        <w:tab/>
      </w:r>
      <w:r w:rsidRPr="00E06502">
        <w:rPr>
          <w:b/>
          <w:snapToGrid/>
          <w:sz w:val="24"/>
          <w:lang w:val="de-DE" w:eastAsia="en-US"/>
        </w:rPr>
        <w:tab/>
      </w:r>
      <w:r w:rsidR="00D90338" w:rsidRPr="005B6D84">
        <w:rPr>
          <w:b/>
          <w:snapToGrid/>
          <w:sz w:val="24"/>
          <w:lang w:val="de-DE" w:eastAsia="en-US"/>
        </w:rPr>
        <w:t>Vorschlag</w:t>
      </w:r>
    </w:p>
    <w:p w:rsidR="00CC0A80" w:rsidRPr="00E06502" w:rsidRDefault="00CC0A80" w:rsidP="00535175">
      <w:pPr>
        <w:spacing w:after="120"/>
        <w:ind w:left="1134" w:right="1134"/>
        <w:jc w:val="both"/>
        <w:rPr>
          <w:snapToGrid/>
          <w:lang w:val="de-DE" w:eastAsia="en-US"/>
        </w:rPr>
      </w:pPr>
      <w:r w:rsidRPr="00E06502">
        <w:rPr>
          <w:snapToGrid/>
          <w:lang w:val="de-DE" w:eastAsia="en-US"/>
        </w:rPr>
        <w:t>5.</w:t>
      </w:r>
      <w:r w:rsidRPr="00E06502">
        <w:rPr>
          <w:snapToGrid/>
          <w:lang w:val="de-DE" w:eastAsia="en-US"/>
        </w:rPr>
        <w:tab/>
      </w:r>
      <w:r w:rsidR="00D90338" w:rsidRPr="005B6D84">
        <w:rPr>
          <w:snapToGrid/>
          <w:lang w:val="de-DE" w:eastAsia="en-US"/>
        </w:rPr>
        <w:t xml:space="preserve">Belgien </w:t>
      </w:r>
      <w:r w:rsidR="007A33C3" w:rsidRPr="005B6D84">
        <w:rPr>
          <w:snapToGrid/>
          <w:lang w:val="de-DE" w:eastAsia="en-US"/>
        </w:rPr>
        <w:t xml:space="preserve">ersucht den ADN-Sicherheitsausschuss, über die obigen Absätze 2, 3 und 4 </w:t>
      </w:r>
      <w:r w:rsidR="00535175" w:rsidRPr="005B6D84">
        <w:rPr>
          <w:snapToGrid/>
          <w:lang w:val="de-DE" w:eastAsia="en-US"/>
        </w:rPr>
        <w:t>eine</w:t>
      </w:r>
      <w:r w:rsidR="007A33C3" w:rsidRPr="005B6D84">
        <w:rPr>
          <w:snapToGrid/>
          <w:lang w:val="de-DE" w:eastAsia="en-US"/>
        </w:rPr>
        <w:t xml:space="preserve"> Diskussion zu eröffnen </w:t>
      </w:r>
      <w:r w:rsidR="00EE22A8" w:rsidRPr="005B6D84">
        <w:rPr>
          <w:snapToGrid/>
          <w:lang w:val="de-DE" w:eastAsia="en-US"/>
        </w:rPr>
        <w:t xml:space="preserve">und den Vorschlag in Absatz 6 </w:t>
      </w:r>
      <w:r w:rsidR="00535175" w:rsidRPr="005B6D84">
        <w:rPr>
          <w:snapToGrid/>
          <w:lang w:val="de-DE" w:eastAsia="en-US"/>
        </w:rPr>
        <w:t xml:space="preserve">einer Bewertung </w:t>
      </w:r>
      <w:r w:rsidR="00EE22A8" w:rsidRPr="005B6D84">
        <w:rPr>
          <w:snapToGrid/>
          <w:lang w:val="de-DE" w:eastAsia="en-US"/>
        </w:rPr>
        <w:t xml:space="preserve">zu </w:t>
      </w:r>
      <w:r w:rsidR="00535175" w:rsidRPr="005B6D84">
        <w:rPr>
          <w:snapToGrid/>
          <w:lang w:val="de-DE" w:eastAsia="en-US"/>
        </w:rPr>
        <w:t>unterziehen</w:t>
      </w:r>
      <w:r w:rsidR="00EE22A8" w:rsidRPr="005B6D84">
        <w:rPr>
          <w:snapToGrid/>
          <w:lang w:val="de-DE" w:eastAsia="en-US"/>
        </w:rPr>
        <w:t>.</w:t>
      </w:r>
    </w:p>
    <w:p w:rsidR="00CC0A80" w:rsidRPr="00E06502" w:rsidRDefault="00CC0A80" w:rsidP="00AB69D7">
      <w:pPr>
        <w:spacing w:after="120"/>
        <w:ind w:left="1134" w:right="1134"/>
        <w:jc w:val="both"/>
        <w:rPr>
          <w:snapToGrid/>
          <w:lang w:val="de-DE" w:eastAsia="en-US"/>
        </w:rPr>
      </w:pPr>
      <w:r w:rsidRPr="00E06502">
        <w:rPr>
          <w:snapToGrid/>
          <w:lang w:val="de-DE" w:eastAsia="en-US"/>
        </w:rPr>
        <w:t>6.</w:t>
      </w:r>
      <w:r w:rsidRPr="00E06502">
        <w:rPr>
          <w:snapToGrid/>
          <w:lang w:val="de-DE" w:eastAsia="en-US"/>
        </w:rPr>
        <w:tab/>
      </w:r>
      <w:r w:rsidR="00EE22A8" w:rsidRPr="005B6D84">
        <w:rPr>
          <w:snapToGrid/>
          <w:lang w:val="de-DE" w:eastAsia="en-US"/>
        </w:rPr>
        <w:t xml:space="preserve">Belgien schlägt vor, in die Kapitel 7.1 und 7.2 folgende neue Absätze einzufügen, wonach Schiffe vom Besitz eines Zulassungszeugnisses </w:t>
      </w:r>
      <w:r w:rsidR="00EE22A8" w:rsidRPr="005B6D84">
        <w:rPr>
          <w:color w:val="000000"/>
          <w:lang w:val="de-DE"/>
        </w:rPr>
        <w:t>während des Bunkervorgangs ausgenommen würden:</w:t>
      </w:r>
    </w:p>
    <w:p w:rsidR="00CC0A80" w:rsidRPr="00E06502" w:rsidRDefault="00C45E59" w:rsidP="0078478E">
      <w:pPr>
        <w:spacing w:after="120"/>
        <w:ind w:left="1134" w:right="1134"/>
        <w:jc w:val="both"/>
        <w:rPr>
          <w:b/>
          <w:snapToGrid/>
          <w:lang w:val="de-DE" w:eastAsia="en-US"/>
        </w:rPr>
      </w:pPr>
      <w:r w:rsidRPr="005B6D84">
        <w:rPr>
          <w:snapToGrid/>
          <w:lang w:val="de-DE" w:eastAsia="en-US"/>
        </w:rPr>
        <w:t>„</w:t>
      </w:r>
      <w:r w:rsidR="003F380F" w:rsidRPr="005B6D84">
        <w:rPr>
          <w:snapToGrid/>
          <w:lang w:val="de-DE" w:eastAsia="en-US"/>
        </w:rPr>
        <w:t xml:space="preserve">7.1.2.20: Absatz 7.1.2.19.1 </w:t>
      </w:r>
      <w:r w:rsidR="0078478E" w:rsidRPr="005B6D84">
        <w:rPr>
          <w:snapToGrid/>
          <w:lang w:val="de-DE" w:eastAsia="en-US"/>
        </w:rPr>
        <w:t>gilt nicht für das Bunkern von Schiffsbetriebsstoffen.</w:t>
      </w:r>
      <w:r w:rsidRPr="005B6D84">
        <w:rPr>
          <w:snapToGrid/>
          <w:lang w:val="de-DE" w:eastAsia="en-US"/>
        </w:rPr>
        <w:t>“.</w:t>
      </w:r>
    </w:p>
    <w:p w:rsidR="00CC0A80" w:rsidRPr="00E06502" w:rsidRDefault="0078478E" w:rsidP="0078478E">
      <w:pPr>
        <w:spacing w:after="120"/>
        <w:ind w:left="1134" w:right="1134"/>
        <w:jc w:val="both"/>
        <w:rPr>
          <w:b/>
          <w:snapToGrid/>
          <w:lang w:val="de-DE" w:eastAsia="en-US"/>
        </w:rPr>
      </w:pPr>
      <w:r w:rsidRPr="005B6D84">
        <w:rPr>
          <w:snapToGrid/>
          <w:lang w:val="de-DE" w:eastAsia="en-US"/>
        </w:rPr>
        <w:t>„7.1.2.20: Absatz 7.2.2.19.3 gilt nicht für das Bunkern von Schiffsbetriebsstoffen.“.</w:t>
      </w:r>
    </w:p>
    <w:p w:rsidR="00BD7264" w:rsidRPr="00D72504" w:rsidRDefault="00D72504" w:rsidP="00D72504">
      <w:pPr>
        <w:spacing w:before="240"/>
        <w:ind w:left="1134" w:right="1134"/>
        <w:jc w:val="center"/>
        <w:rPr>
          <w:snapToGrid/>
        </w:rPr>
      </w:pPr>
      <w:r w:rsidRPr="00D72504">
        <w:rPr>
          <w:rFonts w:eastAsia="SimSun"/>
          <w:snapToGrid/>
          <w:lang w:eastAsia="zh-CN"/>
        </w:rPr>
        <w:t>***</w:t>
      </w:r>
    </w:p>
    <w:sectPr w:rsidR="00BD7264" w:rsidRPr="00D72504" w:rsidSect="005F30BB">
      <w:headerReference w:type="even" r:id="rId9"/>
      <w:headerReference w:type="default" r:id="rId10"/>
      <w:footerReference w:type="even" r:id="rId11"/>
      <w:footerReference w:type="default" r:id="rId12"/>
      <w:head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A8" w:rsidRDefault="00D219A8">
      <w:pPr>
        <w:rPr>
          <w:szCs w:val="24"/>
        </w:rPr>
      </w:pPr>
    </w:p>
  </w:endnote>
  <w:endnote w:type="continuationSeparator" w:id="0">
    <w:p w:rsidR="00D219A8" w:rsidRDefault="00D219A8">
      <w:pPr>
        <w:rPr>
          <w:szCs w:val="24"/>
        </w:rPr>
      </w:pPr>
    </w:p>
  </w:endnote>
  <w:endnote w:type="continuationNotice" w:id="1">
    <w:p w:rsidR="00D219A8" w:rsidRDefault="00D219A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E4" w:rsidRPr="009051C2" w:rsidRDefault="009051C2" w:rsidP="00C91DE4">
    <w:pPr>
      <w:pStyle w:val="Footer"/>
      <w:jc w:val="right"/>
      <w:rPr>
        <w:lang w:val="fr-FR"/>
      </w:rPr>
    </w:pPr>
    <w:r w:rsidRPr="009051C2">
      <w:rPr>
        <w:rFonts w:ascii="Arial" w:hAnsi="Arial"/>
        <w:noProof/>
        <w:snapToGrid/>
        <w:sz w:val="12"/>
        <w:szCs w:val="24"/>
        <w:lang w:val="fr-FR"/>
      </w:rPr>
      <w:t>m</w:t>
    </w:r>
    <w:r w:rsidR="00C91DE4" w:rsidRPr="009051C2">
      <w:rPr>
        <w:rFonts w:ascii="Arial" w:hAnsi="Arial"/>
        <w:noProof/>
        <w:snapToGrid/>
        <w:sz w:val="12"/>
        <w:szCs w:val="24"/>
        <w:lang w:val="fr-FR"/>
      </w:rPr>
      <w:t>m</w:t>
    </w:r>
    <w:r w:rsidRPr="009051C2">
      <w:rPr>
        <w:rFonts w:ascii="Arial" w:hAnsi="Arial"/>
        <w:noProof/>
        <w:snapToGrid/>
        <w:sz w:val="12"/>
        <w:szCs w:val="24"/>
        <w:lang w:val="fr-FR"/>
      </w:rPr>
      <w:t>_ba</w:t>
    </w:r>
    <w:r w:rsidR="00C91DE4" w:rsidRPr="009051C2">
      <w:rPr>
        <w:rFonts w:ascii="Arial" w:hAnsi="Arial"/>
        <w:noProof/>
        <w:snapToGrid/>
        <w:sz w:val="12"/>
        <w:szCs w:val="24"/>
        <w:lang w:val="fr-FR"/>
      </w:rPr>
      <w:t>/adn_wp15_ac2_2017_</w:t>
    </w:r>
    <w:r w:rsidR="002C17CF">
      <w:rPr>
        <w:rFonts w:ascii="Arial" w:hAnsi="Arial"/>
        <w:noProof/>
        <w:snapToGrid/>
        <w:sz w:val="12"/>
        <w:szCs w:val="24"/>
        <w:lang w:val="fr-FR"/>
      </w:rPr>
      <w:t>42</w:t>
    </w:r>
    <w:r w:rsidR="00C91DE4"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951A0F" w:rsidRDefault="00564253" w:rsidP="00951A0F">
    <w:pPr>
      <w:pStyle w:val="Footer"/>
      <w:jc w:val="right"/>
      <w:rPr>
        <w:lang w:val="fr-FR"/>
      </w:rPr>
    </w:pPr>
    <w:r w:rsidRPr="00564253">
      <w:rPr>
        <w:rFonts w:ascii="Arial" w:hAnsi="Arial"/>
        <w:noProof/>
        <w:snapToGrid/>
        <w:sz w:val="12"/>
        <w:szCs w:val="24"/>
        <w:lang w:val="fr-FR"/>
      </w:rPr>
      <w:t>m</w:t>
    </w:r>
    <w:r w:rsidR="000A3F47" w:rsidRPr="00564253">
      <w:rPr>
        <w:rFonts w:ascii="Arial" w:hAnsi="Arial"/>
        <w:noProof/>
        <w:snapToGrid/>
        <w:sz w:val="12"/>
        <w:szCs w:val="24"/>
        <w:lang w:val="fr-FR"/>
      </w:rPr>
      <w:t>m</w:t>
    </w:r>
    <w:r w:rsidRPr="00564253">
      <w:rPr>
        <w:rFonts w:ascii="Arial" w:hAnsi="Arial"/>
        <w:noProof/>
        <w:snapToGrid/>
        <w:sz w:val="12"/>
        <w:szCs w:val="24"/>
        <w:lang w:val="fr-FR"/>
      </w:rPr>
      <w:t>_ba</w:t>
    </w:r>
    <w:r w:rsidR="000A3F47" w:rsidRPr="00564253">
      <w:rPr>
        <w:rFonts w:ascii="Arial" w:hAnsi="Arial"/>
        <w:noProof/>
        <w:snapToGrid/>
        <w:sz w:val="12"/>
        <w:szCs w:val="24"/>
        <w:lang w:val="fr-FR"/>
      </w:rPr>
      <w:t>/adn_wp15_ac2_201</w:t>
    </w:r>
    <w:r w:rsidR="00752A6D" w:rsidRPr="00564253">
      <w:rPr>
        <w:rFonts w:ascii="Arial" w:hAnsi="Arial"/>
        <w:noProof/>
        <w:snapToGrid/>
        <w:sz w:val="12"/>
        <w:szCs w:val="24"/>
        <w:lang w:val="fr-FR"/>
      </w:rPr>
      <w:t>7</w:t>
    </w:r>
    <w:r w:rsidR="000A3F47" w:rsidRPr="00564253">
      <w:rPr>
        <w:rFonts w:ascii="Arial" w:hAnsi="Arial"/>
        <w:noProof/>
        <w:snapToGrid/>
        <w:sz w:val="12"/>
        <w:szCs w:val="24"/>
        <w:lang w:val="fr-FR"/>
      </w:rPr>
      <w:t>_</w:t>
    </w:r>
    <w:r w:rsidRPr="00564253">
      <w:rPr>
        <w:rFonts w:ascii="Arial" w:hAnsi="Arial"/>
        <w:noProof/>
        <w:snapToGrid/>
        <w:sz w:val="12"/>
        <w:szCs w:val="24"/>
        <w:lang w:val="fr-FR"/>
      </w:rPr>
      <w:t>42</w:t>
    </w:r>
    <w:r w:rsidR="000A3F47" w:rsidRPr="00564253">
      <w:rPr>
        <w:rFonts w:ascii="Arial" w:hAnsi="Arial"/>
        <w:noProof/>
        <w:snapToGrid/>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A8" w:rsidRDefault="00D219A8">
      <w:pPr>
        <w:tabs>
          <w:tab w:val="right" w:pos="2155"/>
        </w:tabs>
        <w:spacing w:after="80"/>
        <w:ind w:left="680"/>
        <w:rPr>
          <w:szCs w:val="24"/>
          <w:u w:val="single"/>
        </w:rPr>
      </w:pPr>
      <w:r>
        <w:rPr>
          <w:szCs w:val="24"/>
          <w:u w:val="single"/>
        </w:rPr>
        <w:tab/>
      </w:r>
    </w:p>
  </w:footnote>
  <w:footnote w:type="continuationSeparator" w:id="0">
    <w:p w:rsidR="00D219A8" w:rsidRDefault="00D219A8">
      <w:pPr>
        <w:tabs>
          <w:tab w:val="left" w:pos="2155"/>
        </w:tabs>
        <w:spacing w:after="80"/>
        <w:ind w:left="680"/>
        <w:rPr>
          <w:szCs w:val="24"/>
          <w:u w:val="single"/>
        </w:rPr>
      </w:pPr>
      <w:r>
        <w:rPr>
          <w:szCs w:val="24"/>
          <w:u w:val="single"/>
        </w:rPr>
        <w:tab/>
      </w:r>
    </w:p>
  </w:footnote>
  <w:footnote w:type="continuationNotice" w:id="1">
    <w:p w:rsidR="00D219A8" w:rsidRDefault="00D219A8">
      <w:pPr>
        <w:rPr>
          <w:szCs w:val="24"/>
        </w:rPr>
      </w:pPr>
    </w:p>
  </w:footnote>
  <w:footnote w:id="2">
    <w:p w:rsidR="00CC0A80" w:rsidRPr="005F667A" w:rsidRDefault="00CC0A80" w:rsidP="00CC0A80">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 xml:space="preserve">Von der UN-ECE in Englisch, Französisch und Russisch unter dem Aktenzeichen </w:t>
      </w:r>
      <w:r w:rsidRPr="00C91DE4">
        <w:rPr>
          <w:sz w:val="16"/>
          <w:szCs w:val="16"/>
          <w:lang w:val="de-DE"/>
        </w:rPr>
        <w:t>ECE/TRANS/WP.15/AC.2/2017/</w:t>
      </w:r>
      <w:r>
        <w:rPr>
          <w:sz w:val="16"/>
          <w:szCs w:val="16"/>
          <w:lang w:val="de-DE"/>
        </w:rPr>
        <w:t xml:space="preserve">42 </w:t>
      </w:r>
      <w:r w:rsidRPr="005F667A">
        <w:rPr>
          <w:sz w:val="16"/>
          <w:szCs w:val="16"/>
          <w:lang w:val="de-DE"/>
        </w:rPr>
        <w:t>verteilt.</w:t>
      </w:r>
    </w:p>
  </w:footnote>
  <w:footnote w:id="3">
    <w:p w:rsidR="00CC0A80" w:rsidRPr="00447333" w:rsidRDefault="00CC0A80" w:rsidP="00CC0A80">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sidR="00852F91">
      <w:rPr>
        <w:rFonts w:ascii="Arial" w:hAnsi="Arial"/>
        <w:b w:val="0"/>
        <w:sz w:val="16"/>
        <w:szCs w:val="16"/>
        <w:lang w:val="en-US"/>
      </w:rPr>
      <w:t>7</w:t>
    </w:r>
    <w:r w:rsidRPr="00B40749">
      <w:rPr>
        <w:rFonts w:ascii="Arial" w:hAnsi="Arial"/>
        <w:b w:val="0"/>
        <w:sz w:val="16"/>
        <w:szCs w:val="16"/>
        <w:lang w:val="en-US"/>
      </w:rPr>
      <w:t>/</w:t>
    </w:r>
    <w:r w:rsidR="00CC0A80">
      <w:rPr>
        <w:rFonts w:ascii="Arial" w:hAnsi="Arial"/>
        <w:b w:val="0"/>
        <w:sz w:val="16"/>
        <w:szCs w:val="16"/>
        <w:lang w:val="en-US"/>
      </w:rPr>
      <w:t>42</w:t>
    </w:r>
  </w:p>
  <w:p w:rsidR="000A3F47" w:rsidRPr="008F1455" w:rsidRDefault="000A3F47"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C35B01">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sidR="006F1379">
      <w:rPr>
        <w:rFonts w:ascii="Arial" w:hAnsi="Arial"/>
        <w:b w:val="0"/>
        <w:sz w:val="16"/>
        <w:szCs w:val="16"/>
        <w:lang w:val="en-US"/>
      </w:rPr>
      <w:t>7/</w:t>
    </w:r>
    <w:r w:rsidR="002C17CF">
      <w:rPr>
        <w:rFonts w:ascii="Arial" w:hAnsi="Arial"/>
        <w:b w:val="0"/>
        <w:sz w:val="16"/>
        <w:szCs w:val="16"/>
        <w:lang w:val="en-US"/>
      </w:rPr>
      <w:t>42</w:t>
    </w:r>
  </w:p>
  <w:p w:rsidR="000A3F47" w:rsidRPr="008F1455" w:rsidRDefault="000A3F47"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C35B01">
      <w:rPr>
        <w:rFonts w:ascii="Arial" w:hAnsi="Arial"/>
        <w:b w:val="0"/>
        <w:noProof/>
        <w:sz w:val="16"/>
        <w:szCs w:val="16"/>
      </w:rPr>
      <w:t>3</w:t>
    </w:r>
    <w:r w:rsidRPr="008F1455">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7D" w:rsidRPr="00E06502" w:rsidRDefault="00664C7D" w:rsidP="00E065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15FC7"/>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269B6"/>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445F"/>
    <w:rsid w:val="001F5DEF"/>
    <w:rsid w:val="00203DD1"/>
    <w:rsid w:val="00205464"/>
    <w:rsid w:val="00205B1D"/>
    <w:rsid w:val="00207CB9"/>
    <w:rsid w:val="00211454"/>
    <w:rsid w:val="00211E0B"/>
    <w:rsid w:val="002161C2"/>
    <w:rsid w:val="00224AA7"/>
    <w:rsid w:val="00225418"/>
    <w:rsid w:val="00230F0F"/>
    <w:rsid w:val="0023121B"/>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7ADB"/>
    <w:rsid w:val="0029135B"/>
    <w:rsid w:val="00293E45"/>
    <w:rsid w:val="0029559D"/>
    <w:rsid w:val="00296770"/>
    <w:rsid w:val="002A06D0"/>
    <w:rsid w:val="002A0F84"/>
    <w:rsid w:val="002A3AB5"/>
    <w:rsid w:val="002B431F"/>
    <w:rsid w:val="002B50AC"/>
    <w:rsid w:val="002B7E5F"/>
    <w:rsid w:val="002C017B"/>
    <w:rsid w:val="002C03A7"/>
    <w:rsid w:val="002C17CF"/>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4304"/>
    <w:rsid w:val="003107FA"/>
    <w:rsid w:val="0031437A"/>
    <w:rsid w:val="003151F1"/>
    <w:rsid w:val="003152F7"/>
    <w:rsid w:val="00315F72"/>
    <w:rsid w:val="003177E7"/>
    <w:rsid w:val="003229D8"/>
    <w:rsid w:val="00323726"/>
    <w:rsid w:val="00324FA1"/>
    <w:rsid w:val="00326EAB"/>
    <w:rsid w:val="0033023C"/>
    <w:rsid w:val="003316FE"/>
    <w:rsid w:val="00332291"/>
    <w:rsid w:val="00333876"/>
    <w:rsid w:val="0033408B"/>
    <w:rsid w:val="00334129"/>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72E0"/>
    <w:rsid w:val="003A1EBD"/>
    <w:rsid w:val="003A3950"/>
    <w:rsid w:val="003A5281"/>
    <w:rsid w:val="003B071E"/>
    <w:rsid w:val="003B0BDF"/>
    <w:rsid w:val="003B1FD7"/>
    <w:rsid w:val="003B3F7F"/>
    <w:rsid w:val="003B4451"/>
    <w:rsid w:val="003B4590"/>
    <w:rsid w:val="003B507C"/>
    <w:rsid w:val="003B5C22"/>
    <w:rsid w:val="003B642C"/>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667"/>
    <w:rsid w:val="003F1ED3"/>
    <w:rsid w:val="003F380F"/>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0B5"/>
    <w:rsid w:val="004B29D2"/>
    <w:rsid w:val="004B2DDD"/>
    <w:rsid w:val="004B5816"/>
    <w:rsid w:val="004C0580"/>
    <w:rsid w:val="004C5912"/>
    <w:rsid w:val="004C7BD2"/>
    <w:rsid w:val="004D028F"/>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35175"/>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253"/>
    <w:rsid w:val="00565432"/>
    <w:rsid w:val="005712C9"/>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B5A2B"/>
    <w:rsid w:val="005B6D84"/>
    <w:rsid w:val="005C173D"/>
    <w:rsid w:val="005C3653"/>
    <w:rsid w:val="005C6DF8"/>
    <w:rsid w:val="005D3266"/>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4C7D"/>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478E"/>
    <w:rsid w:val="00787CE3"/>
    <w:rsid w:val="00792806"/>
    <w:rsid w:val="007939A6"/>
    <w:rsid w:val="00797065"/>
    <w:rsid w:val="00797099"/>
    <w:rsid w:val="007A01FC"/>
    <w:rsid w:val="007A1A3F"/>
    <w:rsid w:val="007A33C3"/>
    <w:rsid w:val="007A3C01"/>
    <w:rsid w:val="007A3C0B"/>
    <w:rsid w:val="007A6E98"/>
    <w:rsid w:val="007B5B23"/>
    <w:rsid w:val="007B64F2"/>
    <w:rsid w:val="007B6BA5"/>
    <w:rsid w:val="007B7B1E"/>
    <w:rsid w:val="007C169B"/>
    <w:rsid w:val="007C3390"/>
    <w:rsid w:val="007C4A03"/>
    <w:rsid w:val="007C4F4B"/>
    <w:rsid w:val="007C7A4E"/>
    <w:rsid w:val="007D2CBC"/>
    <w:rsid w:val="007D50B8"/>
    <w:rsid w:val="007D64B1"/>
    <w:rsid w:val="007D6B79"/>
    <w:rsid w:val="007E3BE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1E3"/>
    <w:rsid w:val="008242D7"/>
    <w:rsid w:val="00825A28"/>
    <w:rsid w:val="00827320"/>
    <w:rsid w:val="0082761D"/>
    <w:rsid w:val="00827E05"/>
    <w:rsid w:val="008305E5"/>
    <w:rsid w:val="008311A3"/>
    <w:rsid w:val="008316DC"/>
    <w:rsid w:val="008333C7"/>
    <w:rsid w:val="00836A0C"/>
    <w:rsid w:val="00837A3F"/>
    <w:rsid w:val="0084125D"/>
    <w:rsid w:val="00842AFA"/>
    <w:rsid w:val="00842B7B"/>
    <w:rsid w:val="00844584"/>
    <w:rsid w:val="00852F91"/>
    <w:rsid w:val="00853E16"/>
    <w:rsid w:val="0085417D"/>
    <w:rsid w:val="008550E6"/>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834C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57B1"/>
    <w:rsid w:val="008C78C7"/>
    <w:rsid w:val="008D054A"/>
    <w:rsid w:val="008D3C1D"/>
    <w:rsid w:val="008D4730"/>
    <w:rsid w:val="008D5935"/>
    <w:rsid w:val="008E0E46"/>
    <w:rsid w:val="008E58A3"/>
    <w:rsid w:val="008E7D56"/>
    <w:rsid w:val="008F1455"/>
    <w:rsid w:val="008F2F8A"/>
    <w:rsid w:val="008F4E42"/>
    <w:rsid w:val="008F561F"/>
    <w:rsid w:val="008F649A"/>
    <w:rsid w:val="009051C2"/>
    <w:rsid w:val="00906C0C"/>
    <w:rsid w:val="00907AD2"/>
    <w:rsid w:val="009124F2"/>
    <w:rsid w:val="00915860"/>
    <w:rsid w:val="00915FF8"/>
    <w:rsid w:val="00917C0E"/>
    <w:rsid w:val="009243E3"/>
    <w:rsid w:val="00925B30"/>
    <w:rsid w:val="0092768B"/>
    <w:rsid w:val="009316CC"/>
    <w:rsid w:val="00936C2E"/>
    <w:rsid w:val="00936F09"/>
    <w:rsid w:val="00940A5E"/>
    <w:rsid w:val="00945924"/>
    <w:rsid w:val="009464F5"/>
    <w:rsid w:val="00946B6A"/>
    <w:rsid w:val="0094776F"/>
    <w:rsid w:val="00950A26"/>
    <w:rsid w:val="00951A0F"/>
    <w:rsid w:val="00953A54"/>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69D7"/>
    <w:rsid w:val="00AB7662"/>
    <w:rsid w:val="00AB7676"/>
    <w:rsid w:val="00AC1316"/>
    <w:rsid w:val="00AC2900"/>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B01"/>
    <w:rsid w:val="00C35F27"/>
    <w:rsid w:val="00C41A28"/>
    <w:rsid w:val="00C45E59"/>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0A80"/>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2387"/>
    <w:rsid w:val="00D33328"/>
    <w:rsid w:val="00D352CB"/>
    <w:rsid w:val="00D369D8"/>
    <w:rsid w:val="00D370BE"/>
    <w:rsid w:val="00D43252"/>
    <w:rsid w:val="00D45D0A"/>
    <w:rsid w:val="00D46B40"/>
    <w:rsid w:val="00D55857"/>
    <w:rsid w:val="00D56A4E"/>
    <w:rsid w:val="00D60CDC"/>
    <w:rsid w:val="00D6389B"/>
    <w:rsid w:val="00D66BBC"/>
    <w:rsid w:val="00D71B47"/>
    <w:rsid w:val="00D72504"/>
    <w:rsid w:val="00D72DE1"/>
    <w:rsid w:val="00D85458"/>
    <w:rsid w:val="00D90338"/>
    <w:rsid w:val="00D96269"/>
    <w:rsid w:val="00D978C6"/>
    <w:rsid w:val="00D97FD0"/>
    <w:rsid w:val="00DA3C6C"/>
    <w:rsid w:val="00DA5A0F"/>
    <w:rsid w:val="00DA67AD"/>
    <w:rsid w:val="00DB06D2"/>
    <w:rsid w:val="00DB2042"/>
    <w:rsid w:val="00DB2A63"/>
    <w:rsid w:val="00DB4C2A"/>
    <w:rsid w:val="00DB5D0F"/>
    <w:rsid w:val="00DC4C63"/>
    <w:rsid w:val="00DC59B0"/>
    <w:rsid w:val="00DC6021"/>
    <w:rsid w:val="00DD415F"/>
    <w:rsid w:val="00DD41A2"/>
    <w:rsid w:val="00DE10C7"/>
    <w:rsid w:val="00DE32AC"/>
    <w:rsid w:val="00DE3411"/>
    <w:rsid w:val="00DE4FE4"/>
    <w:rsid w:val="00DF0592"/>
    <w:rsid w:val="00DF12F7"/>
    <w:rsid w:val="00DF1747"/>
    <w:rsid w:val="00DF3292"/>
    <w:rsid w:val="00DF44B5"/>
    <w:rsid w:val="00DF495E"/>
    <w:rsid w:val="00DF6806"/>
    <w:rsid w:val="00E01A8F"/>
    <w:rsid w:val="00E02C81"/>
    <w:rsid w:val="00E059FC"/>
    <w:rsid w:val="00E06502"/>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6597"/>
    <w:rsid w:val="00E47898"/>
    <w:rsid w:val="00E53AC3"/>
    <w:rsid w:val="00E55279"/>
    <w:rsid w:val="00E65FE7"/>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690C"/>
    <w:rsid w:val="00ED7A2A"/>
    <w:rsid w:val="00EE17D9"/>
    <w:rsid w:val="00EE1D86"/>
    <w:rsid w:val="00EE22A8"/>
    <w:rsid w:val="00EE5AF8"/>
    <w:rsid w:val="00EE6953"/>
    <w:rsid w:val="00EF0752"/>
    <w:rsid w:val="00EF0C63"/>
    <w:rsid w:val="00EF150D"/>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460C"/>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AFACB-7E0B-472D-BE0D-E43690AE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D32387"/>
    <w:rPr>
      <w:b/>
      <w:snapToGrid w:val="0"/>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F58D-0AE2-4504-B971-CCE17A6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3</Pages>
  <Words>728</Words>
  <Characters>4341</Characters>
  <Application>Microsoft Office Word</Application>
  <DocSecurity>0</DocSecurity>
  <Lines>217</Lines>
  <Paragraphs>112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2017-06-26T08:29:00Z</cp:lastPrinted>
  <dcterms:created xsi:type="dcterms:W3CDTF">2017-06-28T06:53:00Z</dcterms:created>
  <dcterms:modified xsi:type="dcterms:W3CDTF">2017-06-28T06:53:00Z</dcterms:modified>
</cp:coreProperties>
</file>