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B40749" w:rsidRDefault="00EE1D86" w:rsidP="00EE1D86">
      <w:pPr>
        <w:suppressAutoHyphens w:val="0"/>
        <w:spacing w:line="240" w:lineRule="auto"/>
        <w:ind w:left="5387" w:right="-286"/>
        <w:outlineLvl w:val="0"/>
        <w:rPr>
          <w:rFonts w:ascii="Arial" w:hAnsi="Arial"/>
          <w:lang w:val="en-US" w:bidi="fr-FR"/>
        </w:rPr>
      </w:pPr>
      <w:bookmarkStart w:id="0" w:name="_GoBack"/>
      <w:bookmarkEnd w:id="0"/>
      <w:r w:rsidRPr="002D550A">
        <w:rPr>
          <w:noProof/>
          <w:snapToGrid/>
          <w:lang w:eastAsia="en-GB"/>
        </w:rPr>
        <w:drawing>
          <wp:anchor distT="0" distB="0" distL="114300" distR="114300" simplePos="0" relativeHeight="251661312" behindDoc="0" locked="0" layoutInCell="1" allowOverlap="1" wp14:anchorId="1270AE1A" wp14:editId="07D3D18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Pr>
          <w:rFonts w:ascii="Arial" w:eastAsia="Arial" w:hAnsi="Arial" w:cs="Arial"/>
          <w:bCs/>
          <w:snapToGrid/>
          <w:szCs w:val="24"/>
          <w:lang w:val="en-US" w:eastAsia="de-DE"/>
        </w:rPr>
        <w:t>CCNR-ZKR/ADN/WP.15/AC.2/2017</w:t>
      </w:r>
      <w:r w:rsidRPr="00B40749">
        <w:rPr>
          <w:rFonts w:ascii="Arial" w:eastAsia="Arial" w:hAnsi="Arial" w:cs="Arial"/>
          <w:bCs/>
          <w:snapToGrid/>
          <w:szCs w:val="24"/>
          <w:lang w:val="en-US" w:eastAsia="de-DE"/>
        </w:rPr>
        <w:t>/</w:t>
      </w:r>
      <w:r w:rsidR="009051C2">
        <w:rPr>
          <w:rFonts w:ascii="Arial" w:eastAsia="Arial" w:hAnsi="Arial" w:cs="Arial"/>
          <w:bCs/>
          <w:snapToGrid/>
          <w:szCs w:val="24"/>
          <w:lang w:val="en-US" w:eastAsia="de-DE"/>
        </w:rPr>
        <w:t>3</w:t>
      </w:r>
      <w:r w:rsidR="00F864B3">
        <w:rPr>
          <w:rFonts w:ascii="Arial" w:eastAsia="Arial" w:hAnsi="Arial" w:cs="Arial"/>
          <w:bCs/>
          <w:snapToGrid/>
          <w:szCs w:val="24"/>
          <w:lang w:val="en-US" w:eastAsia="de-DE"/>
        </w:rPr>
        <w:t>3</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F864B3"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12</w:t>
      </w:r>
      <w:r w:rsidR="00C91DE4">
        <w:rPr>
          <w:rFonts w:ascii="Arial" w:eastAsia="Arial" w:hAnsi="Arial" w:cs="Arial"/>
          <w:snapToGrid/>
          <w:szCs w:val="24"/>
          <w:lang w:val="de-DE" w:eastAsia="de-DE"/>
        </w:rPr>
        <w:t xml:space="preserve">. </w:t>
      </w:r>
      <w:r w:rsidR="009051C2">
        <w:rPr>
          <w:rFonts w:ascii="Arial" w:eastAsia="Arial" w:hAnsi="Arial" w:cs="Arial"/>
          <w:snapToGrid/>
          <w:szCs w:val="24"/>
          <w:lang w:val="de-DE" w:eastAsia="de-DE"/>
        </w:rPr>
        <w:t>Juni</w:t>
      </w:r>
      <w:r w:rsidR="003A5281">
        <w:rPr>
          <w:rFonts w:ascii="Arial" w:eastAsia="Arial" w:hAnsi="Arial" w:cs="Arial"/>
          <w:snapToGrid/>
          <w:szCs w:val="24"/>
          <w:lang w:val="de-DE" w:eastAsia="de-DE"/>
        </w:rPr>
        <w:t xml:space="preserve"> 2017</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 xml:space="preserve">Or. </w:t>
      </w:r>
      <w:r w:rsidR="00F864B3">
        <w:rPr>
          <w:rFonts w:ascii="Arial" w:eastAsia="Arial" w:hAnsi="Arial" w:cs="Arial"/>
          <w:snapToGrid/>
          <w:sz w:val="16"/>
          <w:szCs w:val="24"/>
          <w:lang w:val="de-DE" w:eastAsia="de-DE"/>
        </w:rPr>
        <w:t>ENGLISCH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sidR="003A5281">
        <w:rPr>
          <w:rFonts w:ascii="Arial" w:hAnsi="Arial"/>
          <w:sz w:val="16"/>
          <w:szCs w:val="24"/>
          <w:lang w:val="de-DE"/>
        </w:rPr>
        <w:t>31</w:t>
      </w:r>
      <w:r w:rsidRPr="002D550A">
        <w:rPr>
          <w:rFonts w:ascii="Arial" w:hAnsi="Arial"/>
          <w:sz w:val="16"/>
          <w:szCs w:val="24"/>
          <w:lang w:val="de-DE"/>
        </w:rPr>
        <w:t xml:space="preserve">. </w:t>
      </w:r>
      <w:r w:rsidR="00852F91">
        <w:rPr>
          <w:rFonts w:ascii="Arial" w:hAnsi="Arial"/>
          <w:noProof/>
          <w:sz w:val="16"/>
          <w:szCs w:val="24"/>
          <w:lang w:val="de-DE"/>
        </w:rPr>
        <w:t xml:space="preserve">Tagung, Genf, </w:t>
      </w:r>
      <w:r w:rsidR="007B5B23">
        <w:rPr>
          <w:rFonts w:ascii="Arial" w:hAnsi="Arial"/>
          <w:noProof/>
          <w:sz w:val="16"/>
          <w:szCs w:val="24"/>
          <w:lang w:val="de-DE"/>
        </w:rPr>
        <w:t>28</w:t>
      </w:r>
      <w:r w:rsidR="00852F91">
        <w:rPr>
          <w:rFonts w:ascii="Arial" w:hAnsi="Arial"/>
          <w:noProof/>
          <w:sz w:val="16"/>
          <w:szCs w:val="24"/>
          <w:lang w:val="de-DE"/>
        </w:rPr>
        <w:t xml:space="preserve"> bis </w:t>
      </w:r>
      <w:r w:rsidR="007B5B23">
        <w:rPr>
          <w:rFonts w:ascii="Arial" w:hAnsi="Arial"/>
          <w:noProof/>
          <w:sz w:val="16"/>
          <w:szCs w:val="24"/>
          <w:lang w:val="de-DE"/>
        </w:rPr>
        <w:t>31</w:t>
      </w:r>
      <w:r w:rsidR="00852F91">
        <w:rPr>
          <w:rFonts w:ascii="Arial" w:hAnsi="Arial"/>
          <w:noProof/>
          <w:sz w:val="16"/>
          <w:szCs w:val="24"/>
          <w:lang w:val="de-DE"/>
        </w:rPr>
        <w:t>. August 2017</w:t>
      </w:r>
      <w:r w:rsidRPr="002D550A">
        <w:rPr>
          <w:rFonts w:ascii="Arial" w:hAnsi="Arial"/>
          <w:noProof/>
          <w:sz w:val="16"/>
          <w:szCs w:val="24"/>
          <w:lang w:val="de-DE"/>
        </w:rPr>
        <w:t>)</w:t>
      </w:r>
    </w:p>
    <w:p w:rsidR="00EE1D86" w:rsidRPr="00D72504"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D72504">
        <w:rPr>
          <w:rFonts w:ascii="Arial" w:hAnsi="Arial" w:cs="Arial"/>
          <w:snapToGrid/>
          <w:sz w:val="16"/>
          <w:szCs w:val="16"/>
          <w:lang w:val="de-DE" w:eastAsia="en-US"/>
        </w:rPr>
        <w:t xml:space="preserve">Punkt </w:t>
      </w:r>
      <w:r w:rsidR="00D72504">
        <w:rPr>
          <w:rFonts w:ascii="Arial" w:hAnsi="Arial" w:cs="Arial"/>
          <w:snapToGrid/>
          <w:sz w:val="16"/>
          <w:szCs w:val="16"/>
          <w:lang w:val="de-DE" w:eastAsia="en-US"/>
        </w:rPr>
        <w:t>4</w:t>
      </w:r>
      <w:r w:rsidR="00752A6D" w:rsidRPr="00D72504">
        <w:rPr>
          <w:rFonts w:ascii="Arial" w:hAnsi="Arial" w:cs="Arial"/>
          <w:snapToGrid/>
          <w:sz w:val="16"/>
          <w:szCs w:val="16"/>
          <w:lang w:val="de-DE" w:eastAsia="en-US"/>
        </w:rPr>
        <w:t xml:space="preserve"> </w:t>
      </w:r>
      <w:r w:rsidR="00D72504">
        <w:rPr>
          <w:rFonts w:ascii="Arial" w:hAnsi="Arial" w:cs="Arial"/>
          <w:snapToGrid/>
          <w:sz w:val="16"/>
          <w:szCs w:val="16"/>
          <w:lang w:val="de-DE" w:eastAsia="en-US"/>
        </w:rPr>
        <w:t>b</w:t>
      </w:r>
      <w:r w:rsidR="00752A6D" w:rsidRPr="00D72504">
        <w:rPr>
          <w:rFonts w:ascii="Arial" w:hAnsi="Arial" w:cs="Arial"/>
          <w:snapToGrid/>
          <w:sz w:val="16"/>
          <w:szCs w:val="16"/>
          <w:lang w:val="de-DE" w:eastAsia="en-US"/>
        </w:rPr>
        <w:t>)</w:t>
      </w:r>
      <w:r w:rsidRPr="00D72504">
        <w:rPr>
          <w:rFonts w:ascii="Arial" w:hAnsi="Arial" w:cs="Arial"/>
          <w:snapToGrid/>
          <w:sz w:val="16"/>
          <w:szCs w:val="16"/>
          <w:lang w:val="de-DE" w:eastAsia="en-US"/>
        </w:rPr>
        <w:t xml:space="preserve"> zur vorläufigen Tagesordnung</w:t>
      </w:r>
    </w:p>
    <w:p w:rsidR="00D72504" w:rsidRPr="002D550A" w:rsidRDefault="00D72504" w:rsidP="00D72504">
      <w:pPr>
        <w:tabs>
          <w:tab w:val="left" w:pos="2977"/>
        </w:tabs>
        <w:suppressAutoHyphens w:val="0"/>
        <w:spacing w:line="240" w:lineRule="auto"/>
        <w:ind w:left="3960"/>
        <w:rPr>
          <w:rFonts w:ascii="Arial" w:hAnsi="Arial" w:cs="Arial"/>
          <w:b/>
          <w:snapToGrid/>
          <w:sz w:val="16"/>
          <w:szCs w:val="16"/>
          <w:lang w:val="de-DE" w:eastAsia="en-US"/>
        </w:rPr>
      </w:pPr>
      <w:r w:rsidRPr="00DC4C63">
        <w:rPr>
          <w:rFonts w:ascii="Arial" w:hAnsi="Arial" w:cs="Arial"/>
          <w:b/>
          <w:snapToGrid/>
          <w:sz w:val="16"/>
          <w:szCs w:val="16"/>
          <w:lang w:val="de-DE" w:eastAsia="en-US"/>
        </w:rPr>
        <w:t>Vorschläge für Änderungen der dem ADN beigefügten Verordnung</w:t>
      </w:r>
      <w:r w:rsidRPr="002D550A">
        <w:rPr>
          <w:rFonts w:ascii="Arial" w:hAnsi="Arial" w:cs="Arial"/>
          <w:b/>
          <w:snapToGrid/>
          <w:sz w:val="16"/>
          <w:szCs w:val="16"/>
          <w:lang w:val="de-DE" w:eastAsia="en-US"/>
        </w:rPr>
        <w:t>:</w:t>
      </w:r>
    </w:p>
    <w:p w:rsidR="00EE1D86" w:rsidRPr="009051C2" w:rsidRDefault="00D72504" w:rsidP="00EE1D86">
      <w:pPr>
        <w:tabs>
          <w:tab w:val="left" w:pos="2977"/>
        </w:tabs>
        <w:suppressAutoHyphens w:val="0"/>
        <w:spacing w:line="240" w:lineRule="auto"/>
        <w:ind w:left="3960"/>
        <w:rPr>
          <w:rFonts w:ascii="Arial" w:hAnsi="Arial" w:cs="Arial"/>
          <w:b/>
          <w:snapToGrid/>
          <w:sz w:val="16"/>
          <w:szCs w:val="16"/>
          <w:lang w:val="de-DE" w:eastAsia="en-US"/>
        </w:rPr>
      </w:pPr>
      <w:r>
        <w:rPr>
          <w:rFonts w:ascii="Arial" w:hAnsi="Arial" w:cs="Arial"/>
          <w:b/>
          <w:snapToGrid/>
          <w:sz w:val="16"/>
          <w:szCs w:val="16"/>
          <w:lang w:val="de-DE" w:eastAsia="en-US"/>
        </w:rPr>
        <w:t>Weitere Vorschläge</w:t>
      </w:r>
    </w:p>
    <w:p w:rsidR="00C91DE4" w:rsidRPr="009051C2" w:rsidRDefault="00C91DE4" w:rsidP="008623E4">
      <w:pPr>
        <w:tabs>
          <w:tab w:val="right" w:pos="851"/>
        </w:tabs>
        <w:snapToGrid w:val="0"/>
        <w:spacing w:line="300" w:lineRule="exact"/>
        <w:ind w:left="1134" w:right="1134" w:hanging="1134"/>
        <w:jc w:val="both"/>
        <w:rPr>
          <w:b/>
          <w:bCs/>
          <w:snapToGrid/>
          <w:sz w:val="28"/>
          <w:szCs w:val="24"/>
          <w:lang w:val="de-DE"/>
        </w:rPr>
      </w:pPr>
    </w:p>
    <w:p w:rsidR="00F864B3" w:rsidRPr="00F864B3" w:rsidRDefault="00F864B3" w:rsidP="009509C2">
      <w:pPr>
        <w:keepNext/>
        <w:keepLines/>
        <w:tabs>
          <w:tab w:val="right" w:pos="851"/>
        </w:tabs>
        <w:spacing w:before="360" w:after="240" w:line="300" w:lineRule="exact"/>
        <w:ind w:left="1134" w:right="1134" w:hanging="1134"/>
        <w:rPr>
          <w:b/>
          <w:snapToGrid/>
          <w:sz w:val="28"/>
          <w:lang w:eastAsia="en-US"/>
        </w:rPr>
      </w:pPr>
      <w:r>
        <w:rPr>
          <w:b/>
          <w:snapToGrid/>
          <w:sz w:val="28"/>
          <w:lang w:eastAsia="en-US"/>
        </w:rPr>
        <w:tab/>
      </w:r>
      <w:r>
        <w:rPr>
          <w:b/>
          <w:snapToGrid/>
          <w:sz w:val="28"/>
          <w:lang w:eastAsia="en-US"/>
        </w:rPr>
        <w:tab/>
      </w:r>
      <w:r w:rsidR="009509C2" w:rsidRPr="009509C2">
        <w:rPr>
          <w:b/>
          <w:snapToGrid/>
          <w:sz w:val="28"/>
          <w:lang w:val="de-DE" w:eastAsia="en-US"/>
        </w:rPr>
        <w:t>Brandschutzisolierung „A-60“</w:t>
      </w:r>
    </w:p>
    <w:p w:rsidR="00EE1D86" w:rsidRPr="009051C2" w:rsidRDefault="009F0D42" w:rsidP="009509C2">
      <w:pPr>
        <w:keepNext/>
        <w:keepLines/>
        <w:tabs>
          <w:tab w:val="right" w:pos="851"/>
        </w:tabs>
        <w:spacing w:before="360" w:after="240" w:line="270" w:lineRule="exact"/>
        <w:ind w:left="1134" w:right="567" w:hanging="1134"/>
        <w:rPr>
          <w:b/>
          <w:snapToGrid/>
          <w:sz w:val="24"/>
          <w:lang w:val="de-DE"/>
        </w:rPr>
      </w:pPr>
      <w:r w:rsidRPr="00F864B3">
        <w:rPr>
          <w:b/>
          <w:snapToGrid/>
          <w:sz w:val="24"/>
          <w:lang w:val="de-DE"/>
        </w:rPr>
        <w:tab/>
      </w:r>
      <w:r w:rsidRPr="00F864B3">
        <w:rPr>
          <w:b/>
          <w:snapToGrid/>
          <w:sz w:val="24"/>
          <w:lang w:val="de-DE"/>
        </w:rPr>
        <w:tab/>
      </w:r>
      <w:r w:rsidR="009051C2" w:rsidRPr="009509C2">
        <w:rPr>
          <w:b/>
          <w:snapToGrid/>
          <w:sz w:val="24"/>
          <w:lang w:val="de-DE"/>
        </w:rPr>
        <w:t>Vorgelegt von den empfohlenen ADN-Klassifikationsgesellschaften</w:t>
      </w:r>
      <w:r w:rsidR="009051C2" w:rsidRPr="009509C2">
        <w:rPr>
          <w:b/>
          <w:snapToGrid/>
          <w:sz w:val="24"/>
          <w:vertAlign w:val="superscript"/>
          <w:lang w:val="de-DE"/>
        </w:rPr>
        <w:t xml:space="preserve"> </w:t>
      </w:r>
      <w:r w:rsidR="00EE1D86" w:rsidRPr="009509C2">
        <w:rPr>
          <w:b/>
          <w:noProof/>
          <w:sz w:val="18"/>
          <w:szCs w:val="24"/>
          <w:vertAlign w:val="superscript"/>
          <w:lang w:val="de-DE"/>
        </w:rPr>
        <w:footnoteReference w:id="2"/>
      </w:r>
      <w:r w:rsidR="00FF2FF5" w:rsidRPr="009509C2">
        <w:rPr>
          <w:b/>
          <w:noProof/>
          <w:sz w:val="18"/>
          <w:szCs w:val="24"/>
          <w:vertAlign w:val="superscript"/>
          <w:lang w:val="de-DE"/>
        </w:rPr>
        <w:t>,</w:t>
      </w:r>
      <w:r w:rsidR="00FF2FF5" w:rsidRPr="009509C2">
        <w:rPr>
          <w:b/>
          <w:noProof/>
          <w:sz w:val="18"/>
          <w:szCs w:val="24"/>
          <w:vertAlign w:val="superscript"/>
          <w:lang w:val="de-DE"/>
        </w:rPr>
        <w:footnoteReference w:id="3"/>
      </w:r>
    </w:p>
    <w:p w:rsidR="00F864B3" w:rsidRPr="004B480F" w:rsidRDefault="00F864B3" w:rsidP="00F864B3">
      <w:pPr>
        <w:keepNext/>
        <w:keepLines/>
        <w:tabs>
          <w:tab w:val="right" w:pos="851"/>
        </w:tabs>
        <w:spacing w:before="360" w:after="240" w:line="300" w:lineRule="exact"/>
        <w:ind w:left="1134" w:right="1134" w:hanging="1134"/>
        <w:rPr>
          <w:b/>
          <w:snapToGrid/>
          <w:sz w:val="28"/>
          <w:lang w:val="de-DE" w:eastAsia="en-US"/>
        </w:rPr>
      </w:pPr>
      <w:r w:rsidRPr="00A25551">
        <w:rPr>
          <w:b/>
          <w:snapToGrid/>
          <w:sz w:val="28"/>
          <w:lang w:val="de-DE" w:eastAsia="en-US"/>
        </w:rPr>
        <w:tab/>
      </w:r>
      <w:r w:rsidRPr="00A25551">
        <w:rPr>
          <w:b/>
          <w:snapToGrid/>
          <w:sz w:val="28"/>
          <w:lang w:val="de-DE" w:eastAsia="en-US"/>
        </w:rPr>
        <w:tab/>
      </w:r>
      <w:r w:rsidR="00930EA2" w:rsidRPr="004B480F">
        <w:rPr>
          <w:b/>
          <w:snapToGrid/>
          <w:sz w:val="28"/>
          <w:lang w:val="de-DE" w:eastAsia="en-US"/>
        </w:rPr>
        <w:t>Einleitung</w:t>
      </w:r>
    </w:p>
    <w:p w:rsidR="00F864B3" w:rsidRPr="004B480F" w:rsidRDefault="00F864B3" w:rsidP="00A101C8">
      <w:pPr>
        <w:spacing w:after="120"/>
        <w:ind w:left="1134" w:right="1134"/>
        <w:jc w:val="both"/>
        <w:rPr>
          <w:rFonts w:eastAsia="SimSun"/>
          <w:snapToGrid/>
          <w:lang w:val="de-DE" w:eastAsia="zh-CN"/>
        </w:rPr>
      </w:pPr>
      <w:r w:rsidRPr="004B480F">
        <w:rPr>
          <w:rFonts w:eastAsia="SimSun"/>
          <w:snapToGrid/>
          <w:lang w:val="de-DE" w:eastAsia="zh-CN"/>
        </w:rPr>
        <w:t>1.</w:t>
      </w:r>
      <w:r w:rsidRPr="004B480F">
        <w:rPr>
          <w:rFonts w:eastAsia="SimSun"/>
          <w:snapToGrid/>
          <w:lang w:val="de-DE" w:eastAsia="zh-CN"/>
        </w:rPr>
        <w:tab/>
      </w:r>
      <w:r w:rsidR="009509C2" w:rsidRPr="00E572F8">
        <w:rPr>
          <w:rFonts w:eastAsia="SimSun"/>
          <w:snapToGrid/>
          <w:lang w:val="de-DE" w:eastAsia="zh-CN"/>
        </w:rPr>
        <w:t xml:space="preserve">In der achtundzwanzigsten Sitzung des ADN-Sicherheitsausschusses wurden die Änderungsvorschläge zu Absatz </w:t>
      </w:r>
      <w:r w:rsidR="009509C2" w:rsidRPr="00E572F8">
        <w:rPr>
          <w:rFonts w:eastAsia="SimSun"/>
          <w:bCs/>
          <w:snapToGrid/>
          <w:lang w:val="de-DE" w:eastAsia="zh-CN"/>
        </w:rPr>
        <w:t xml:space="preserve">9.3.X.11.3 a) (siehe informelles Dokument </w:t>
      </w:r>
      <w:r w:rsidR="009509C2" w:rsidRPr="00E572F8">
        <w:rPr>
          <w:rFonts w:eastAsia="SimSun"/>
          <w:snapToGrid/>
          <w:lang w:val="de-DE" w:eastAsia="zh-CN"/>
        </w:rPr>
        <w:t>INF.26 besagter Sitzung, eingereicht von den empfohlenen ADN-Klassifikationsgesellschaften) vom Sicherheitsausschuss angenommen.</w:t>
      </w:r>
      <w:r w:rsidRPr="004B480F">
        <w:rPr>
          <w:rFonts w:eastAsia="SimSun"/>
          <w:snapToGrid/>
          <w:lang w:val="de-DE" w:eastAsia="zh-CN"/>
        </w:rPr>
        <w:t xml:space="preserve"> </w:t>
      </w:r>
      <w:r w:rsidR="00B77483" w:rsidRPr="00E572F8">
        <w:rPr>
          <w:rFonts w:eastAsia="SimSun"/>
          <w:snapToGrid/>
          <w:lang w:val="de-DE" w:eastAsia="zh-CN"/>
        </w:rPr>
        <w:t>[Die Änderung in der französischen und englischen Fassung hatte keine Auswirkungen auf den deutschen Text.]</w:t>
      </w:r>
      <w:r w:rsidRPr="004B480F">
        <w:rPr>
          <w:rFonts w:eastAsia="SimSun"/>
          <w:snapToGrid/>
          <w:lang w:val="de-DE" w:eastAsia="zh-CN"/>
        </w:rPr>
        <w:t xml:space="preserve"> </w:t>
      </w:r>
      <w:r w:rsidR="00B77483" w:rsidRPr="00E572F8">
        <w:rPr>
          <w:rFonts w:eastAsia="SimSun"/>
          <w:snapToGrid/>
          <w:lang w:val="de-DE" w:eastAsia="zh-CN"/>
        </w:rPr>
        <w:t>(Siehe Dokument ECE/ADN/36).</w:t>
      </w:r>
    </w:p>
    <w:p w:rsidR="00F864B3" w:rsidRPr="004B480F" w:rsidRDefault="00F864B3" w:rsidP="00A62C52">
      <w:pPr>
        <w:spacing w:after="120"/>
        <w:ind w:left="1134" w:right="1134"/>
        <w:jc w:val="both"/>
        <w:rPr>
          <w:rFonts w:eastAsia="SimSun"/>
          <w:snapToGrid/>
          <w:lang w:val="de-DE" w:eastAsia="zh-CN"/>
        </w:rPr>
      </w:pPr>
      <w:r w:rsidRPr="004B480F">
        <w:rPr>
          <w:rFonts w:eastAsia="SimSun"/>
          <w:snapToGrid/>
          <w:lang w:val="de-DE" w:eastAsia="zh-CN"/>
        </w:rPr>
        <w:t>2.</w:t>
      </w:r>
      <w:r w:rsidRPr="004B480F">
        <w:rPr>
          <w:rFonts w:eastAsia="SimSun"/>
          <w:snapToGrid/>
          <w:lang w:val="de-DE" w:eastAsia="zh-CN"/>
        </w:rPr>
        <w:tab/>
      </w:r>
      <w:r w:rsidR="00B77483" w:rsidRPr="00E572F8">
        <w:rPr>
          <w:rFonts w:eastAsia="SimSun"/>
          <w:snapToGrid/>
          <w:lang w:val="de-DE" w:eastAsia="zh-CN"/>
        </w:rPr>
        <w:t xml:space="preserve">Es wurde jedoch darauf hingewiesen, dass die </w:t>
      </w:r>
      <w:r w:rsidR="00A101C8" w:rsidRPr="00E572F8">
        <w:rPr>
          <w:rFonts w:eastAsia="SimSun"/>
          <w:snapToGrid/>
          <w:lang w:val="de-DE" w:eastAsia="zh-CN"/>
        </w:rPr>
        <w:t>Bezugnahmen</w:t>
      </w:r>
      <w:r w:rsidR="00B77483" w:rsidRPr="00E572F8">
        <w:rPr>
          <w:rFonts w:eastAsia="SimSun"/>
          <w:snapToGrid/>
          <w:lang w:val="de-DE" w:eastAsia="zh-CN"/>
        </w:rPr>
        <w:t xml:space="preserve"> auf Schotte mit einer „A-60“-Isolierung nach SOLAS 74 (z. B. in den Absätzen 9.3.X.11.3 a), 9.3.X.17.5 und 9.3.X.17.6) einige Unstimmigkeiten enthielten. Die empfohlenen ADN-Klassifikationsgesellschaften wurden daraufhin gebeten, diese Frage zu untersuchen.</w:t>
      </w:r>
    </w:p>
    <w:p w:rsidR="00F864B3" w:rsidRPr="004B480F" w:rsidRDefault="00F864B3" w:rsidP="00A62C52">
      <w:pPr>
        <w:spacing w:after="120"/>
        <w:ind w:left="1134" w:right="1134"/>
        <w:jc w:val="both"/>
        <w:rPr>
          <w:rFonts w:eastAsia="SimSun"/>
          <w:snapToGrid/>
          <w:lang w:val="de-DE" w:eastAsia="zh-CN"/>
        </w:rPr>
      </w:pPr>
      <w:r w:rsidRPr="004B480F">
        <w:rPr>
          <w:rFonts w:eastAsia="SimSun"/>
          <w:snapToGrid/>
          <w:lang w:val="de-DE" w:eastAsia="zh-CN"/>
        </w:rPr>
        <w:t>3.</w:t>
      </w:r>
      <w:r w:rsidRPr="004B480F">
        <w:rPr>
          <w:rFonts w:eastAsia="SimSun"/>
          <w:snapToGrid/>
          <w:lang w:val="de-DE" w:eastAsia="zh-CN"/>
        </w:rPr>
        <w:tab/>
      </w:r>
      <w:r w:rsidR="00B77483" w:rsidRPr="00E572F8">
        <w:rPr>
          <w:rFonts w:eastAsia="SimSun"/>
          <w:snapToGrid/>
          <w:lang w:val="de-DE" w:eastAsia="zh-CN"/>
        </w:rPr>
        <w:t xml:space="preserve">Der Wortlaut dieser Absätze lautet </w:t>
      </w:r>
      <w:r w:rsidR="00642F1F" w:rsidRPr="00E572F8">
        <w:rPr>
          <w:rFonts w:eastAsia="SimSun"/>
          <w:snapToGrid/>
          <w:lang w:val="de-DE" w:eastAsia="zh-CN"/>
        </w:rPr>
        <w:t xml:space="preserve">derzeit </w:t>
      </w:r>
      <w:r w:rsidR="00B77483" w:rsidRPr="00E572F8">
        <w:rPr>
          <w:rFonts w:eastAsia="SimSun"/>
          <w:snapToGrid/>
          <w:lang w:val="de-DE" w:eastAsia="zh-CN"/>
        </w:rPr>
        <w:t>wie folgt:</w:t>
      </w:r>
    </w:p>
    <w:p w:rsidR="00F864B3" w:rsidRPr="004B480F" w:rsidRDefault="00F864B3" w:rsidP="00F864B3">
      <w:pPr>
        <w:suppressAutoHyphens w:val="0"/>
        <w:spacing w:after="200" w:line="276" w:lineRule="auto"/>
        <w:rPr>
          <w:rFonts w:eastAsia="SimSun"/>
          <w:b/>
          <w:iCs/>
          <w:snapToGrid/>
          <w:lang w:val="de-DE" w:eastAsia="zh-CN"/>
        </w:rPr>
      </w:pPr>
      <w:r w:rsidRPr="004B480F">
        <w:rPr>
          <w:b/>
          <w:iCs/>
          <w:snapToGrid/>
          <w:lang w:val="de-DE" w:eastAsia="en-US"/>
        </w:rPr>
        <w:br w:type="page"/>
      </w:r>
    </w:p>
    <w:p w:rsidR="00F864B3" w:rsidRPr="00F864B3" w:rsidRDefault="00F864B3" w:rsidP="00F864B3">
      <w:pPr>
        <w:widowControl w:val="0"/>
        <w:tabs>
          <w:tab w:val="left" w:pos="1134"/>
        </w:tabs>
        <w:suppressAutoHyphens w:val="0"/>
        <w:overflowPunct w:val="0"/>
        <w:autoSpaceDE w:val="0"/>
        <w:autoSpaceDN w:val="0"/>
        <w:adjustRightInd w:val="0"/>
        <w:spacing w:before="180"/>
        <w:ind w:left="2268" w:right="1134" w:hanging="1134"/>
        <w:jc w:val="both"/>
        <w:textAlignment w:val="baseline"/>
        <w:rPr>
          <w:snapToGrid/>
          <w:lang w:val="de-DE"/>
        </w:rPr>
      </w:pPr>
      <w:r w:rsidRPr="004B480F">
        <w:rPr>
          <w:b/>
          <w:snapToGrid/>
          <w:lang w:val="de-DE"/>
        </w:rPr>
        <w:lastRenderedPageBreak/>
        <w:t>9.3.1.11.3 a)</w:t>
      </w:r>
      <w:r w:rsidRPr="004B480F">
        <w:rPr>
          <w:b/>
          <w:snapToGrid/>
          <w:lang w:val="de-DE"/>
        </w:rPr>
        <w:tab/>
      </w:r>
      <w:r w:rsidRPr="00F864B3">
        <w:rPr>
          <w:snapToGrid/>
          <w:lang w:val="de-DE"/>
        </w:rPr>
        <w:t xml:space="preserve">Aufstellungsräume müssen von den Wohnungen, den Maschinenräumen und den Betriebsräumen unter Deck außerhalb des Bereichs der Ladung durch Schotte getrennt sein, die </w:t>
      </w:r>
      <w:r w:rsidRPr="00F864B3">
        <w:rPr>
          <w:b/>
          <w:snapToGrid/>
          <w:u w:val="single"/>
          <w:lang w:val="de-DE"/>
        </w:rPr>
        <w:t>mit einer Brandschutzisolierung „A-60“ nach SOLAS 74 Kapitel II-2 Regel 3 versehen sind.</w:t>
      </w:r>
      <w:r w:rsidRPr="00F864B3">
        <w:rPr>
          <w:snapToGrid/>
          <w:lang w:val="de-DE"/>
        </w:rPr>
        <w:t xml:space="preserve"> Die Ladetanks müssen mindestens 0,20 m von den Endschotten der Aufstellungsräume entfernt sein. Bei ebenen Endschotten der Ladetanks muss dieser Abstand mindestens 0,50 m betragen.</w:t>
      </w:r>
    </w:p>
    <w:p w:rsidR="00F864B3" w:rsidRPr="00F864B3" w:rsidRDefault="00F864B3" w:rsidP="00F864B3">
      <w:pPr>
        <w:widowControl w:val="0"/>
        <w:tabs>
          <w:tab w:val="left" w:pos="1134"/>
        </w:tabs>
        <w:suppressAutoHyphens w:val="0"/>
        <w:overflowPunct w:val="0"/>
        <w:autoSpaceDE w:val="0"/>
        <w:autoSpaceDN w:val="0"/>
        <w:adjustRightInd w:val="0"/>
        <w:spacing w:before="40"/>
        <w:ind w:left="2268" w:right="1134" w:hanging="1134"/>
        <w:jc w:val="both"/>
        <w:textAlignment w:val="baseline"/>
        <w:rPr>
          <w:snapToGrid/>
          <w:lang w:val="de-DE"/>
        </w:rPr>
      </w:pPr>
      <w:r w:rsidRPr="00F864B3">
        <w:rPr>
          <w:b/>
          <w:snapToGrid/>
          <w:lang w:val="de-DE"/>
        </w:rPr>
        <w:t>9.3.2.11.3</w:t>
      </w:r>
      <w:r>
        <w:rPr>
          <w:b/>
          <w:snapToGrid/>
          <w:lang w:val="de-DE"/>
        </w:rPr>
        <w:t xml:space="preserve"> </w:t>
      </w:r>
      <w:r w:rsidRPr="004B480F">
        <w:rPr>
          <w:b/>
          <w:snapToGrid/>
          <w:lang w:val="de-DE"/>
        </w:rPr>
        <w:t>a)</w:t>
      </w:r>
      <w:r w:rsidRPr="00F864B3">
        <w:rPr>
          <w:snapToGrid/>
          <w:lang w:val="de-DE"/>
        </w:rPr>
        <w:tab/>
        <w:t xml:space="preserve">Ladetanks müssen von den Wohnungen, den Maschinenräumen und den Betriebsräumen unter Deck außerhalb des Bereichs der Ladung oder, wenn solche fehlen, von den Schiffsenden durch Kofferdämme mit einer Mindestbreite von 0,60 m getrennt sein. Wenn die Ladetanks in einem Aufstellungsraum aufgestellt sind, müssen sie mindestens 0,50 m von Endschotten des Aufstellungsraums entfernt sein. In diesem Fall wird ein Endschott, </w:t>
      </w:r>
      <w:r w:rsidRPr="00F864B3">
        <w:rPr>
          <w:b/>
          <w:snapToGrid/>
          <w:u w:val="single"/>
          <w:lang w:val="de-DE"/>
        </w:rPr>
        <w:t>das mindestens der Definition für Klasse „A-60“ gemäß SOLAS 74 Kapitel II-2 Regel 3 entspricht,</w:t>
      </w:r>
      <w:r w:rsidRPr="00F864B3">
        <w:rPr>
          <w:snapToGrid/>
          <w:lang w:val="de-DE"/>
        </w:rPr>
        <w:t xml:space="preserve"> als einem Kofferdamm gleichwertig angesehen. Der Abstand von 0,50 m darf bei Drucktanks auf 0,20 m verringert werden.</w:t>
      </w:r>
    </w:p>
    <w:p w:rsidR="00F864B3" w:rsidRPr="00F864B3" w:rsidRDefault="00F864B3" w:rsidP="00F864B3">
      <w:pPr>
        <w:widowControl w:val="0"/>
        <w:tabs>
          <w:tab w:val="left" w:pos="1134"/>
        </w:tabs>
        <w:suppressAutoHyphens w:val="0"/>
        <w:overflowPunct w:val="0"/>
        <w:autoSpaceDE w:val="0"/>
        <w:autoSpaceDN w:val="0"/>
        <w:adjustRightInd w:val="0"/>
        <w:spacing w:before="180"/>
        <w:ind w:left="2268" w:right="1134" w:hanging="1134"/>
        <w:jc w:val="both"/>
        <w:textAlignment w:val="baseline"/>
        <w:rPr>
          <w:snapToGrid/>
          <w:lang w:val="de-DE"/>
        </w:rPr>
      </w:pPr>
      <w:r w:rsidRPr="00F864B3">
        <w:rPr>
          <w:b/>
          <w:snapToGrid/>
          <w:lang w:val="de-DE"/>
        </w:rPr>
        <w:t>9.3.3.11.3</w:t>
      </w:r>
      <w:r>
        <w:rPr>
          <w:b/>
          <w:snapToGrid/>
          <w:lang w:val="de-DE"/>
        </w:rPr>
        <w:t xml:space="preserve"> </w:t>
      </w:r>
      <w:r w:rsidRPr="004B480F">
        <w:rPr>
          <w:b/>
          <w:snapToGrid/>
          <w:lang w:val="de-DE"/>
        </w:rPr>
        <w:t>a)</w:t>
      </w:r>
      <w:r w:rsidRPr="00F864B3">
        <w:rPr>
          <w:snapToGrid/>
          <w:lang w:val="de-DE"/>
        </w:rPr>
        <w:tab/>
        <w:t xml:space="preserve">Ladetanks müssen von den Wohnungen, den Maschinenräumen und den Betriebsräumen unter Deck außerhalb des Bereichs der Ladung oder, wenn solche fehlen, von den Schiffsenden durch Kofferdämme mit einer Mindestbreite von 0,60 m getrennt sein. Wenn die Ladetanks in einem Aufstellungsraum aufgestellt sind, müssen sie mindestens 0,50 m von den Endschotten des Aufstellungsraums entfernt sein. In diesem Fall wird ein Endschott, </w:t>
      </w:r>
      <w:r w:rsidRPr="00F864B3">
        <w:rPr>
          <w:b/>
          <w:snapToGrid/>
          <w:u w:val="single"/>
          <w:lang w:val="de-DE"/>
        </w:rPr>
        <w:t>das mit einer Brandschutzisolierung „A-60“ nach SOLAS 74 Kapitel II-2 Regel 3 versehen ist,</w:t>
      </w:r>
      <w:r w:rsidRPr="00F864B3">
        <w:rPr>
          <w:snapToGrid/>
          <w:lang w:val="de-DE"/>
        </w:rPr>
        <w:t xml:space="preserve"> als einem Kofferdamm gleichwertig angesehen. Der Abstand von 0,50 m darf bei Drucktanks auf 0,20 m verringert werden.</w:t>
      </w:r>
    </w:p>
    <w:p w:rsidR="00F864B3" w:rsidRPr="00F864B3" w:rsidRDefault="00F864B3" w:rsidP="00F864B3">
      <w:pPr>
        <w:widowControl w:val="0"/>
        <w:tabs>
          <w:tab w:val="left" w:pos="1134"/>
        </w:tabs>
        <w:suppressAutoHyphens w:val="0"/>
        <w:overflowPunct w:val="0"/>
        <w:autoSpaceDE w:val="0"/>
        <w:autoSpaceDN w:val="0"/>
        <w:adjustRightInd w:val="0"/>
        <w:spacing w:before="180"/>
        <w:ind w:left="2268" w:right="1134" w:hanging="1134"/>
        <w:jc w:val="both"/>
        <w:textAlignment w:val="baseline"/>
        <w:rPr>
          <w:snapToGrid/>
          <w:lang w:val="de-DE"/>
        </w:rPr>
      </w:pPr>
      <w:r w:rsidRPr="00F864B3">
        <w:rPr>
          <w:b/>
          <w:snapToGrid/>
          <w:lang w:val="de-DE"/>
        </w:rPr>
        <w:t>9.3.2.17.5</w:t>
      </w:r>
      <w:r>
        <w:rPr>
          <w:b/>
          <w:snapToGrid/>
          <w:lang w:val="de-DE"/>
        </w:rPr>
        <w:t xml:space="preserve"> </w:t>
      </w:r>
      <w:r w:rsidRPr="004B480F">
        <w:rPr>
          <w:b/>
          <w:snapToGrid/>
          <w:lang w:val="de-DE"/>
        </w:rPr>
        <w:t>d)</w:t>
      </w:r>
      <w:r w:rsidRPr="004B480F">
        <w:rPr>
          <w:b/>
          <w:snapToGrid/>
          <w:lang w:val="de-DE"/>
        </w:rPr>
        <w:tab/>
      </w:r>
      <w:r w:rsidRPr="00F864B3">
        <w:rPr>
          <w:snapToGrid/>
          <w:lang w:val="de-DE"/>
        </w:rPr>
        <w:t>Durchführungen durch ein Schott, das mit einer Brandschutzisolierung „A-60“ nach SOLAS 74 Kapitel II-2 Regel 3 versehen ist, müssen eine gleichwertige Brandschutzisolierung haben.</w:t>
      </w:r>
    </w:p>
    <w:p w:rsidR="00F864B3" w:rsidRPr="00F864B3" w:rsidRDefault="00F864B3" w:rsidP="00F864B3">
      <w:pPr>
        <w:widowControl w:val="0"/>
        <w:suppressAutoHyphens w:val="0"/>
        <w:overflowPunct w:val="0"/>
        <w:autoSpaceDE w:val="0"/>
        <w:autoSpaceDN w:val="0"/>
        <w:adjustRightInd w:val="0"/>
        <w:spacing w:before="180"/>
        <w:ind w:left="2268" w:right="1134" w:hanging="1134"/>
        <w:jc w:val="both"/>
        <w:textAlignment w:val="baseline"/>
        <w:rPr>
          <w:snapToGrid/>
          <w:lang w:val="de-DE"/>
        </w:rPr>
      </w:pPr>
      <w:r w:rsidRPr="00F864B3">
        <w:rPr>
          <w:b/>
          <w:snapToGrid/>
          <w:lang w:val="de-DE"/>
        </w:rPr>
        <w:t>9.3.2.17.6</w:t>
      </w:r>
      <w:r w:rsidRPr="00F864B3">
        <w:rPr>
          <w:snapToGrid/>
          <w:lang w:val="de-DE"/>
        </w:rPr>
        <w:tab/>
        <w:t>Ein im Bereich der Ladung unter Deck angeordneter Betriebsraum ist als Pumpenraum für die Aufstellung einer Lade- und Löschanlage nur zulässig, wenn:</w:t>
      </w:r>
    </w:p>
    <w:p w:rsidR="00F864B3" w:rsidRPr="00F864B3" w:rsidRDefault="00F864B3" w:rsidP="00F864B3">
      <w:pPr>
        <w:widowControl w:val="0"/>
        <w:suppressAutoHyphens w:val="0"/>
        <w:overflowPunct w:val="0"/>
        <w:autoSpaceDE w:val="0"/>
        <w:autoSpaceDN w:val="0"/>
        <w:adjustRightInd w:val="0"/>
        <w:spacing w:before="60"/>
        <w:ind w:left="2268" w:right="1134" w:hanging="567"/>
        <w:jc w:val="both"/>
        <w:textAlignment w:val="baseline"/>
        <w:rPr>
          <w:snapToGrid/>
          <w:lang w:val="de-DE"/>
        </w:rPr>
      </w:pPr>
      <w:r w:rsidRPr="00F864B3">
        <w:rPr>
          <w:snapToGrid/>
          <w:lang w:val="de-DE"/>
        </w:rPr>
        <w:t>-</w:t>
      </w:r>
      <w:r w:rsidRPr="00F864B3">
        <w:rPr>
          <w:snapToGrid/>
          <w:lang w:val="de-DE"/>
        </w:rPr>
        <w:tab/>
        <w:t xml:space="preserve">der Pumpenraum durch einen Kofferdamm oder ein Schott, das </w:t>
      </w:r>
      <w:r w:rsidRPr="00F864B3">
        <w:rPr>
          <w:b/>
          <w:snapToGrid/>
          <w:u w:val="single"/>
          <w:lang w:val="de-DE"/>
        </w:rPr>
        <w:t>mit einer Brandschutzisolierung „A-60“ nach SOLAS 74 Kapitel II-2 Regel 3 versehen ist</w:t>
      </w:r>
      <w:r w:rsidRPr="00F864B3">
        <w:rPr>
          <w:snapToGrid/>
          <w:lang w:val="de-DE"/>
        </w:rPr>
        <w:t xml:space="preserve"> oder durch einen Betriebsraum oder einen Aufstellungsraum vom Maschinenraum oder von Betriebsräumen außerhalb des Bereichs der Ladung getrennt ist;</w:t>
      </w:r>
    </w:p>
    <w:p w:rsidR="00F864B3" w:rsidRPr="00F864B3" w:rsidRDefault="00F864B3" w:rsidP="00F864B3">
      <w:pPr>
        <w:widowControl w:val="0"/>
        <w:suppressAutoHyphens w:val="0"/>
        <w:overflowPunct w:val="0"/>
        <w:autoSpaceDE w:val="0"/>
        <w:autoSpaceDN w:val="0"/>
        <w:adjustRightInd w:val="0"/>
        <w:spacing w:before="60"/>
        <w:ind w:left="2268" w:right="1134" w:hanging="567"/>
        <w:jc w:val="both"/>
        <w:textAlignment w:val="baseline"/>
        <w:rPr>
          <w:snapToGrid/>
          <w:lang w:val="de-DE"/>
        </w:rPr>
      </w:pPr>
      <w:r w:rsidRPr="00F864B3">
        <w:rPr>
          <w:snapToGrid/>
          <w:lang w:val="de-DE"/>
        </w:rPr>
        <w:t>-</w:t>
      </w:r>
      <w:r w:rsidRPr="00F864B3">
        <w:rPr>
          <w:snapToGrid/>
          <w:lang w:val="de-DE"/>
        </w:rPr>
        <w:tab/>
        <w:t>das vorstehend geforderte „A-60“-Schott keine Durchbrüche gemäß Absatz 9.3.2.17.5 a) hat;</w:t>
      </w:r>
    </w:p>
    <w:p w:rsidR="00F864B3" w:rsidRPr="00F864B3" w:rsidRDefault="00F864B3" w:rsidP="00F864B3">
      <w:pPr>
        <w:widowControl w:val="0"/>
        <w:tabs>
          <w:tab w:val="left" w:pos="1134"/>
        </w:tabs>
        <w:suppressAutoHyphens w:val="0"/>
        <w:overflowPunct w:val="0"/>
        <w:autoSpaceDE w:val="0"/>
        <w:autoSpaceDN w:val="0"/>
        <w:adjustRightInd w:val="0"/>
        <w:spacing w:before="180"/>
        <w:ind w:left="1418" w:hanging="1418"/>
        <w:jc w:val="both"/>
        <w:textAlignment w:val="baseline"/>
        <w:rPr>
          <w:rFonts w:ascii="Arial" w:hAnsi="Arial"/>
          <w:snapToGrid/>
          <w:sz w:val="18"/>
          <w:szCs w:val="18"/>
          <w:lang w:val="de-DE"/>
        </w:rPr>
      </w:pPr>
    </w:p>
    <w:p w:rsidR="00F864B3" w:rsidRPr="004B480F" w:rsidRDefault="00F864B3" w:rsidP="00A62C52">
      <w:pPr>
        <w:spacing w:after="120"/>
        <w:ind w:left="1134" w:right="1134"/>
        <w:jc w:val="both"/>
        <w:rPr>
          <w:rFonts w:eastAsia="SimSun"/>
          <w:snapToGrid/>
          <w:lang w:val="de-DE" w:eastAsia="zh-CN"/>
        </w:rPr>
      </w:pPr>
      <w:r w:rsidRPr="004B480F">
        <w:rPr>
          <w:rFonts w:eastAsia="SimSun"/>
          <w:snapToGrid/>
          <w:w w:val="103"/>
          <w:lang w:val="de-DE" w:eastAsia="zh-CN"/>
        </w:rPr>
        <w:t>4.</w:t>
      </w:r>
      <w:r w:rsidRPr="004B480F">
        <w:rPr>
          <w:rFonts w:eastAsia="SimSun"/>
          <w:snapToGrid/>
          <w:w w:val="103"/>
          <w:lang w:val="de-DE" w:eastAsia="zh-CN"/>
        </w:rPr>
        <w:tab/>
      </w:r>
      <w:r w:rsidR="00B77483" w:rsidRPr="00E572F8">
        <w:rPr>
          <w:rFonts w:eastAsia="SimSun"/>
          <w:snapToGrid/>
          <w:w w:val="103"/>
          <w:lang w:val="de-DE" w:eastAsia="zh-CN"/>
        </w:rPr>
        <w:t xml:space="preserve">Die </w:t>
      </w:r>
      <w:r w:rsidR="00B77483" w:rsidRPr="00E572F8">
        <w:rPr>
          <w:rFonts w:eastAsia="SimSun"/>
          <w:snapToGrid/>
          <w:lang w:val="de-DE" w:eastAsia="zh-CN"/>
        </w:rPr>
        <w:t xml:space="preserve">empfohlenen ADN-Klassifikationsgesellschaften schlagen vor, in die Absätze 9.3.x.11.3 a), 9.3.x.17.5 d) und 9.3.x.17.6 die Worte </w:t>
      </w:r>
      <w:r w:rsidR="001E4E67" w:rsidRPr="00E572F8">
        <w:rPr>
          <w:rFonts w:ascii="Arial" w:eastAsia="SimSun" w:hAnsi="Arial" w:cs="Arial"/>
          <w:snapToGrid/>
          <w:lang w:val="de-DE" w:eastAsia="zh-CN"/>
        </w:rPr>
        <w:t>„</w:t>
      </w:r>
      <w:r w:rsidR="001E4E67" w:rsidRPr="00E572F8">
        <w:rPr>
          <w:rFonts w:eastAsia="SimSun"/>
          <w:b/>
          <w:snapToGrid/>
          <w:lang w:val="de-DE" w:eastAsia="zh-CN"/>
        </w:rPr>
        <w:t>Schotte mit einer „A-60“-Isolierung nach SOLAS 74 Kapitel II-2 Regel 3</w:t>
      </w:r>
      <w:r w:rsidR="00B77483" w:rsidRPr="00E572F8">
        <w:rPr>
          <w:rFonts w:ascii="Arial" w:eastAsia="SimSun" w:hAnsi="Arial" w:cs="Arial"/>
          <w:snapToGrid/>
          <w:lang w:val="de-DE" w:eastAsia="zh-CN"/>
        </w:rPr>
        <w:t>“</w:t>
      </w:r>
      <w:r w:rsidR="00B77483" w:rsidRPr="00E572F8">
        <w:rPr>
          <w:rFonts w:eastAsia="SimSun"/>
          <w:snapToGrid/>
          <w:lang w:val="de-DE" w:eastAsia="zh-CN"/>
        </w:rPr>
        <w:t xml:space="preserve"> einzufügen.</w:t>
      </w:r>
      <w:r w:rsidRPr="00E572F8">
        <w:rPr>
          <w:rFonts w:eastAsia="SimSun"/>
          <w:snapToGrid/>
          <w:vertAlign w:val="superscript"/>
          <w:lang w:eastAsia="zh-CN"/>
        </w:rPr>
        <w:footnoteReference w:id="4"/>
      </w:r>
    </w:p>
    <w:p w:rsidR="00BD7264" w:rsidRPr="00D72504" w:rsidRDefault="00D72504" w:rsidP="00D72504">
      <w:pPr>
        <w:spacing w:before="240"/>
        <w:ind w:left="1134" w:right="1134"/>
        <w:jc w:val="center"/>
        <w:rPr>
          <w:snapToGrid/>
        </w:rPr>
      </w:pPr>
      <w:r w:rsidRPr="00D72504">
        <w:rPr>
          <w:rFonts w:eastAsia="SimSun"/>
          <w:snapToGrid/>
          <w:lang w:eastAsia="zh-CN"/>
        </w:rPr>
        <w:t>***</w:t>
      </w:r>
    </w:p>
    <w:sectPr w:rsidR="00BD7264" w:rsidRPr="00D72504"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A8" w:rsidRDefault="00D219A8">
      <w:pPr>
        <w:rPr>
          <w:szCs w:val="24"/>
        </w:rPr>
      </w:pPr>
    </w:p>
  </w:endnote>
  <w:endnote w:type="continuationSeparator" w:id="0">
    <w:p w:rsidR="00D219A8" w:rsidRDefault="00D219A8">
      <w:pPr>
        <w:rPr>
          <w:szCs w:val="24"/>
        </w:rPr>
      </w:pPr>
    </w:p>
  </w:endnote>
  <w:endnote w:type="continuationNotice" w:id="1">
    <w:p w:rsidR="00D219A8" w:rsidRDefault="00D219A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E4" w:rsidRPr="009051C2" w:rsidRDefault="009051C2" w:rsidP="00C91DE4">
    <w:pPr>
      <w:pStyle w:val="Footer"/>
      <w:jc w:val="right"/>
      <w:rPr>
        <w:lang w:val="fr-FR"/>
      </w:rPr>
    </w:pPr>
    <w:r w:rsidRPr="009051C2">
      <w:rPr>
        <w:rFonts w:ascii="Arial" w:hAnsi="Arial"/>
        <w:noProof/>
        <w:snapToGrid/>
        <w:sz w:val="12"/>
        <w:szCs w:val="24"/>
        <w:lang w:val="fr-FR"/>
      </w:rPr>
      <w:t>m</w:t>
    </w:r>
    <w:r w:rsidR="00C91DE4" w:rsidRPr="009051C2">
      <w:rPr>
        <w:rFonts w:ascii="Arial" w:hAnsi="Arial"/>
        <w:noProof/>
        <w:snapToGrid/>
        <w:sz w:val="12"/>
        <w:szCs w:val="24"/>
        <w:lang w:val="fr-FR"/>
      </w:rPr>
      <w:t>m</w:t>
    </w:r>
    <w:r w:rsidRPr="009051C2">
      <w:rPr>
        <w:rFonts w:ascii="Arial" w:hAnsi="Arial"/>
        <w:noProof/>
        <w:snapToGrid/>
        <w:sz w:val="12"/>
        <w:szCs w:val="24"/>
        <w:lang w:val="fr-FR"/>
      </w:rPr>
      <w:t>_ba</w:t>
    </w:r>
    <w:r w:rsidR="00C91DE4" w:rsidRPr="009051C2">
      <w:rPr>
        <w:rFonts w:ascii="Arial" w:hAnsi="Arial"/>
        <w:noProof/>
        <w:snapToGrid/>
        <w:sz w:val="12"/>
        <w:szCs w:val="24"/>
        <w:lang w:val="fr-FR"/>
      </w:rPr>
      <w:t>/adn_wp15_ac2_2017_</w:t>
    </w:r>
    <w:r w:rsidRPr="009051C2">
      <w:rPr>
        <w:rFonts w:ascii="Arial" w:hAnsi="Arial"/>
        <w:noProof/>
        <w:snapToGrid/>
        <w:sz w:val="12"/>
        <w:szCs w:val="24"/>
        <w:lang w:val="fr-FR"/>
      </w:rPr>
      <w:t>3</w:t>
    </w:r>
    <w:r w:rsidR="00F864B3">
      <w:rPr>
        <w:rFonts w:ascii="Arial" w:hAnsi="Arial"/>
        <w:noProof/>
        <w:snapToGrid/>
        <w:sz w:val="12"/>
        <w:szCs w:val="24"/>
        <w:lang w:val="fr-FR"/>
      </w:rPr>
      <w:t>3</w:t>
    </w:r>
    <w:r w:rsidR="00C91DE4"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951A0F" w:rsidRDefault="000A3F47" w:rsidP="00951A0F">
    <w:pPr>
      <w:pStyle w:val="Footer"/>
      <w:jc w:val="right"/>
      <w:rPr>
        <w:lang w:val="fr-FR"/>
      </w:rPr>
    </w:pPr>
    <w:r w:rsidRPr="00E345CE">
      <w:rPr>
        <w:rFonts w:ascii="Arial" w:hAnsi="Arial"/>
        <w:noProof/>
        <w:snapToGrid/>
        <w:sz w:val="12"/>
        <w:szCs w:val="24"/>
        <w:lang w:val="en-US"/>
      </w:rPr>
      <w:t>mm/adn_wp15_ac2_201</w:t>
    </w:r>
    <w:r w:rsidR="00752A6D">
      <w:rPr>
        <w:rFonts w:ascii="Arial" w:hAnsi="Arial"/>
        <w:noProof/>
        <w:snapToGrid/>
        <w:sz w:val="12"/>
        <w:szCs w:val="24"/>
        <w:lang w:val="en-US"/>
      </w:rPr>
      <w:t>7</w:t>
    </w:r>
    <w:r w:rsidRPr="00E345CE">
      <w:rPr>
        <w:rFonts w:ascii="Arial" w:hAnsi="Arial"/>
        <w:noProof/>
        <w:snapToGrid/>
        <w:sz w:val="12"/>
        <w:szCs w:val="24"/>
        <w:lang w:val="en-US"/>
      </w:rPr>
      <w:t>_</w:t>
    </w:r>
    <w:r w:rsidR="00752A6D">
      <w:rPr>
        <w:rFonts w:ascii="Arial" w:hAnsi="Arial"/>
        <w:noProof/>
        <w:snapToGrid/>
        <w:sz w:val="12"/>
        <w:szCs w:val="24"/>
        <w:lang w:val="en-US"/>
      </w:rPr>
      <w:t>24</w:t>
    </w:r>
    <w:r>
      <w:rPr>
        <w:rFonts w:ascii="Arial" w:hAnsi="Arial"/>
        <w:noProof/>
        <w:snapToGrid/>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A8" w:rsidRDefault="00D219A8">
      <w:pPr>
        <w:tabs>
          <w:tab w:val="right" w:pos="2155"/>
        </w:tabs>
        <w:spacing w:after="80"/>
        <w:ind w:left="680"/>
        <w:rPr>
          <w:szCs w:val="24"/>
          <w:u w:val="single"/>
        </w:rPr>
      </w:pPr>
      <w:r>
        <w:rPr>
          <w:szCs w:val="24"/>
          <w:u w:val="single"/>
        </w:rPr>
        <w:tab/>
      </w:r>
    </w:p>
  </w:footnote>
  <w:footnote w:type="continuationSeparator" w:id="0">
    <w:p w:rsidR="00D219A8" w:rsidRDefault="00D219A8">
      <w:pPr>
        <w:tabs>
          <w:tab w:val="left" w:pos="2155"/>
        </w:tabs>
        <w:spacing w:after="80"/>
        <w:ind w:left="680"/>
        <w:rPr>
          <w:szCs w:val="24"/>
          <w:u w:val="single"/>
        </w:rPr>
      </w:pPr>
      <w:r>
        <w:rPr>
          <w:szCs w:val="24"/>
          <w:u w:val="single"/>
        </w:rPr>
        <w:tab/>
      </w:r>
    </w:p>
  </w:footnote>
  <w:footnote w:type="continuationNotice" w:id="1">
    <w:p w:rsidR="00D219A8" w:rsidRDefault="00D219A8">
      <w:pPr>
        <w:rPr>
          <w:szCs w:val="24"/>
        </w:rPr>
      </w:pPr>
    </w:p>
  </w:footnote>
  <w:footnote w:id="2">
    <w:p w:rsidR="000A3F47" w:rsidRPr="005F667A" w:rsidRDefault="000A3F47" w:rsidP="00EE1D86">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 xml:space="preserve">Von der UN-ECE in Englisch, Französisch und Russisch unter dem Aktenzeichen </w:t>
      </w:r>
      <w:r w:rsidR="00C91DE4" w:rsidRPr="00C91DE4">
        <w:rPr>
          <w:sz w:val="16"/>
          <w:szCs w:val="16"/>
          <w:lang w:val="de-DE"/>
        </w:rPr>
        <w:t>ECE/TRANS/WP.15/AC.2/2017/</w:t>
      </w:r>
      <w:r w:rsidR="009051C2">
        <w:rPr>
          <w:sz w:val="16"/>
          <w:szCs w:val="16"/>
          <w:lang w:val="de-DE"/>
        </w:rPr>
        <w:t>3</w:t>
      </w:r>
      <w:r w:rsidR="00F864B3">
        <w:rPr>
          <w:sz w:val="16"/>
          <w:szCs w:val="16"/>
          <w:lang w:val="de-DE"/>
        </w:rPr>
        <w:t>3</w:t>
      </w:r>
      <w:r>
        <w:rPr>
          <w:sz w:val="16"/>
          <w:szCs w:val="16"/>
          <w:lang w:val="de-DE"/>
        </w:rPr>
        <w:t xml:space="preserve"> </w:t>
      </w:r>
      <w:r w:rsidRPr="005F667A">
        <w:rPr>
          <w:sz w:val="16"/>
          <w:szCs w:val="16"/>
          <w:lang w:val="de-DE"/>
        </w:rPr>
        <w:t>verteilt.</w:t>
      </w:r>
    </w:p>
  </w:footnote>
  <w:footnote w:id="3">
    <w:p w:rsidR="000A3F47" w:rsidRPr="00447333" w:rsidRDefault="000A3F47" w:rsidP="00FF2FF5">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 w:id="4">
    <w:p w:rsidR="00F864B3" w:rsidRPr="004B480F" w:rsidRDefault="00F864B3" w:rsidP="00661E33">
      <w:pPr>
        <w:pStyle w:val="FootnoteText"/>
        <w:tabs>
          <w:tab w:val="clear" w:pos="1021"/>
        </w:tabs>
        <w:ind w:left="1418" w:hanging="284"/>
        <w:rPr>
          <w:sz w:val="16"/>
          <w:szCs w:val="16"/>
          <w:lang w:val="de-DE"/>
        </w:rPr>
      </w:pPr>
      <w:r>
        <w:rPr>
          <w:rStyle w:val="FootnoteReference"/>
        </w:rPr>
        <w:footnoteRef/>
      </w:r>
      <w:r w:rsidRPr="004B480F">
        <w:rPr>
          <w:lang w:val="de-DE"/>
        </w:rPr>
        <w:tab/>
      </w:r>
      <w:r w:rsidR="00757263" w:rsidRPr="00E572F8">
        <w:rPr>
          <w:sz w:val="16"/>
          <w:szCs w:val="16"/>
          <w:lang w:val="de-DE"/>
        </w:rPr>
        <w:t>Anmerkung des Sekretariats:</w:t>
      </w:r>
      <w:r w:rsidRPr="004B480F">
        <w:rPr>
          <w:sz w:val="16"/>
          <w:szCs w:val="16"/>
          <w:lang w:val="de-DE"/>
        </w:rPr>
        <w:t xml:space="preserve"> </w:t>
      </w:r>
      <w:r w:rsidR="00757263" w:rsidRPr="00E572F8">
        <w:rPr>
          <w:sz w:val="16"/>
          <w:szCs w:val="16"/>
          <w:lang w:val="de-DE"/>
        </w:rPr>
        <w:t xml:space="preserve">Aus Kohärenzgründen sollte der in Abschnitt 1.2.1 definierte Ausdruck „SOLAS“ durch den Ausdruck „SOLAS 1974“ </w:t>
      </w:r>
      <w:r w:rsidR="00AA4433" w:rsidRPr="00E572F8">
        <w:rPr>
          <w:sz w:val="16"/>
          <w:szCs w:val="16"/>
          <w:lang w:val="de-DE"/>
        </w:rPr>
        <w:t>ersetzt werden, der sonst in der dem ADN beigefügten Verordnung verwendet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sidR="00852F91">
      <w:rPr>
        <w:rFonts w:ascii="Arial" w:hAnsi="Arial"/>
        <w:b w:val="0"/>
        <w:sz w:val="16"/>
        <w:szCs w:val="16"/>
        <w:lang w:val="en-US"/>
      </w:rPr>
      <w:t>7</w:t>
    </w:r>
    <w:r w:rsidRPr="00B40749">
      <w:rPr>
        <w:rFonts w:ascii="Arial" w:hAnsi="Arial"/>
        <w:b w:val="0"/>
        <w:sz w:val="16"/>
        <w:szCs w:val="16"/>
        <w:lang w:val="en-US"/>
      </w:rPr>
      <w:t>/</w:t>
    </w:r>
    <w:r w:rsidR="009051C2">
      <w:rPr>
        <w:rFonts w:ascii="Arial" w:hAnsi="Arial"/>
        <w:b w:val="0"/>
        <w:sz w:val="16"/>
        <w:szCs w:val="16"/>
        <w:lang w:val="en-US"/>
      </w:rPr>
      <w:t>3</w:t>
    </w:r>
    <w:r w:rsidR="00F864B3">
      <w:rPr>
        <w:rFonts w:ascii="Arial" w:hAnsi="Arial"/>
        <w:b w:val="0"/>
        <w:sz w:val="16"/>
        <w:szCs w:val="16"/>
        <w:lang w:val="en-US"/>
      </w:rPr>
      <w:t>3</w:t>
    </w:r>
  </w:p>
  <w:p w:rsidR="000A3F47" w:rsidRPr="008F1455" w:rsidRDefault="000A3F47"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664FDD">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sidR="006F1379">
      <w:rPr>
        <w:rFonts w:ascii="Arial" w:hAnsi="Arial"/>
        <w:b w:val="0"/>
        <w:sz w:val="16"/>
        <w:szCs w:val="16"/>
        <w:lang w:val="en-US"/>
      </w:rPr>
      <w:t>7/</w:t>
    </w:r>
    <w:r w:rsidR="00752A6D">
      <w:rPr>
        <w:rFonts w:ascii="Arial" w:hAnsi="Arial"/>
        <w:b w:val="0"/>
        <w:sz w:val="16"/>
        <w:szCs w:val="16"/>
        <w:lang w:val="en-US"/>
      </w:rPr>
      <w:t>24</w:t>
    </w:r>
  </w:p>
  <w:p w:rsidR="000A3F47" w:rsidRPr="008F1455" w:rsidRDefault="000A3F47"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A62C52">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15FC7"/>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4E67"/>
    <w:rsid w:val="001E73AA"/>
    <w:rsid w:val="001F09CD"/>
    <w:rsid w:val="001F1354"/>
    <w:rsid w:val="001F14EB"/>
    <w:rsid w:val="001F445F"/>
    <w:rsid w:val="001F5DEF"/>
    <w:rsid w:val="00203DD1"/>
    <w:rsid w:val="00205464"/>
    <w:rsid w:val="00205B1D"/>
    <w:rsid w:val="00207CB9"/>
    <w:rsid w:val="00211454"/>
    <w:rsid w:val="00211E0B"/>
    <w:rsid w:val="002161C2"/>
    <w:rsid w:val="00224AA7"/>
    <w:rsid w:val="00225418"/>
    <w:rsid w:val="0023121B"/>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7ADB"/>
    <w:rsid w:val="0029135B"/>
    <w:rsid w:val="00293E45"/>
    <w:rsid w:val="0029559D"/>
    <w:rsid w:val="00296770"/>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4304"/>
    <w:rsid w:val="003107FA"/>
    <w:rsid w:val="0031437A"/>
    <w:rsid w:val="003151F1"/>
    <w:rsid w:val="003152F7"/>
    <w:rsid w:val="00315F72"/>
    <w:rsid w:val="003177E7"/>
    <w:rsid w:val="003229D8"/>
    <w:rsid w:val="00323726"/>
    <w:rsid w:val="00324FA1"/>
    <w:rsid w:val="00326EAB"/>
    <w:rsid w:val="0033023C"/>
    <w:rsid w:val="003316FE"/>
    <w:rsid w:val="00332291"/>
    <w:rsid w:val="00333876"/>
    <w:rsid w:val="0033408B"/>
    <w:rsid w:val="00334129"/>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72E0"/>
    <w:rsid w:val="003A1EBD"/>
    <w:rsid w:val="003A3950"/>
    <w:rsid w:val="003A5281"/>
    <w:rsid w:val="003B071E"/>
    <w:rsid w:val="003B0BDF"/>
    <w:rsid w:val="003B1FD7"/>
    <w:rsid w:val="003B3F7F"/>
    <w:rsid w:val="003B4451"/>
    <w:rsid w:val="003B4590"/>
    <w:rsid w:val="003B507C"/>
    <w:rsid w:val="003B5C22"/>
    <w:rsid w:val="003B642C"/>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667"/>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0B5"/>
    <w:rsid w:val="004B29D2"/>
    <w:rsid w:val="004B480F"/>
    <w:rsid w:val="004B5816"/>
    <w:rsid w:val="004C0580"/>
    <w:rsid w:val="004C5912"/>
    <w:rsid w:val="004C7BD2"/>
    <w:rsid w:val="004D028F"/>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432"/>
    <w:rsid w:val="005712C9"/>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266"/>
    <w:rsid w:val="005D3642"/>
    <w:rsid w:val="005D3FE8"/>
    <w:rsid w:val="005D7718"/>
    <w:rsid w:val="005E286B"/>
    <w:rsid w:val="005E7C6F"/>
    <w:rsid w:val="005F2595"/>
    <w:rsid w:val="005F2BD2"/>
    <w:rsid w:val="005F30BB"/>
    <w:rsid w:val="005F3E0D"/>
    <w:rsid w:val="005F441C"/>
    <w:rsid w:val="005F667A"/>
    <w:rsid w:val="005F66D0"/>
    <w:rsid w:val="005F6B61"/>
    <w:rsid w:val="005F6E62"/>
    <w:rsid w:val="00601D72"/>
    <w:rsid w:val="0060248B"/>
    <w:rsid w:val="00603EBA"/>
    <w:rsid w:val="00605C39"/>
    <w:rsid w:val="00606CF1"/>
    <w:rsid w:val="00610834"/>
    <w:rsid w:val="00611FC4"/>
    <w:rsid w:val="00613BD9"/>
    <w:rsid w:val="00617178"/>
    <w:rsid w:val="006176FB"/>
    <w:rsid w:val="0062304B"/>
    <w:rsid w:val="006249FB"/>
    <w:rsid w:val="00626B1C"/>
    <w:rsid w:val="00627ED0"/>
    <w:rsid w:val="00630B7D"/>
    <w:rsid w:val="00631FF4"/>
    <w:rsid w:val="006364CC"/>
    <w:rsid w:val="00637CA2"/>
    <w:rsid w:val="00640B26"/>
    <w:rsid w:val="00642C2E"/>
    <w:rsid w:val="00642F1F"/>
    <w:rsid w:val="00644FED"/>
    <w:rsid w:val="0064585E"/>
    <w:rsid w:val="006517B6"/>
    <w:rsid w:val="00651FC8"/>
    <w:rsid w:val="00661E33"/>
    <w:rsid w:val="00664FDD"/>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263"/>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7065"/>
    <w:rsid w:val="00797099"/>
    <w:rsid w:val="007A01FC"/>
    <w:rsid w:val="007A1A3F"/>
    <w:rsid w:val="007A3C01"/>
    <w:rsid w:val="007A3C0B"/>
    <w:rsid w:val="007A6E98"/>
    <w:rsid w:val="007B5B23"/>
    <w:rsid w:val="007B64F2"/>
    <w:rsid w:val="007B6BA5"/>
    <w:rsid w:val="007B7B1E"/>
    <w:rsid w:val="007C169B"/>
    <w:rsid w:val="007C3390"/>
    <w:rsid w:val="007C4A03"/>
    <w:rsid w:val="007C4F4B"/>
    <w:rsid w:val="007C7A4E"/>
    <w:rsid w:val="007D06DA"/>
    <w:rsid w:val="007D2CBC"/>
    <w:rsid w:val="007D64B1"/>
    <w:rsid w:val="007D6B79"/>
    <w:rsid w:val="007E3BE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1E3"/>
    <w:rsid w:val="008242D7"/>
    <w:rsid w:val="00825A28"/>
    <w:rsid w:val="00827320"/>
    <w:rsid w:val="0082761D"/>
    <w:rsid w:val="00827E05"/>
    <w:rsid w:val="008305E5"/>
    <w:rsid w:val="00830BE6"/>
    <w:rsid w:val="008311A3"/>
    <w:rsid w:val="008316DC"/>
    <w:rsid w:val="008333C7"/>
    <w:rsid w:val="00836A0C"/>
    <w:rsid w:val="00837A3F"/>
    <w:rsid w:val="0084125D"/>
    <w:rsid w:val="00842AFA"/>
    <w:rsid w:val="00842B7B"/>
    <w:rsid w:val="00844584"/>
    <w:rsid w:val="00852F91"/>
    <w:rsid w:val="00853E16"/>
    <w:rsid w:val="0085417D"/>
    <w:rsid w:val="008550E6"/>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57B1"/>
    <w:rsid w:val="008C78C7"/>
    <w:rsid w:val="008D054A"/>
    <w:rsid w:val="008D3C1D"/>
    <w:rsid w:val="008D4730"/>
    <w:rsid w:val="008D5935"/>
    <w:rsid w:val="008E0E46"/>
    <w:rsid w:val="008E58A3"/>
    <w:rsid w:val="008E7D56"/>
    <w:rsid w:val="008F1455"/>
    <w:rsid w:val="008F2F8A"/>
    <w:rsid w:val="008F4E42"/>
    <w:rsid w:val="008F561F"/>
    <w:rsid w:val="008F649A"/>
    <w:rsid w:val="009051C2"/>
    <w:rsid w:val="00906C0C"/>
    <w:rsid w:val="00907AD2"/>
    <w:rsid w:val="009124F2"/>
    <w:rsid w:val="00915860"/>
    <w:rsid w:val="00917C0E"/>
    <w:rsid w:val="00925B30"/>
    <w:rsid w:val="0092768B"/>
    <w:rsid w:val="00930EA2"/>
    <w:rsid w:val="009316CC"/>
    <w:rsid w:val="00936C2E"/>
    <w:rsid w:val="00936F09"/>
    <w:rsid w:val="00940A5E"/>
    <w:rsid w:val="00945924"/>
    <w:rsid w:val="009464F5"/>
    <w:rsid w:val="00946B6A"/>
    <w:rsid w:val="0094776F"/>
    <w:rsid w:val="009509C2"/>
    <w:rsid w:val="00950A26"/>
    <w:rsid w:val="00951A0F"/>
    <w:rsid w:val="00953A54"/>
    <w:rsid w:val="00955AA4"/>
    <w:rsid w:val="00957E2B"/>
    <w:rsid w:val="00960ED4"/>
    <w:rsid w:val="00962117"/>
    <w:rsid w:val="009624BC"/>
    <w:rsid w:val="00963CBA"/>
    <w:rsid w:val="00965971"/>
    <w:rsid w:val="00965C97"/>
    <w:rsid w:val="00972BAD"/>
    <w:rsid w:val="00972EB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01C8"/>
    <w:rsid w:val="00A1427D"/>
    <w:rsid w:val="00A143BC"/>
    <w:rsid w:val="00A14774"/>
    <w:rsid w:val="00A17830"/>
    <w:rsid w:val="00A2070C"/>
    <w:rsid w:val="00A24105"/>
    <w:rsid w:val="00A2488D"/>
    <w:rsid w:val="00A25551"/>
    <w:rsid w:val="00A26CE4"/>
    <w:rsid w:val="00A318FF"/>
    <w:rsid w:val="00A33DF6"/>
    <w:rsid w:val="00A413F7"/>
    <w:rsid w:val="00A42CEA"/>
    <w:rsid w:val="00A437CC"/>
    <w:rsid w:val="00A478E2"/>
    <w:rsid w:val="00A52F74"/>
    <w:rsid w:val="00A541EA"/>
    <w:rsid w:val="00A55D32"/>
    <w:rsid w:val="00A5718A"/>
    <w:rsid w:val="00A62C52"/>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4433"/>
    <w:rsid w:val="00AA771D"/>
    <w:rsid w:val="00AB3DA4"/>
    <w:rsid w:val="00AB7662"/>
    <w:rsid w:val="00AB7676"/>
    <w:rsid w:val="00AC1316"/>
    <w:rsid w:val="00AC2900"/>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77483"/>
    <w:rsid w:val="00B808A0"/>
    <w:rsid w:val="00B809B9"/>
    <w:rsid w:val="00B81900"/>
    <w:rsid w:val="00B81E12"/>
    <w:rsid w:val="00B83204"/>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6B40"/>
    <w:rsid w:val="00D55857"/>
    <w:rsid w:val="00D60CDC"/>
    <w:rsid w:val="00D6389B"/>
    <w:rsid w:val="00D66BBC"/>
    <w:rsid w:val="00D71B47"/>
    <w:rsid w:val="00D72504"/>
    <w:rsid w:val="00D72DE1"/>
    <w:rsid w:val="00D85458"/>
    <w:rsid w:val="00D96269"/>
    <w:rsid w:val="00D978C6"/>
    <w:rsid w:val="00D97FD0"/>
    <w:rsid w:val="00DA3C6C"/>
    <w:rsid w:val="00DA5A0F"/>
    <w:rsid w:val="00DA67AD"/>
    <w:rsid w:val="00DB06D2"/>
    <w:rsid w:val="00DB2042"/>
    <w:rsid w:val="00DB2A63"/>
    <w:rsid w:val="00DB4C2A"/>
    <w:rsid w:val="00DB5D0F"/>
    <w:rsid w:val="00DC4C63"/>
    <w:rsid w:val="00DC59B0"/>
    <w:rsid w:val="00DC6021"/>
    <w:rsid w:val="00DD415F"/>
    <w:rsid w:val="00DD41A2"/>
    <w:rsid w:val="00DE10C7"/>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6597"/>
    <w:rsid w:val="00E47898"/>
    <w:rsid w:val="00E53AC3"/>
    <w:rsid w:val="00E55279"/>
    <w:rsid w:val="00E572F8"/>
    <w:rsid w:val="00E65FE7"/>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690C"/>
    <w:rsid w:val="00ED7A2A"/>
    <w:rsid w:val="00EE17D9"/>
    <w:rsid w:val="00EE1D86"/>
    <w:rsid w:val="00EE5AF8"/>
    <w:rsid w:val="00EE6953"/>
    <w:rsid w:val="00EF0752"/>
    <w:rsid w:val="00EF0C63"/>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64B3"/>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460C"/>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F711C-EBB3-4FCF-83DF-402692F9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9509C2"/>
    <w:rPr>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2270-8887-4E7F-B570-B43C7E54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TotalTime>
  <Pages>2</Pages>
  <Words>583</Words>
  <Characters>3475</Characters>
  <Application>Microsoft Office Word</Application>
  <DocSecurity>0</DocSecurity>
  <Lines>173</Lines>
  <Paragraphs>90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2017-06-26T07:18:00Z</cp:lastPrinted>
  <dcterms:created xsi:type="dcterms:W3CDTF">2017-06-28T06:51:00Z</dcterms:created>
  <dcterms:modified xsi:type="dcterms:W3CDTF">2017-06-28T06:51:00Z</dcterms:modified>
</cp:coreProperties>
</file>