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40" w:type="dxa"/>
        <w:tblLayout w:type="fixed"/>
        <w:tblCellMar>
          <w:left w:w="0" w:type="dxa"/>
          <w:right w:w="0" w:type="dxa"/>
        </w:tblCellMar>
        <w:tblLook w:val="01E0" w:firstRow="1" w:lastRow="1" w:firstColumn="1" w:lastColumn="1" w:noHBand="0" w:noVBand="0"/>
      </w:tblPr>
      <w:tblGrid>
        <w:gridCol w:w="9640"/>
      </w:tblGrid>
      <w:tr w:rsidR="00B33A59" w:rsidRPr="00E4345C" w14:paraId="216FA7F7" w14:textId="77777777" w:rsidTr="005C123C">
        <w:trPr>
          <w:cantSplit/>
          <w:trHeight w:hRule="exact" w:val="851"/>
        </w:trPr>
        <w:tc>
          <w:tcPr>
            <w:tcW w:w="9640" w:type="dxa"/>
            <w:tcBorders>
              <w:bottom w:val="single" w:sz="4" w:space="0" w:color="auto"/>
            </w:tcBorders>
            <w:vAlign w:val="bottom"/>
          </w:tcPr>
          <w:p w14:paraId="66E615F3" w14:textId="487814FB" w:rsidR="00B33A59" w:rsidRPr="00E4345C" w:rsidRDefault="00B40A2F" w:rsidP="00151A29">
            <w:pPr>
              <w:jc w:val="right"/>
              <w:rPr>
                <w:b/>
                <w:color w:val="000000"/>
                <w:sz w:val="28"/>
                <w:szCs w:val="28"/>
                <w:lang w:val="en-GB"/>
              </w:rPr>
            </w:pPr>
            <w:r>
              <w:rPr>
                <w:b/>
                <w:color w:val="000000"/>
                <w:sz w:val="28"/>
                <w:szCs w:val="28"/>
                <w:lang w:val="en-GB"/>
              </w:rPr>
              <w:t>INF 53</w:t>
            </w:r>
            <w:r w:rsidR="001F0165" w:rsidRPr="00E4345C">
              <w:rPr>
                <w:b/>
                <w:color w:val="000000"/>
                <w:sz w:val="28"/>
                <w:szCs w:val="28"/>
                <w:lang w:val="en-GB"/>
              </w:rPr>
              <w:t xml:space="preserve"> </w:t>
            </w:r>
            <w:r w:rsidR="00006871">
              <w:rPr>
                <w:b/>
                <w:color w:val="000000"/>
                <w:sz w:val="28"/>
                <w:szCs w:val="28"/>
                <w:lang w:val="en-GB"/>
              </w:rPr>
              <w:t xml:space="preserve"> </w:t>
            </w:r>
          </w:p>
          <w:p w14:paraId="23E4F3F4" w14:textId="77777777" w:rsidR="00B33A59" w:rsidRPr="00E4345C" w:rsidRDefault="00B33A59" w:rsidP="00151A29">
            <w:pPr>
              <w:jc w:val="right"/>
              <w:rPr>
                <w:b/>
                <w:color w:val="FF0000"/>
                <w:sz w:val="28"/>
                <w:szCs w:val="28"/>
                <w:lang w:val="en-GB"/>
              </w:rPr>
            </w:pPr>
          </w:p>
        </w:tc>
      </w:tr>
      <w:tr w:rsidR="00B33A59" w:rsidRPr="00EC5662" w14:paraId="35B62A75" w14:textId="77777777" w:rsidTr="005C123C">
        <w:trPr>
          <w:cantSplit/>
          <w:trHeight w:val="2456"/>
        </w:trPr>
        <w:tc>
          <w:tcPr>
            <w:tcW w:w="9640" w:type="dxa"/>
            <w:tcBorders>
              <w:top w:val="single" w:sz="4" w:space="0" w:color="auto"/>
              <w:bottom w:val="single" w:sz="4" w:space="0" w:color="auto"/>
            </w:tcBorders>
          </w:tcPr>
          <w:p w14:paraId="538B7DC7" w14:textId="37D2CEB8" w:rsidR="00B33A59" w:rsidRPr="00542A53" w:rsidRDefault="00B33A59" w:rsidP="00151A29">
            <w:pPr>
              <w:tabs>
                <w:tab w:val="left" w:pos="7371"/>
              </w:tabs>
              <w:spacing w:before="120"/>
              <w:rPr>
                <w:b/>
                <w:sz w:val="28"/>
                <w:szCs w:val="28"/>
                <w:lang w:val="en-GB"/>
              </w:rPr>
            </w:pPr>
            <w:r w:rsidRPr="00542A53">
              <w:rPr>
                <w:b/>
                <w:sz w:val="28"/>
                <w:szCs w:val="28"/>
                <w:lang w:val="en-GB"/>
              </w:rPr>
              <w:t>Economic Commission for Europe</w:t>
            </w:r>
          </w:p>
          <w:p w14:paraId="29652D56" w14:textId="77777777" w:rsidR="00B33A59" w:rsidRPr="00542A53" w:rsidRDefault="00B33A59" w:rsidP="00151A29">
            <w:pPr>
              <w:spacing w:before="120"/>
              <w:rPr>
                <w:sz w:val="28"/>
                <w:szCs w:val="28"/>
                <w:lang w:val="en-GB"/>
              </w:rPr>
            </w:pPr>
            <w:r w:rsidRPr="00542A53">
              <w:rPr>
                <w:sz w:val="28"/>
                <w:szCs w:val="28"/>
                <w:lang w:val="en-GB"/>
              </w:rPr>
              <w:t>Inland Transport Committee</w:t>
            </w:r>
          </w:p>
          <w:p w14:paraId="29890141" w14:textId="77777777" w:rsidR="00B33A59" w:rsidRPr="00542A53" w:rsidRDefault="00B33A59" w:rsidP="00151A29">
            <w:pPr>
              <w:spacing w:before="120"/>
              <w:rPr>
                <w:b/>
                <w:sz w:val="24"/>
                <w:szCs w:val="24"/>
                <w:lang w:val="en-GB"/>
              </w:rPr>
            </w:pPr>
            <w:r w:rsidRPr="00542A53">
              <w:rPr>
                <w:b/>
                <w:sz w:val="24"/>
                <w:szCs w:val="24"/>
                <w:lang w:val="en-GB"/>
              </w:rPr>
              <w:t>Working Party on the Transport of Dangerous Goods</w:t>
            </w:r>
          </w:p>
          <w:p w14:paraId="0801D942" w14:textId="000E87DA" w:rsidR="00B33A59" w:rsidRPr="00542A53" w:rsidRDefault="00B33A59" w:rsidP="00EA1F8A">
            <w:pPr>
              <w:tabs>
                <w:tab w:val="left" w:pos="7230"/>
              </w:tabs>
              <w:spacing w:before="120"/>
              <w:rPr>
                <w:b/>
                <w:lang w:val="en-GB"/>
              </w:rPr>
            </w:pPr>
            <w:r w:rsidRPr="00542A53">
              <w:rPr>
                <w:b/>
                <w:lang w:val="en-GB"/>
              </w:rPr>
              <w:t>Joint Meeting of the RID Committee of Experts and the</w:t>
            </w:r>
            <w:r w:rsidRPr="00542A53">
              <w:rPr>
                <w:b/>
                <w:lang w:val="en-GB"/>
              </w:rPr>
              <w:br/>
              <w:t>Working Party on the Transport of Dangerous Goods</w:t>
            </w:r>
            <w:r w:rsidR="00EA1F8A" w:rsidRPr="00542A53">
              <w:rPr>
                <w:b/>
                <w:lang w:val="en-GB"/>
              </w:rPr>
              <w:tab/>
            </w:r>
            <w:r w:rsidR="003104EE">
              <w:rPr>
                <w:b/>
                <w:lang w:val="en-GB"/>
              </w:rPr>
              <w:t>2</w:t>
            </w:r>
            <w:r w:rsidR="00460982">
              <w:rPr>
                <w:b/>
                <w:lang w:val="en-GB"/>
              </w:rPr>
              <w:t>6</w:t>
            </w:r>
            <w:r w:rsidR="003104EE">
              <w:rPr>
                <w:b/>
                <w:lang w:val="en-GB"/>
              </w:rPr>
              <w:t xml:space="preserve"> </w:t>
            </w:r>
            <w:r w:rsidR="00B662CA">
              <w:rPr>
                <w:b/>
                <w:lang w:val="en-GB"/>
              </w:rPr>
              <w:t>September</w:t>
            </w:r>
            <w:r w:rsidR="00542A53">
              <w:rPr>
                <w:b/>
                <w:lang w:val="en-GB"/>
              </w:rPr>
              <w:t xml:space="preserve"> 201</w:t>
            </w:r>
            <w:r w:rsidR="005C123C">
              <w:rPr>
                <w:b/>
                <w:lang w:val="en-GB"/>
              </w:rPr>
              <w:t>7</w:t>
            </w:r>
          </w:p>
          <w:p w14:paraId="49F866C2" w14:textId="5BC9E207" w:rsidR="00A518E3" w:rsidRPr="000D10FA" w:rsidRDefault="00B662CA" w:rsidP="00A518E3">
            <w:pPr>
              <w:rPr>
                <w:lang w:val="en-GB"/>
              </w:rPr>
            </w:pPr>
            <w:r>
              <w:rPr>
                <w:lang w:val="en-US"/>
              </w:rPr>
              <w:t>Geneva</w:t>
            </w:r>
            <w:r w:rsidR="00A518E3" w:rsidRPr="004328B1">
              <w:rPr>
                <w:lang w:val="en-US"/>
              </w:rPr>
              <w:t xml:space="preserve">, </w:t>
            </w:r>
            <w:r>
              <w:rPr>
                <w:lang w:val="en-US"/>
              </w:rPr>
              <w:t>1</w:t>
            </w:r>
            <w:r w:rsidR="005F3DC5">
              <w:rPr>
                <w:lang w:val="en-US"/>
              </w:rPr>
              <w:t>8</w:t>
            </w:r>
            <w:r w:rsidR="00A518E3" w:rsidRPr="00043E71">
              <w:rPr>
                <w:lang w:val="en-US"/>
              </w:rPr>
              <w:t>-</w:t>
            </w:r>
            <w:r>
              <w:rPr>
                <w:lang w:val="en-US"/>
              </w:rPr>
              <w:t>2</w:t>
            </w:r>
            <w:r w:rsidR="005F3DC5">
              <w:rPr>
                <w:lang w:val="en-US"/>
              </w:rPr>
              <w:t>9</w:t>
            </w:r>
            <w:r w:rsidR="00A518E3">
              <w:rPr>
                <w:lang w:val="en-US"/>
              </w:rPr>
              <w:t xml:space="preserve"> </w:t>
            </w:r>
            <w:r w:rsidR="008D721F">
              <w:rPr>
                <w:lang w:val="en-US"/>
              </w:rPr>
              <w:t xml:space="preserve">September </w:t>
            </w:r>
            <w:r w:rsidR="00A518E3">
              <w:rPr>
                <w:lang w:val="en-US"/>
              </w:rPr>
              <w:t>201</w:t>
            </w:r>
            <w:r w:rsidR="005F3DC5">
              <w:rPr>
                <w:lang w:val="en-US"/>
              </w:rPr>
              <w:t>7</w:t>
            </w:r>
          </w:p>
          <w:p w14:paraId="598AF9A4" w14:textId="33A32132" w:rsidR="00B33A59" w:rsidRDefault="00B33A59" w:rsidP="008D721F">
            <w:pPr>
              <w:tabs>
                <w:tab w:val="left" w:pos="4117"/>
              </w:tabs>
              <w:rPr>
                <w:lang w:val="en-US"/>
              </w:rPr>
            </w:pPr>
            <w:r>
              <w:rPr>
                <w:lang w:val="en-US"/>
              </w:rPr>
              <w:t>Item 3 of the agenda</w:t>
            </w:r>
            <w:r w:rsidR="008D721F">
              <w:rPr>
                <w:lang w:val="en-US"/>
              </w:rPr>
              <w:tab/>
            </w:r>
          </w:p>
          <w:p w14:paraId="4397E843" w14:textId="77777777" w:rsidR="00B33A59" w:rsidRPr="00EC5662" w:rsidRDefault="00B33A59" w:rsidP="00151A29">
            <w:pPr>
              <w:rPr>
                <w:b/>
                <w:lang w:val="en-GB"/>
              </w:rPr>
            </w:pPr>
            <w:r w:rsidRPr="00EC5662">
              <w:rPr>
                <w:b/>
                <w:lang w:val="en-GB"/>
              </w:rPr>
              <w:t>Standards</w:t>
            </w:r>
          </w:p>
        </w:tc>
      </w:tr>
    </w:tbl>
    <w:p w14:paraId="2887955C" w14:textId="77777777" w:rsidR="00AF4FB8" w:rsidRPr="00A44A02" w:rsidRDefault="004A10B1" w:rsidP="00672C7A">
      <w:pPr>
        <w:spacing w:before="360" w:line="240" w:lineRule="auto"/>
        <w:ind w:left="1134"/>
        <w:jc w:val="center"/>
        <w:rPr>
          <w:rFonts w:eastAsia="Times New Roman"/>
          <w:b/>
          <w:sz w:val="28"/>
          <w:szCs w:val="28"/>
          <w:lang w:val="en-GB"/>
        </w:rPr>
      </w:pPr>
      <w:r w:rsidRPr="00A44A02">
        <w:rPr>
          <w:b/>
          <w:sz w:val="28"/>
          <w:szCs w:val="28"/>
          <w:lang w:val="en-GB"/>
        </w:rPr>
        <w:t>R</w:t>
      </w:r>
      <w:r w:rsidR="00AF4FB8" w:rsidRPr="00A44A02">
        <w:rPr>
          <w:b/>
          <w:sz w:val="28"/>
          <w:szCs w:val="28"/>
          <w:lang w:val="en-GB"/>
        </w:rPr>
        <w:t>eport of the S</w:t>
      </w:r>
      <w:bookmarkStart w:id="0" w:name="_GoBack"/>
      <w:bookmarkEnd w:id="0"/>
      <w:r w:rsidR="00AF4FB8" w:rsidRPr="00A44A02">
        <w:rPr>
          <w:b/>
          <w:sz w:val="28"/>
          <w:szCs w:val="28"/>
          <w:lang w:val="en-GB"/>
        </w:rPr>
        <w:t>tandards Work</w:t>
      </w:r>
      <w:r w:rsidR="00AF4FB8" w:rsidRPr="00A44A02">
        <w:rPr>
          <w:rFonts w:eastAsia="Times New Roman"/>
          <w:b/>
          <w:sz w:val="28"/>
          <w:szCs w:val="28"/>
          <w:lang w:val="en-GB"/>
        </w:rPr>
        <w:t>ing Group</w:t>
      </w:r>
    </w:p>
    <w:p w14:paraId="7479AF81" w14:textId="483BA063" w:rsidR="00AF4FB8" w:rsidRDefault="00AF4FB8" w:rsidP="00672C7A">
      <w:pPr>
        <w:spacing w:after="240" w:line="240" w:lineRule="auto"/>
        <w:ind w:left="1134"/>
        <w:jc w:val="center"/>
        <w:rPr>
          <w:b/>
          <w:sz w:val="22"/>
          <w:szCs w:val="22"/>
          <w:lang w:val="en-GB"/>
        </w:rPr>
      </w:pPr>
      <w:r w:rsidRPr="00A44A02">
        <w:rPr>
          <w:b/>
          <w:sz w:val="22"/>
          <w:szCs w:val="22"/>
          <w:lang w:val="en-GB"/>
        </w:rPr>
        <w:t>(</w:t>
      </w:r>
      <w:r w:rsidR="00B33A59">
        <w:rPr>
          <w:b/>
          <w:sz w:val="22"/>
          <w:szCs w:val="22"/>
          <w:lang w:val="en-GB"/>
        </w:rPr>
        <w:t>2</w:t>
      </w:r>
      <w:r w:rsidR="005F3DC5">
        <w:rPr>
          <w:b/>
          <w:sz w:val="22"/>
          <w:szCs w:val="22"/>
          <w:lang w:val="en-GB"/>
        </w:rPr>
        <w:t>7</w:t>
      </w:r>
      <w:r w:rsidR="0045052B" w:rsidRPr="0045052B">
        <w:rPr>
          <w:b/>
          <w:sz w:val="22"/>
          <w:szCs w:val="22"/>
          <w:vertAlign w:val="superscript"/>
          <w:lang w:val="en-GB"/>
        </w:rPr>
        <w:t>th</w:t>
      </w:r>
      <w:r w:rsidR="00A518E3">
        <w:rPr>
          <w:b/>
          <w:sz w:val="22"/>
          <w:szCs w:val="22"/>
          <w:lang w:val="en-GB"/>
        </w:rPr>
        <w:t xml:space="preserve"> </w:t>
      </w:r>
      <w:r w:rsidRPr="00A44A02">
        <w:rPr>
          <w:b/>
          <w:sz w:val="22"/>
          <w:szCs w:val="22"/>
          <w:lang w:val="en-GB"/>
        </w:rPr>
        <w:t xml:space="preserve">meeting) </w:t>
      </w:r>
    </w:p>
    <w:p w14:paraId="6CB6F181" w14:textId="77777777" w:rsidR="00127E0B" w:rsidRPr="00A44A02" w:rsidRDefault="00127E0B" w:rsidP="00672C7A">
      <w:pPr>
        <w:spacing w:after="240" w:line="240" w:lineRule="auto"/>
        <w:ind w:left="1134"/>
        <w:jc w:val="center"/>
        <w:rPr>
          <w:b/>
          <w:sz w:val="22"/>
          <w:szCs w:val="22"/>
          <w:lang w:val="en-GB"/>
        </w:rPr>
      </w:pPr>
    </w:p>
    <w:p w14:paraId="1C469E01" w14:textId="5F9D246E" w:rsidR="00681553" w:rsidRPr="00681553" w:rsidRDefault="00F92D0B" w:rsidP="00681553">
      <w:pPr>
        <w:numPr>
          <w:ilvl w:val="0"/>
          <w:numId w:val="3"/>
        </w:numPr>
        <w:spacing w:before="120" w:after="120" w:line="240" w:lineRule="auto"/>
        <w:ind w:left="851" w:hanging="284"/>
        <w:jc w:val="both"/>
        <w:rPr>
          <w:sz w:val="20"/>
          <w:lang w:val="en-GB"/>
        </w:rPr>
      </w:pPr>
      <w:r w:rsidRPr="00985026">
        <w:rPr>
          <w:sz w:val="20"/>
          <w:lang w:val="en-GB"/>
        </w:rPr>
        <w:t xml:space="preserve">Reference is made to document </w:t>
      </w:r>
      <w:r w:rsidR="00AA653A" w:rsidRPr="00D542F4">
        <w:rPr>
          <w:sz w:val="20"/>
        </w:rPr>
        <w:fldChar w:fldCharType="begin"/>
      </w:r>
      <w:r w:rsidR="00AA653A" w:rsidRPr="00D542F4">
        <w:rPr>
          <w:sz w:val="20"/>
          <w:lang w:val="en-GB"/>
        </w:rPr>
        <w:instrText xml:space="preserve"> FILLIN "Symbol" \* MERGEFORMAT </w:instrText>
      </w:r>
      <w:r w:rsidR="00AA653A" w:rsidRPr="00D542F4">
        <w:rPr>
          <w:sz w:val="20"/>
        </w:rPr>
        <w:fldChar w:fldCharType="separate"/>
      </w:r>
      <w:r w:rsidRPr="00985026">
        <w:rPr>
          <w:sz w:val="20"/>
          <w:lang w:val="en-GB"/>
        </w:rPr>
        <w:t>ECE/TRANS/WP.15/AC.1/201</w:t>
      </w:r>
      <w:r w:rsidR="005F3DC5">
        <w:rPr>
          <w:sz w:val="20"/>
          <w:lang w:val="en-GB"/>
        </w:rPr>
        <w:t>7</w:t>
      </w:r>
      <w:r w:rsidRPr="00985026">
        <w:rPr>
          <w:sz w:val="20"/>
          <w:lang w:val="en-GB"/>
        </w:rPr>
        <w:t>/</w:t>
      </w:r>
      <w:r w:rsidR="00AA653A" w:rsidRPr="00D542F4">
        <w:rPr>
          <w:sz w:val="20"/>
          <w:lang w:val="en-GB"/>
        </w:rPr>
        <w:fldChar w:fldCharType="end"/>
      </w:r>
      <w:r w:rsidR="005F3DC5">
        <w:rPr>
          <w:sz w:val="20"/>
          <w:lang w:val="en-GB"/>
        </w:rPr>
        <w:t>32</w:t>
      </w:r>
      <w:r w:rsidRPr="00985026">
        <w:rPr>
          <w:sz w:val="20"/>
          <w:lang w:val="en-GB"/>
        </w:rPr>
        <w:t>, which informs about the progress made in the establishment of new and the revision of published EN and EN ISO standards referenced or intended to be</w:t>
      </w:r>
      <w:r w:rsidR="00681553">
        <w:rPr>
          <w:sz w:val="20"/>
          <w:lang w:val="en-GB"/>
        </w:rPr>
        <w:t xml:space="preserve"> referenced in the RID/ADR/ADN.</w:t>
      </w:r>
    </w:p>
    <w:p w14:paraId="1A2188D8" w14:textId="3F5952CC" w:rsidR="00F92D0B" w:rsidRPr="00985026" w:rsidRDefault="007A2946" w:rsidP="00681553">
      <w:pPr>
        <w:numPr>
          <w:ilvl w:val="0"/>
          <w:numId w:val="3"/>
        </w:numPr>
        <w:tabs>
          <w:tab w:val="clear" w:pos="360"/>
        </w:tabs>
        <w:spacing w:before="120" w:after="120" w:line="240" w:lineRule="auto"/>
        <w:ind w:left="851" w:hanging="284"/>
        <w:jc w:val="both"/>
        <w:rPr>
          <w:sz w:val="20"/>
          <w:lang w:val="en-GB"/>
        </w:rPr>
      </w:pPr>
      <w:r w:rsidRPr="00985026">
        <w:rPr>
          <w:sz w:val="20"/>
          <w:lang w:val="en-GB"/>
        </w:rPr>
        <w:t>A series of tel</w:t>
      </w:r>
      <w:r w:rsidR="008732DB" w:rsidRPr="00985026">
        <w:rPr>
          <w:sz w:val="20"/>
          <w:lang w:val="en-GB"/>
        </w:rPr>
        <w:t>e</w:t>
      </w:r>
      <w:r w:rsidRPr="00985026">
        <w:rPr>
          <w:sz w:val="20"/>
          <w:lang w:val="en-GB"/>
        </w:rPr>
        <w:t>conf</w:t>
      </w:r>
      <w:r w:rsidR="008732DB" w:rsidRPr="00985026">
        <w:rPr>
          <w:sz w:val="20"/>
          <w:lang w:val="en-GB"/>
        </w:rPr>
        <w:t xml:space="preserve">erences </w:t>
      </w:r>
      <w:r w:rsidRPr="00985026">
        <w:rPr>
          <w:sz w:val="20"/>
          <w:lang w:val="en-GB"/>
        </w:rPr>
        <w:t xml:space="preserve">took place on the </w:t>
      </w:r>
      <w:r w:rsidR="005F3DC5">
        <w:rPr>
          <w:sz w:val="20"/>
          <w:lang w:val="en-GB"/>
        </w:rPr>
        <w:t>26</w:t>
      </w:r>
      <w:r w:rsidR="005F3DC5" w:rsidRPr="001713C6">
        <w:rPr>
          <w:sz w:val="20"/>
          <w:vertAlign w:val="superscript"/>
          <w:lang w:val="en-GB"/>
        </w:rPr>
        <w:t>th</w:t>
      </w:r>
      <w:r w:rsidR="005F3DC5">
        <w:rPr>
          <w:sz w:val="20"/>
          <w:lang w:val="en-GB"/>
        </w:rPr>
        <w:t xml:space="preserve"> June and </w:t>
      </w:r>
      <w:r w:rsidR="00B662CA" w:rsidRPr="00985026">
        <w:rPr>
          <w:sz w:val="20"/>
          <w:lang w:val="en-GB"/>
        </w:rPr>
        <w:t>6</w:t>
      </w:r>
      <w:r w:rsidRPr="00985026">
        <w:rPr>
          <w:sz w:val="20"/>
          <w:vertAlign w:val="superscript"/>
          <w:lang w:val="en-GB"/>
        </w:rPr>
        <w:t>th</w:t>
      </w:r>
      <w:r w:rsidRPr="00985026">
        <w:rPr>
          <w:sz w:val="20"/>
          <w:lang w:val="en-GB"/>
        </w:rPr>
        <w:t xml:space="preserve"> </w:t>
      </w:r>
      <w:r w:rsidR="005F3DC5">
        <w:rPr>
          <w:sz w:val="20"/>
          <w:lang w:val="en-GB"/>
        </w:rPr>
        <w:t>September</w:t>
      </w:r>
      <w:r w:rsidR="00B662CA" w:rsidRPr="00985026">
        <w:rPr>
          <w:sz w:val="20"/>
          <w:lang w:val="en-GB"/>
        </w:rPr>
        <w:t xml:space="preserve"> </w:t>
      </w:r>
      <w:r w:rsidRPr="00985026">
        <w:rPr>
          <w:sz w:val="20"/>
          <w:lang w:val="en-GB"/>
        </w:rPr>
        <w:t xml:space="preserve">to review the comments made by Member States and by the </w:t>
      </w:r>
      <w:r w:rsidR="005F3DC5">
        <w:rPr>
          <w:sz w:val="20"/>
          <w:lang w:val="en-GB"/>
        </w:rPr>
        <w:t>NAC</w:t>
      </w:r>
      <w:r w:rsidRPr="00985026">
        <w:rPr>
          <w:sz w:val="20"/>
          <w:lang w:val="en-GB"/>
        </w:rPr>
        <w:t xml:space="preserve"> Consultant</w:t>
      </w:r>
      <w:r w:rsidR="00AB74ED" w:rsidRPr="00985026">
        <w:rPr>
          <w:sz w:val="20"/>
          <w:lang w:val="en-GB"/>
        </w:rPr>
        <w:t>. Comments from MS were compiled by CCMC (see INF</w:t>
      </w:r>
      <w:r w:rsidR="00EC5662" w:rsidRPr="00985026">
        <w:rPr>
          <w:sz w:val="20"/>
          <w:lang w:val="en-GB"/>
        </w:rPr>
        <w:t>.</w:t>
      </w:r>
      <w:r w:rsidR="00B75748">
        <w:rPr>
          <w:sz w:val="20"/>
          <w:lang w:val="en-GB"/>
        </w:rPr>
        <w:t>37</w:t>
      </w:r>
      <w:r w:rsidR="00AB74ED" w:rsidRPr="00985026">
        <w:rPr>
          <w:sz w:val="20"/>
          <w:lang w:val="en-GB"/>
        </w:rPr>
        <w:t xml:space="preserve">). </w:t>
      </w:r>
      <w:r w:rsidR="00EC5662" w:rsidRPr="00985026">
        <w:rPr>
          <w:sz w:val="20"/>
          <w:lang w:val="en-GB"/>
        </w:rPr>
        <w:t>In addition to the standards listed in INF.</w:t>
      </w:r>
      <w:r w:rsidR="00B75748">
        <w:rPr>
          <w:sz w:val="20"/>
          <w:lang w:val="en-GB"/>
        </w:rPr>
        <w:t>37</w:t>
      </w:r>
      <w:r w:rsidR="00EC5662" w:rsidRPr="00985026">
        <w:rPr>
          <w:sz w:val="20"/>
          <w:lang w:val="en-GB"/>
        </w:rPr>
        <w:t xml:space="preserve">, following a </w:t>
      </w:r>
      <w:r w:rsidR="00B75748">
        <w:rPr>
          <w:sz w:val="20"/>
          <w:lang w:val="en-GB"/>
        </w:rPr>
        <w:t>suggestion made by France</w:t>
      </w:r>
      <w:r w:rsidR="00EC5662" w:rsidRPr="00985026">
        <w:rPr>
          <w:sz w:val="20"/>
          <w:lang w:val="en-GB"/>
        </w:rPr>
        <w:t xml:space="preserve"> </w:t>
      </w:r>
      <w:r w:rsidR="00656451">
        <w:rPr>
          <w:sz w:val="20"/>
          <w:lang w:val="en-GB"/>
        </w:rPr>
        <w:t xml:space="preserve">a proposal </w:t>
      </w:r>
      <w:r w:rsidR="004621F7">
        <w:rPr>
          <w:sz w:val="20"/>
          <w:lang w:val="en-GB"/>
        </w:rPr>
        <w:t xml:space="preserve">was considered to forbid </w:t>
      </w:r>
      <w:r w:rsidR="003B21C7">
        <w:rPr>
          <w:sz w:val="20"/>
          <w:lang w:val="en-GB"/>
        </w:rPr>
        <w:t>the use of EN 12245 for the transport of LPG</w:t>
      </w:r>
      <w:r w:rsidR="00EC5662" w:rsidRPr="00985026">
        <w:rPr>
          <w:sz w:val="20"/>
          <w:lang w:val="en-GB"/>
        </w:rPr>
        <w:t xml:space="preserve">. </w:t>
      </w:r>
      <w:r w:rsidR="00AB74ED" w:rsidRPr="00D542F4">
        <w:rPr>
          <w:sz w:val="20"/>
          <w:lang w:val="en-GB"/>
        </w:rPr>
        <w:t>Unresolved issues were discussed within the Joint Meeting Working Group</w:t>
      </w:r>
      <w:r w:rsidR="003E6842">
        <w:rPr>
          <w:sz w:val="20"/>
          <w:lang w:val="en-GB"/>
        </w:rPr>
        <w:t xml:space="preserve"> on</w:t>
      </w:r>
      <w:r w:rsidR="00AB74ED" w:rsidRPr="00D542F4">
        <w:rPr>
          <w:sz w:val="20"/>
          <w:lang w:val="en-GB"/>
        </w:rPr>
        <w:t xml:space="preserve"> Standard</w:t>
      </w:r>
      <w:r w:rsidR="003E6842">
        <w:rPr>
          <w:sz w:val="20"/>
          <w:lang w:val="en-GB"/>
        </w:rPr>
        <w:t>s</w:t>
      </w:r>
      <w:r w:rsidR="00AB74ED" w:rsidRPr="00D542F4">
        <w:rPr>
          <w:sz w:val="20"/>
          <w:lang w:val="en-GB"/>
        </w:rPr>
        <w:t xml:space="preserve"> (</w:t>
      </w:r>
      <w:r w:rsidR="003B21C7">
        <w:rPr>
          <w:sz w:val="20"/>
          <w:lang w:val="en-GB"/>
        </w:rPr>
        <w:t>25</w:t>
      </w:r>
      <w:r w:rsidR="00B662CA" w:rsidRPr="00D542F4">
        <w:rPr>
          <w:sz w:val="20"/>
          <w:vertAlign w:val="superscript"/>
          <w:lang w:val="en-GB"/>
        </w:rPr>
        <w:t>th</w:t>
      </w:r>
      <w:r w:rsidR="00B662CA" w:rsidRPr="00D542F4">
        <w:rPr>
          <w:sz w:val="20"/>
          <w:lang w:val="en-GB"/>
        </w:rPr>
        <w:t xml:space="preserve"> </w:t>
      </w:r>
      <w:r w:rsidR="00985026">
        <w:rPr>
          <w:sz w:val="20"/>
          <w:lang w:val="en-GB"/>
        </w:rPr>
        <w:t>and 2</w:t>
      </w:r>
      <w:r w:rsidR="003B21C7">
        <w:rPr>
          <w:sz w:val="20"/>
          <w:lang w:val="en-GB"/>
        </w:rPr>
        <w:t>6</w:t>
      </w:r>
      <w:r w:rsidR="00985026" w:rsidRPr="00D542F4">
        <w:rPr>
          <w:sz w:val="20"/>
          <w:vertAlign w:val="superscript"/>
          <w:lang w:val="en-GB"/>
        </w:rPr>
        <w:t>th</w:t>
      </w:r>
      <w:r w:rsidR="00985026">
        <w:rPr>
          <w:sz w:val="20"/>
          <w:lang w:val="en-GB"/>
        </w:rPr>
        <w:t xml:space="preserve"> </w:t>
      </w:r>
      <w:r w:rsidR="00B662CA" w:rsidRPr="00D542F4">
        <w:rPr>
          <w:sz w:val="20"/>
          <w:lang w:val="en-GB"/>
        </w:rPr>
        <w:t>September</w:t>
      </w:r>
      <w:r w:rsidR="00DC4ADC" w:rsidRPr="00D542F4">
        <w:rPr>
          <w:sz w:val="20"/>
          <w:lang w:val="en-GB"/>
        </w:rPr>
        <w:t xml:space="preserve"> </w:t>
      </w:r>
      <w:r w:rsidR="00AB74ED" w:rsidRPr="00D542F4">
        <w:rPr>
          <w:sz w:val="20"/>
          <w:lang w:val="en-GB"/>
        </w:rPr>
        <w:t>201</w:t>
      </w:r>
      <w:r w:rsidR="003B21C7">
        <w:rPr>
          <w:sz w:val="20"/>
          <w:lang w:val="en-GB"/>
        </w:rPr>
        <w:t>7</w:t>
      </w:r>
      <w:r w:rsidR="00AB74ED" w:rsidRPr="00D542F4">
        <w:rPr>
          <w:sz w:val="20"/>
          <w:lang w:val="en-GB"/>
        </w:rPr>
        <w:t>)</w:t>
      </w:r>
      <w:r w:rsidR="00C51E62" w:rsidRPr="00D542F4">
        <w:rPr>
          <w:sz w:val="20"/>
          <w:lang w:val="en-GB"/>
        </w:rPr>
        <w:t xml:space="preserve">. </w:t>
      </w:r>
    </w:p>
    <w:p w14:paraId="138B80B1" w14:textId="77777777" w:rsidR="0035265C" w:rsidRPr="00985026" w:rsidRDefault="0035265C" w:rsidP="00EC5662">
      <w:pPr>
        <w:numPr>
          <w:ilvl w:val="0"/>
          <w:numId w:val="3"/>
        </w:numPr>
        <w:tabs>
          <w:tab w:val="clear" w:pos="360"/>
          <w:tab w:val="left" w:pos="567"/>
          <w:tab w:val="left" w:pos="851"/>
        </w:tabs>
        <w:spacing w:before="120" w:line="240" w:lineRule="auto"/>
        <w:ind w:left="142" w:firstLine="425"/>
        <w:jc w:val="both"/>
        <w:rPr>
          <w:sz w:val="20"/>
          <w:lang w:val="en-GB"/>
        </w:rPr>
      </w:pPr>
      <w:r w:rsidRPr="00985026">
        <w:rPr>
          <w:sz w:val="20"/>
          <w:lang w:val="en-GB"/>
        </w:rPr>
        <w:t xml:space="preserve">Other papers assigned to the standard working group were: </w:t>
      </w:r>
    </w:p>
    <w:p w14:paraId="69D4BEF2" w14:textId="2EAAE453" w:rsidR="00987E3B" w:rsidRPr="007E7DFD" w:rsidRDefault="007E7DFD" w:rsidP="00987E3B">
      <w:pPr>
        <w:spacing w:before="120" w:line="240" w:lineRule="auto"/>
        <w:ind w:left="1134"/>
        <w:jc w:val="both"/>
        <w:rPr>
          <w:sz w:val="20"/>
          <w:lang w:val="de-DE"/>
        </w:rPr>
      </w:pPr>
      <w:r w:rsidRPr="007E7DFD">
        <w:rPr>
          <w:sz w:val="20"/>
          <w:lang w:val="de-DE"/>
        </w:rPr>
        <w:t>INF 34</w:t>
      </w:r>
      <w:r w:rsidR="00004A2C">
        <w:rPr>
          <w:sz w:val="20"/>
          <w:lang w:val="de-DE"/>
        </w:rPr>
        <w:t xml:space="preserve">       </w:t>
      </w:r>
      <w:r w:rsidRPr="007E7DFD">
        <w:rPr>
          <w:sz w:val="20"/>
          <w:lang w:val="de-DE"/>
        </w:rPr>
        <w:t>Übergangsvorschrift für erstmalig in Abschnitt 6.2.4 referenzierte Normen</w:t>
      </w:r>
      <w:r>
        <w:rPr>
          <w:sz w:val="20"/>
          <w:lang w:val="de-DE"/>
        </w:rPr>
        <w:t xml:space="preserve">     </w:t>
      </w:r>
      <w:r>
        <w:rPr>
          <w:sz w:val="20"/>
          <w:lang w:val="de-DE"/>
        </w:rPr>
        <w:tab/>
      </w:r>
      <w:r>
        <w:rPr>
          <w:sz w:val="20"/>
          <w:lang w:val="de-DE"/>
        </w:rPr>
        <w:tab/>
        <w:t xml:space="preserve">      (Germany)</w:t>
      </w:r>
    </w:p>
    <w:p w14:paraId="3CBF608B" w14:textId="10F6030A" w:rsidR="007E7DFD" w:rsidRDefault="007E7DFD" w:rsidP="007E7DFD">
      <w:pPr>
        <w:pStyle w:val="Default"/>
        <w:rPr>
          <w:bCs/>
          <w:sz w:val="20"/>
          <w:szCs w:val="20"/>
        </w:rPr>
      </w:pPr>
      <w:r w:rsidRPr="007E7DFD">
        <w:rPr>
          <w:sz w:val="20"/>
          <w:lang w:val="de-DE"/>
        </w:rPr>
        <w:tab/>
      </w:r>
      <w:r w:rsidRPr="007E7DFD">
        <w:rPr>
          <w:sz w:val="20"/>
          <w:lang w:val="de-DE"/>
        </w:rPr>
        <w:tab/>
      </w:r>
      <w:r>
        <w:rPr>
          <w:sz w:val="20"/>
        </w:rPr>
        <w:t xml:space="preserve">INF 35      </w:t>
      </w:r>
      <w:r w:rsidRPr="007E7DFD">
        <w:t xml:space="preserve"> </w:t>
      </w:r>
      <w:r w:rsidRPr="007E7DFD">
        <w:rPr>
          <w:bCs/>
          <w:sz w:val="20"/>
          <w:szCs w:val="20"/>
        </w:rPr>
        <w:t xml:space="preserve">Tanks: Testing pressure relief valves on LPG road tankers at intermediate </w:t>
      </w:r>
      <w:r>
        <w:rPr>
          <w:bCs/>
          <w:sz w:val="20"/>
          <w:szCs w:val="20"/>
        </w:rPr>
        <w:tab/>
      </w:r>
      <w:r>
        <w:rPr>
          <w:bCs/>
          <w:sz w:val="20"/>
          <w:szCs w:val="20"/>
        </w:rPr>
        <w:tab/>
      </w:r>
      <w:r>
        <w:rPr>
          <w:bCs/>
          <w:sz w:val="20"/>
          <w:szCs w:val="20"/>
        </w:rPr>
        <w:tab/>
      </w:r>
      <w:r>
        <w:rPr>
          <w:bCs/>
          <w:sz w:val="20"/>
          <w:szCs w:val="20"/>
        </w:rPr>
        <w:tab/>
        <w:t xml:space="preserve">       inspection</w:t>
      </w:r>
      <w:r w:rsidRPr="007E7DFD">
        <w:rPr>
          <w:bCs/>
          <w:sz w:val="20"/>
          <w:szCs w:val="20"/>
        </w:rPr>
        <w:t>s</w:t>
      </w:r>
      <w:r>
        <w:rPr>
          <w:bCs/>
          <w:sz w:val="20"/>
          <w:szCs w:val="20"/>
        </w:rPr>
        <w:t xml:space="preserve"> (United Kingdom – studied also in TK WG see INF 46 item 25-27)</w:t>
      </w:r>
    </w:p>
    <w:p w14:paraId="585AD533" w14:textId="13733907" w:rsidR="00CC3786" w:rsidRPr="00832B75" w:rsidRDefault="00CC3786" w:rsidP="00832B75">
      <w:pPr>
        <w:tabs>
          <w:tab w:val="left" w:pos="567"/>
          <w:tab w:val="left" w:pos="851"/>
        </w:tabs>
        <w:spacing w:before="120" w:line="240" w:lineRule="auto"/>
        <w:ind w:left="851" w:hanging="284"/>
        <w:jc w:val="both"/>
        <w:rPr>
          <w:sz w:val="20"/>
          <w:lang w:val="en-GB"/>
        </w:rPr>
      </w:pPr>
      <w:r w:rsidRPr="00CC3786">
        <w:rPr>
          <w:sz w:val="20"/>
          <w:lang w:val="en-GB"/>
        </w:rPr>
        <w:tab/>
        <w:t xml:space="preserve">The working group was also asked to </w:t>
      </w:r>
      <w:r w:rsidRPr="00832B75">
        <w:rPr>
          <w:sz w:val="20"/>
          <w:lang w:val="en-GB"/>
        </w:rPr>
        <w:t xml:space="preserve">examine whether </w:t>
      </w:r>
      <w:r>
        <w:rPr>
          <w:sz w:val="20"/>
          <w:lang w:val="en-GB"/>
        </w:rPr>
        <w:t>the change in the CEN rules for standards development necessitated adaptation of the procedures</w:t>
      </w:r>
      <w:r w:rsidR="006C4B75">
        <w:rPr>
          <w:sz w:val="20"/>
          <w:lang w:val="en-GB"/>
        </w:rPr>
        <w:t xml:space="preserve"> for cooperation agreed between CEN/CENELEC and the Joint Meeting. </w:t>
      </w:r>
      <w:r>
        <w:rPr>
          <w:sz w:val="20"/>
          <w:lang w:val="en-GB"/>
        </w:rPr>
        <w:t xml:space="preserve"> </w:t>
      </w:r>
    </w:p>
    <w:p w14:paraId="3275DF94" w14:textId="77777777" w:rsidR="006542F7" w:rsidRPr="009A15CB" w:rsidRDefault="00B351EA" w:rsidP="00DC4ADC">
      <w:pPr>
        <w:numPr>
          <w:ilvl w:val="0"/>
          <w:numId w:val="3"/>
        </w:numPr>
        <w:tabs>
          <w:tab w:val="clear" w:pos="360"/>
          <w:tab w:val="num" w:pos="426"/>
          <w:tab w:val="left" w:pos="993"/>
        </w:tabs>
        <w:spacing w:before="120" w:line="240" w:lineRule="auto"/>
        <w:ind w:left="426" w:firstLine="141"/>
        <w:jc w:val="both"/>
        <w:rPr>
          <w:b/>
          <w:sz w:val="20"/>
          <w:lang w:val="en-GB"/>
        </w:rPr>
      </w:pPr>
      <w:r w:rsidRPr="00985026">
        <w:rPr>
          <w:b/>
          <w:sz w:val="20"/>
          <w:lang w:val="en-GB"/>
        </w:rPr>
        <w:t>Results</w:t>
      </w:r>
    </w:p>
    <w:p w14:paraId="6F0EF27A" w14:textId="48664765" w:rsidR="00B351EA" w:rsidRDefault="00987E3B" w:rsidP="00EC5662">
      <w:pPr>
        <w:spacing w:before="120" w:line="240" w:lineRule="auto"/>
        <w:ind w:left="851" w:hanging="284"/>
        <w:jc w:val="both"/>
        <w:rPr>
          <w:sz w:val="20"/>
          <w:lang w:val="en-GB"/>
        </w:rPr>
      </w:pPr>
      <w:r w:rsidRPr="00985026">
        <w:rPr>
          <w:sz w:val="20"/>
          <w:lang w:val="en-GB"/>
        </w:rPr>
        <w:t>4</w:t>
      </w:r>
      <w:r w:rsidR="00B351EA" w:rsidRPr="00985026">
        <w:rPr>
          <w:sz w:val="20"/>
          <w:lang w:val="en-GB"/>
        </w:rPr>
        <w:t>.1</w:t>
      </w:r>
      <w:r w:rsidR="00B351EA" w:rsidRPr="00985026">
        <w:rPr>
          <w:sz w:val="20"/>
          <w:lang w:val="en-GB"/>
        </w:rPr>
        <w:tab/>
      </w:r>
      <w:r w:rsidR="00B80129" w:rsidRPr="00985026">
        <w:rPr>
          <w:sz w:val="20"/>
          <w:lang w:val="en-GB"/>
        </w:rPr>
        <w:t xml:space="preserve">The agreed </w:t>
      </w:r>
      <w:r w:rsidR="000C5BEC" w:rsidRPr="00985026">
        <w:rPr>
          <w:sz w:val="20"/>
          <w:lang w:val="en-GB"/>
        </w:rPr>
        <w:t>comments</w:t>
      </w:r>
      <w:r w:rsidR="00AF4FB8" w:rsidRPr="00985026">
        <w:rPr>
          <w:sz w:val="20"/>
          <w:lang w:val="en-GB"/>
        </w:rPr>
        <w:t xml:space="preserve"> of the discussion </w:t>
      </w:r>
      <w:r w:rsidR="0082591E" w:rsidRPr="00985026">
        <w:rPr>
          <w:sz w:val="20"/>
          <w:lang w:val="en-GB"/>
        </w:rPr>
        <w:t xml:space="preserve">on the coherence </w:t>
      </w:r>
      <w:r w:rsidR="00AF4FB8" w:rsidRPr="00985026">
        <w:rPr>
          <w:sz w:val="20"/>
          <w:lang w:val="en-GB"/>
        </w:rPr>
        <w:t xml:space="preserve">of the standards at enquiry and formal vote stage </w:t>
      </w:r>
      <w:r w:rsidR="000C5BEC" w:rsidRPr="00985026">
        <w:rPr>
          <w:sz w:val="20"/>
          <w:lang w:val="en-GB"/>
        </w:rPr>
        <w:t xml:space="preserve">and one published standard </w:t>
      </w:r>
      <w:r w:rsidR="0082591E" w:rsidRPr="00985026">
        <w:rPr>
          <w:sz w:val="20"/>
          <w:lang w:val="en-GB"/>
        </w:rPr>
        <w:t>with relevant provisions of RID/ADR</w:t>
      </w:r>
      <w:r w:rsidR="000C5BEC" w:rsidRPr="00985026">
        <w:rPr>
          <w:sz w:val="20"/>
          <w:lang w:val="en-GB"/>
        </w:rPr>
        <w:t>/ADN</w:t>
      </w:r>
      <w:r w:rsidR="0082591E" w:rsidRPr="00985026">
        <w:rPr>
          <w:sz w:val="20"/>
          <w:lang w:val="en-GB"/>
        </w:rPr>
        <w:t xml:space="preserve"> </w:t>
      </w:r>
      <w:r w:rsidR="00763D42" w:rsidRPr="00985026">
        <w:rPr>
          <w:sz w:val="20"/>
          <w:lang w:val="en-GB"/>
        </w:rPr>
        <w:t xml:space="preserve">were </w:t>
      </w:r>
      <w:r w:rsidR="0082591E" w:rsidRPr="00985026">
        <w:rPr>
          <w:sz w:val="20"/>
          <w:lang w:val="en-GB"/>
        </w:rPr>
        <w:t>summarized</w:t>
      </w:r>
      <w:r w:rsidR="00AF4FB8" w:rsidRPr="00985026">
        <w:rPr>
          <w:sz w:val="20"/>
          <w:lang w:val="en-GB"/>
        </w:rPr>
        <w:t xml:space="preserve"> in </w:t>
      </w:r>
      <w:r w:rsidR="00AF4FB8" w:rsidRPr="00985026">
        <w:rPr>
          <w:b/>
          <w:sz w:val="20"/>
          <w:lang w:val="en-GB"/>
        </w:rPr>
        <w:t>INF.</w:t>
      </w:r>
      <w:r w:rsidR="0096704D">
        <w:rPr>
          <w:b/>
          <w:sz w:val="20"/>
          <w:lang w:val="en-GB"/>
        </w:rPr>
        <w:t>37</w:t>
      </w:r>
      <w:r w:rsidR="00004A2C">
        <w:rPr>
          <w:b/>
          <w:sz w:val="20"/>
          <w:lang w:val="en-GB"/>
        </w:rPr>
        <w:t xml:space="preserve"> rev 1</w:t>
      </w:r>
      <w:r w:rsidR="00763D42" w:rsidRPr="00985026">
        <w:rPr>
          <w:b/>
          <w:sz w:val="20"/>
          <w:lang w:val="en-GB"/>
        </w:rPr>
        <w:t xml:space="preserve">.  </w:t>
      </w:r>
      <w:r w:rsidR="00763D42" w:rsidRPr="00985026">
        <w:rPr>
          <w:sz w:val="20"/>
          <w:lang w:val="en-GB"/>
        </w:rPr>
        <w:t xml:space="preserve">No major changes were </w:t>
      </w:r>
      <w:r w:rsidR="00CB34EF" w:rsidRPr="00985026">
        <w:rPr>
          <w:sz w:val="20"/>
          <w:lang w:val="en-GB"/>
        </w:rPr>
        <w:t>introduced</w:t>
      </w:r>
      <w:r w:rsidR="00763D42" w:rsidRPr="00985026">
        <w:rPr>
          <w:sz w:val="20"/>
          <w:lang w:val="en-GB"/>
        </w:rPr>
        <w:t>.</w:t>
      </w:r>
    </w:p>
    <w:p w14:paraId="7547369A" w14:textId="4532436F" w:rsidR="00D20C7E" w:rsidRDefault="00D20C7E" w:rsidP="00681553">
      <w:pPr>
        <w:spacing w:before="120" w:line="240" w:lineRule="auto"/>
        <w:ind w:left="851" w:hanging="284"/>
        <w:jc w:val="both"/>
        <w:rPr>
          <w:sz w:val="20"/>
          <w:lang w:val="en-GB"/>
        </w:rPr>
      </w:pPr>
      <w:r>
        <w:rPr>
          <w:sz w:val="20"/>
          <w:lang w:val="en-GB"/>
        </w:rPr>
        <w:t>4.2</w:t>
      </w:r>
      <w:r>
        <w:rPr>
          <w:sz w:val="20"/>
          <w:lang w:val="en-GB"/>
        </w:rPr>
        <w:tab/>
        <w:t xml:space="preserve">The discussion of </w:t>
      </w:r>
      <w:r w:rsidR="00D13230">
        <w:rPr>
          <w:sz w:val="20"/>
          <w:lang w:val="en-GB"/>
        </w:rPr>
        <w:t>INF.34 showed that there was support for introducing a two year transition period for construction standards which had a scope not previously covered in Part 6 of RID/ADR.  Th</w:t>
      </w:r>
      <w:r w:rsidR="00C579E9">
        <w:rPr>
          <w:sz w:val="20"/>
          <w:lang w:val="en-GB"/>
        </w:rPr>
        <w:t>is transition already exists</w:t>
      </w:r>
      <w:r w:rsidR="00D13230">
        <w:rPr>
          <w:sz w:val="20"/>
          <w:lang w:val="en-GB"/>
        </w:rPr>
        <w:t xml:space="preserve"> when an existing version of a standard is replaced by a revised version.  Providing a similar transition for totally new sta</w:t>
      </w:r>
      <w:r w:rsidR="004652B3">
        <w:rPr>
          <w:sz w:val="20"/>
          <w:lang w:val="en-GB"/>
        </w:rPr>
        <w:t>ndards would</w:t>
      </w:r>
      <w:r w:rsidR="00D13230">
        <w:rPr>
          <w:sz w:val="20"/>
          <w:lang w:val="en-GB"/>
        </w:rPr>
        <w:t xml:space="preserve"> allow an orderly transfer to the new standard from any existing arrangements such as a national </w:t>
      </w:r>
      <w:r w:rsidR="00D13230" w:rsidRPr="0047768D">
        <w:rPr>
          <w:sz w:val="20"/>
          <w:lang w:val="en-GB"/>
        </w:rPr>
        <w:t xml:space="preserve">technical code. </w:t>
      </w:r>
      <w:r w:rsidR="00007D8F" w:rsidRPr="0047768D">
        <w:rPr>
          <w:sz w:val="20"/>
          <w:lang w:val="en-GB"/>
        </w:rPr>
        <w:t>It is therefore proposed that any such new reference will be show</w:t>
      </w:r>
      <w:r w:rsidR="005C123C">
        <w:rPr>
          <w:sz w:val="20"/>
          <w:lang w:val="en-GB"/>
        </w:rPr>
        <w:t>n</w:t>
      </w:r>
      <w:r w:rsidR="00007D8F" w:rsidRPr="0047768D">
        <w:rPr>
          <w:sz w:val="20"/>
          <w:lang w:val="en-GB"/>
        </w:rPr>
        <w:t xml:space="preserve"> in </w:t>
      </w:r>
      <w:r w:rsidR="005C123C">
        <w:rPr>
          <w:sz w:val="20"/>
          <w:lang w:val="en-GB"/>
        </w:rPr>
        <w:t>C</w:t>
      </w:r>
      <w:r w:rsidR="00007D8F" w:rsidRPr="0047768D">
        <w:rPr>
          <w:sz w:val="20"/>
          <w:lang w:val="en-GB"/>
        </w:rPr>
        <w:t xml:space="preserve">olumn 4 headed “Applicable for new type approvals or for renewals” as being mandatory only at the ending of the biennium; that is, in the 2019 editions of RID/ADR the words “Mandatorily from 1 January 2021” will appear.  If this approach is supported by the Joint Meeting, the chair of the Working Group on Standards will propose to the next session consequential changes for standards previously adopted for this biennium. </w:t>
      </w:r>
    </w:p>
    <w:p w14:paraId="0627AB1E" w14:textId="7C8915BB" w:rsidR="006C4B75" w:rsidRDefault="006C4B75" w:rsidP="00EC5662">
      <w:pPr>
        <w:spacing w:before="120" w:line="240" w:lineRule="auto"/>
        <w:ind w:left="851" w:hanging="284"/>
        <w:jc w:val="both"/>
        <w:rPr>
          <w:sz w:val="20"/>
          <w:lang w:val="en-GB"/>
        </w:rPr>
      </w:pPr>
      <w:r>
        <w:rPr>
          <w:sz w:val="20"/>
          <w:lang w:val="en-GB"/>
        </w:rPr>
        <w:lastRenderedPageBreak/>
        <w:t xml:space="preserve">4.3 The working group on standards noted the difference in approach to periodic inspection </w:t>
      </w:r>
      <w:r w:rsidR="00BE57E4">
        <w:rPr>
          <w:sz w:val="20"/>
          <w:lang w:val="en-GB"/>
        </w:rPr>
        <w:t xml:space="preserve">of safety valves </w:t>
      </w:r>
      <w:r>
        <w:rPr>
          <w:sz w:val="20"/>
          <w:lang w:val="en-GB"/>
        </w:rPr>
        <w:t>between EN 12972</w:t>
      </w:r>
      <w:r w:rsidR="001E7312">
        <w:rPr>
          <w:sz w:val="20"/>
          <w:lang w:val="en-GB"/>
        </w:rPr>
        <w:t xml:space="preserve">:2007 and EN 14334:2014.  The standards writers had taken different technical decision as to what constituted a </w:t>
      </w:r>
      <w:r w:rsidR="00BE57E4">
        <w:rPr>
          <w:sz w:val="20"/>
          <w:lang w:val="en-GB"/>
        </w:rPr>
        <w:t>“check of the satisfactory operation” required by the regulation.  The standards working group could not state that either approach was incorrect.  It is expected that the work</w:t>
      </w:r>
      <w:r w:rsidR="00C11D58">
        <w:rPr>
          <w:sz w:val="20"/>
          <w:lang w:val="en-GB"/>
        </w:rPr>
        <w:t xml:space="preserve"> </w:t>
      </w:r>
      <w:r w:rsidR="00BE57E4">
        <w:rPr>
          <w:sz w:val="20"/>
          <w:lang w:val="en-GB"/>
        </w:rPr>
        <w:t xml:space="preserve">being undertaken by the United Kingdom </w:t>
      </w:r>
      <w:r w:rsidR="00C11D58">
        <w:rPr>
          <w:sz w:val="20"/>
          <w:lang w:val="en-GB"/>
        </w:rPr>
        <w:t xml:space="preserve">described in INF.35 </w:t>
      </w:r>
      <w:r w:rsidR="00BE57E4">
        <w:rPr>
          <w:sz w:val="20"/>
          <w:lang w:val="en-GB"/>
        </w:rPr>
        <w:t>w</w:t>
      </w:r>
      <w:r w:rsidR="00451C1C">
        <w:rPr>
          <w:sz w:val="20"/>
          <w:lang w:val="en-GB"/>
        </w:rPr>
        <w:t>ill provide evidence for future discussions in the relevant CEN working groups</w:t>
      </w:r>
      <w:r w:rsidR="00C11D58">
        <w:rPr>
          <w:sz w:val="20"/>
          <w:lang w:val="en-GB"/>
        </w:rPr>
        <w:t xml:space="preserve"> and</w:t>
      </w:r>
      <w:r w:rsidR="00451C1C">
        <w:rPr>
          <w:sz w:val="20"/>
          <w:lang w:val="en-GB"/>
        </w:rPr>
        <w:t xml:space="preserve"> the Joint Meeting working group on tanks. </w:t>
      </w:r>
    </w:p>
    <w:p w14:paraId="3213ABA2" w14:textId="6702E693" w:rsidR="00C11D58" w:rsidRDefault="00C11D58" w:rsidP="00EC5662">
      <w:pPr>
        <w:spacing w:before="120" w:line="240" w:lineRule="auto"/>
        <w:ind w:left="851" w:hanging="284"/>
        <w:jc w:val="both"/>
        <w:rPr>
          <w:sz w:val="20"/>
          <w:lang w:val="en-GB"/>
        </w:rPr>
      </w:pPr>
      <w:r>
        <w:rPr>
          <w:sz w:val="20"/>
          <w:lang w:val="en-GB"/>
        </w:rPr>
        <w:t>4.4</w:t>
      </w:r>
      <w:r>
        <w:rPr>
          <w:sz w:val="20"/>
          <w:lang w:val="en-GB"/>
        </w:rPr>
        <w:tab/>
        <w:t>The Chair and Secretary of the working group believe that by maintaining awareness of the changed CEN procedures they are responding appropriately.  The following proposals include standards at the enquiry stage where we believe there is a strong possibility of the Formal Vote stage being omitted.  Nevertheless, the formal agreements between CEN/CENELEC and the Joint Meeting will be reviewed in CEN and proposals for adapting the agreements will be brought to the next meeting as necessary.</w:t>
      </w:r>
    </w:p>
    <w:p w14:paraId="2296023E" w14:textId="77777777" w:rsidR="004621F7" w:rsidRPr="004621F7" w:rsidRDefault="004621F7" w:rsidP="004621F7">
      <w:pPr>
        <w:spacing w:before="120" w:line="240" w:lineRule="auto"/>
        <w:ind w:left="851" w:hanging="284"/>
        <w:jc w:val="both"/>
        <w:rPr>
          <w:sz w:val="20"/>
          <w:lang w:val="en-GB"/>
        </w:rPr>
      </w:pPr>
      <w:r>
        <w:rPr>
          <w:sz w:val="20"/>
          <w:lang w:val="en-GB"/>
        </w:rPr>
        <w:t xml:space="preserve">4.5 </w:t>
      </w:r>
      <w:r w:rsidRPr="004621F7">
        <w:rPr>
          <w:sz w:val="20"/>
          <w:lang w:val="en-GB"/>
        </w:rPr>
        <w:t>The Joint Meeting Working Group on Standards supported the proposal as given in   INF 37 (CEN) to limit the scope of the use of EN 12245.</w:t>
      </w:r>
    </w:p>
    <w:p w14:paraId="14CC8048" w14:textId="566F6FFA" w:rsidR="004621F7" w:rsidRPr="00985026" w:rsidRDefault="004621F7" w:rsidP="004621F7">
      <w:pPr>
        <w:spacing w:before="120" w:line="240" w:lineRule="auto"/>
        <w:ind w:left="851" w:hanging="284"/>
        <w:jc w:val="both"/>
        <w:rPr>
          <w:sz w:val="20"/>
          <w:lang w:val="en-GB"/>
        </w:rPr>
      </w:pPr>
      <w:r>
        <w:rPr>
          <w:sz w:val="20"/>
          <w:lang w:val="en-GB"/>
        </w:rPr>
        <w:t xml:space="preserve">      </w:t>
      </w:r>
      <w:r w:rsidRPr="004621F7">
        <w:rPr>
          <w:sz w:val="20"/>
          <w:lang w:val="en-GB"/>
        </w:rPr>
        <w:t xml:space="preserve">The Working Group discussed the accidents with LPG cylinders constructed according to  EN 12245:2002 reported by Denmark to EC. Taking into account the reference to the LPG standard EN 14427:2014 the Working Group proposed to recommend that both versions of EN 12245 referenced in RIDADR shall be accompanied by a Note forbidding the use of this standard for LPG cylinders. However in order to evaluate the impact of this proposal, a decision was deferred until the next meeting.  </w:t>
      </w:r>
    </w:p>
    <w:p w14:paraId="513A5FE1" w14:textId="76BF39B4" w:rsidR="009722FB" w:rsidRPr="00985026" w:rsidRDefault="009D0E25" w:rsidP="00DC4ADC">
      <w:pPr>
        <w:spacing w:before="120" w:line="240" w:lineRule="auto"/>
        <w:ind w:left="1134" w:hanging="567"/>
        <w:jc w:val="both"/>
        <w:rPr>
          <w:sz w:val="20"/>
          <w:lang w:val="en-GB"/>
        </w:rPr>
      </w:pPr>
      <w:r w:rsidRPr="00985026">
        <w:rPr>
          <w:sz w:val="20"/>
          <w:lang w:val="en-GB"/>
        </w:rPr>
        <w:t>4.</w:t>
      </w:r>
      <w:r w:rsidR="004621F7">
        <w:rPr>
          <w:sz w:val="20"/>
          <w:lang w:val="en-GB"/>
        </w:rPr>
        <w:t>6</w:t>
      </w:r>
      <w:r w:rsidR="0080041B" w:rsidRPr="00985026">
        <w:rPr>
          <w:sz w:val="20"/>
          <w:lang w:val="en-GB"/>
        </w:rPr>
        <w:t xml:space="preserve"> </w:t>
      </w:r>
      <w:r w:rsidR="00E961AF" w:rsidRPr="00832B75">
        <w:rPr>
          <w:b/>
          <w:sz w:val="20"/>
          <w:lang w:val="en-GB"/>
        </w:rPr>
        <w:t>Proposals</w:t>
      </w:r>
      <w:r w:rsidR="00B662CA" w:rsidRPr="00985026">
        <w:rPr>
          <w:sz w:val="20"/>
          <w:lang w:val="en-GB"/>
        </w:rPr>
        <w:t xml:space="preserve"> </w:t>
      </w:r>
    </w:p>
    <w:p w14:paraId="477D2D27" w14:textId="77777777" w:rsidR="00581837" w:rsidRDefault="00581837" w:rsidP="00672C7A">
      <w:pPr>
        <w:spacing w:before="120" w:line="240" w:lineRule="auto"/>
        <w:ind w:left="1134"/>
        <w:jc w:val="both"/>
        <w:rPr>
          <w:b/>
          <w:sz w:val="20"/>
          <w:lang w:val="en-GB"/>
        </w:rPr>
      </w:pPr>
      <w:r w:rsidRPr="00985026">
        <w:rPr>
          <w:sz w:val="20"/>
          <w:lang w:val="en-GB"/>
        </w:rPr>
        <w:t xml:space="preserve">In the following proposals, new text is shown in </w:t>
      </w:r>
      <w:r w:rsidRPr="00985026">
        <w:rPr>
          <w:b/>
          <w:sz w:val="20"/>
          <w:lang w:val="en-GB"/>
        </w:rPr>
        <w:t xml:space="preserve">Bold. </w:t>
      </w:r>
    </w:p>
    <w:p w14:paraId="64AA146E" w14:textId="06B65E39" w:rsidR="0096704D" w:rsidRPr="00985026" w:rsidRDefault="0096704D" w:rsidP="00656451">
      <w:pPr>
        <w:spacing w:before="120" w:line="240" w:lineRule="auto"/>
        <w:ind w:left="1134"/>
        <w:jc w:val="both"/>
        <w:outlineLvl w:val="0"/>
        <w:rPr>
          <w:b/>
          <w:sz w:val="20"/>
          <w:lang w:val="en-GB"/>
        </w:rPr>
      </w:pPr>
      <w:r w:rsidRPr="00985026">
        <w:rPr>
          <w:b/>
          <w:sz w:val="20"/>
          <w:lang w:val="en-GB"/>
        </w:rPr>
        <w:t xml:space="preserve">Proposal </w:t>
      </w:r>
      <w:r>
        <w:rPr>
          <w:b/>
          <w:sz w:val="20"/>
          <w:lang w:val="en-GB"/>
        </w:rPr>
        <w:t>1</w:t>
      </w:r>
    </w:p>
    <w:p w14:paraId="6BDEBB97" w14:textId="77777777" w:rsidR="0096704D" w:rsidRDefault="0096704D" w:rsidP="00A40B97">
      <w:pPr>
        <w:spacing w:before="120" w:line="240" w:lineRule="auto"/>
        <w:ind w:left="1134"/>
        <w:jc w:val="both"/>
        <w:outlineLvl w:val="0"/>
        <w:rPr>
          <w:sz w:val="20"/>
          <w:lang w:val="en-GB"/>
        </w:rPr>
      </w:pPr>
      <w:r w:rsidRPr="00985026">
        <w:rPr>
          <w:sz w:val="20"/>
          <w:lang w:val="en-GB"/>
        </w:rPr>
        <w:t xml:space="preserve">In RID/ADR, 6.2.4.1: </w:t>
      </w:r>
    </w:p>
    <w:p w14:paraId="30285FB7" w14:textId="77777777" w:rsidR="00A40B97" w:rsidRDefault="00A40B97" w:rsidP="00A40B97">
      <w:pPr>
        <w:spacing w:before="120" w:line="240" w:lineRule="auto"/>
        <w:ind w:left="1134"/>
        <w:jc w:val="both"/>
        <w:outlineLvl w:val="0"/>
        <w:rPr>
          <w:sz w:val="20"/>
          <w:lang w:val="en-GB"/>
        </w:rPr>
      </w:pP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96704D" w:rsidRPr="00FF4407" w14:paraId="3136FA4C" w14:textId="77777777" w:rsidTr="0094306A">
        <w:tc>
          <w:tcPr>
            <w:tcW w:w="1417" w:type="dxa"/>
            <w:shd w:val="clear" w:color="auto" w:fill="auto"/>
            <w:vAlign w:val="center"/>
          </w:tcPr>
          <w:p w14:paraId="5ACF84D1" w14:textId="77777777" w:rsidR="0096704D" w:rsidRPr="00985026" w:rsidRDefault="0096704D" w:rsidP="0094306A">
            <w:pPr>
              <w:keepNext/>
              <w:keepLines/>
              <w:suppressAutoHyphens/>
              <w:spacing w:line="240" w:lineRule="auto"/>
              <w:jc w:val="center"/>
              <w:rPr>
                <w:sz w:val="20"/>
                <w:lang w:val="en-US"/>
              </w:rPr>
            </w:pPr>
            <w:r w:rsidRPr="00985026">
              <w:rPr>
                <w:sz w:val="20"/>
                <w:lang w:val="en-US"/>
              </w:rPr>
              <w:t>Reference</w:t>
            </w:r>
          </w:p>
        </w:tc>
        <w:tc>
          <w:tcPr>
            <w:tcW w:w="3459" w:type="dxa"/>
            <w:shd w:val="clear" w:color="auto" w:fill="auto"/>
            <w:vAlign w:val="center"/>
          </w:tcPr>
          <w:p w14:paraId="66273498" w14:textId="77777777" w:rsidR="0096704D" w:rsidRPr="00985026" w:rsidRDefault="0096704D" w:rsidP="0094306A">
            <w:pPr>
              <w:keepNext/>
              <w:keepLines/>
              <w:suppressAutoHyphens/>
              <w:spacing w:line="240" w:lineRule="auto"/>
              <w:jc w:val="center"/>
              <w:rPr>
                <w:sz w:val="20"/>
                <w:lang w:val="en-US"/>
              </w:rPr>
            </w:pPr>
            <w:r w:rsidRPr="00985026">
              <w:rPr>
                <w:sz w:val="20"/>
                <w:lang w:val="en-US"/>
              </w:rPr>
              <w:t>Title of document</w:t>
            </w:r>
          </w:p>
        </w:tc>
        <w:tc>
          <w:tcPr>
            <w:tcW w:w="1502" w:type="dxa"/>
            <w:shd w:val="clear" w:color="auto" w:fill="auto"/>
            <w:vAlign w:val="center"/>
          </w:tcPr>
          <w:p w14:paraId="09198FED" w14:textId="77777777" w:rsidR="0096704D" w:rsidRPr="00985026" w:rsidRDefault="0096704D" w:rsidP="0094306A">
            <w:pPr>
              <w:keepNext/>
              <w:keepLines/>
              <w:suppressAutoHyphens/>
              <w:spacing w:line="240" w:lineRule="auto"/>
              <w:jc w:val="center"/>
              <w:rPr>
                <w:sz w:val="20"/>
                <w:lang w:val="en-US"/>
              </w:rPr>
            </w:pPr>
            <w:r w:rsidRPr="00985026">
              <w:rPr>
                <w:sz w:val="20"/>
                <w:lang w:val="en-US"/>
              </w:rPr>
              <w:t>Applicable sub-sections and paragraphs</w:t>
            </w:r>
          </w:p>
        </w:tc>
        <w:tc>
          <w:tcPr>
            <w:tcW w:w="1371" w:type="dxa"/>
            <w:shd w:val="clear" w:color="auto" w:fill="auto"/>
            <w:vAlign w:val="center"/>
          </w:tcPr>
          <w:p w14:paraId="34B32F5F" w14:textId="77777777" w:rsidR="0096704D" w:rsidRPr="00985026" w:rsidRDefault="0096704D" w:rsidP="0094306A">
            <w:pPr>
              <w:keepNext/>
              <w:keepLines/>
              <w:suppressAutoHyphens/>
              <w:spacing w:line="240" w:lineRule="auto"/>
              <w:jc w:val="center"/>
              <w:rPr>
                <w:sz w:val="20"/>
                <w:lang w:val="en-US"/>
              </w:rPr>
            </w:pPr>
            <w:r w:rsidRPr="00985026">
              <w:rPr>
                <w:sz w:val="20"/>
                <w:lang w:val="en-US"/>
              </w:rPr>
              <w:t>Applicable for new type approvals or for renewals</w:t>
            </w:r>
          </w:p>
        </w:tc>
        <w:tc>
          <w:tcPr>
            <w:tcW w:w="1436" w:type="dxa"/>
            <w:shd w:val="clear" w:color="auto" w:fill="auto"/>
            <w:vAlign w:val="center"/>
          </w:tcPr>
          <w:p w14:paraId="592D12CC" w14:textId="77777777" w:rsidR="0096704D" w:rsidRPr="00985026" w:rsidRDefault="0096704D" w:rsidP="0094306A">
            <w:pPr>
              <w:keepNext/>
              <w:keepLines/>
              <w:suppressAutoHyphens/>
              <w:spacing w:line="240" w:lineRule="auto"/>
              <w:jc w:val="center"/>
              <w:rPr>
                <w:sz w:val="20"/>
                <w:lang w:val="en-US"/>
              </w:rPr>
            </w:pPr>
            <w:r w:rsidRPr="00985026">
              <w:rPr>
                <w:sz w:val="20"/>
                <w:lang w:val="en-US"/>
              </w:rPr>
              <w:t>Latest date for withdrawal of existing type approvals</w:t>
            </w:r>
          </w:p>
        </w:tc>
      </w:tr>
      <w:tr w:rsidR="0096704D" w:rsidRPr="00985026" w14:paraId="6FF905EF" w14:textId="77777777" w:rsidTr="0094306A">
        <w:tc>
          <w:tcPr>
            <w:tcW w:w="1417" w:type="dxa"/>
            <w:shd w:val="clear" w:color="auto" w:fill="auto"/>
          </w:tcPr>
          <w:p w14:paraId="252CF573" w14:textId="77777777" w:rsidR="0096704D" w:rsidRPr="00985026" w:rsidRDefault="0096704D" w:rsidP="0094306A">
            <w:pPr>
              <w:autoSpaceDE w:val="0"/>
              <w:autoSpaceDN w:val="0"/>
              <w:adjustRightInd w:val="0"/>
              <w:spacing w:line="240" w:lineRule="auto"/>
              <w:jc w:val="center"/>
              <w:rPr>
                <w:sz w:val="20"/>
              </w:rPr>
            </w:pPr>
            <w:r w:rsidRPr="00985026">
              <w:rPr>
                <w:rFonts w:eastAsia="MS Mincho"/>
                <w:bCs/>
                <w:sz w:val="20"/>
                <w:lang w:val="de-DE" w:eastAsia="de-DE"/>
              </w:rPr>
              <w:t>(1)</w:t>
            </w:r>
          </w:p>
        </w:tc>
        <w:tc>
          <w:tcPr>
            <w:tcW w:w="3459" w:type="dxa"/>
            <w:shd w:val="clear" w:color="auto" w:fill="auto"/>
          </w:tcPr>
          <w:p w14:paraId="48D10D53" w14:textId="77777777" w:rsidR="0096704D" w:rsidRPr="00985026" w:rsidRDefault="0096704D" w:rsidP="0094306A">
            <w:pPr>
              <w:autoSpaceDE w:val="0"/>
              <w:autoSpaceDN w:val="0"/>
              <w:adjustRightInd w:val="0"/>
              <w:spacing w:line="240" w:lineRule="auto"/>
              <w:jc w:val="center"/>
              <w:rPr>
                <w:sz w:val="20"/>
              </w:rPr>
            </w:pPr>
            <w:r w:rsidRPr="00985026">
              <w:rPr>
                <w:rFonts w:eastAsia="MS Mincho"/>
                <w:bCs/>
                <w:sz w:val="20"/>
                <w:lang w:val="de-DE" w:eastAsia="de-DE"/>
              </w:rPr>
              <w:t>(2)</w:t>
            </w:r>
          </w:p>
        </w:tc>
        <w:tc>
          <w:tcPr>
            <w:tcW w:w="1502" w:type="dxa"/>
            <w:shd w:val="clear" w:color="auto" w:fill="auto"/>
          </w:tcPr>
          <w:p w14:paraId="16F90D1C" w14:textId="77777777" w:rsidR="0096704D" w:rsidRPr="009A15CB" w:rsidRDefault="0096704D" w:rsidP="0094306A">
            <w:pPr>
              <w:autoSpaceDE w:val="0"/>
              <w:autoSpaceDN w:val="0"/>
              <w:adjustRightInd w:val="0"/>
              <w:spacing w:line="240" w:lineRule="auto"/>
              <w:jc w:val="center"/>
              <w:rPr>
                <w:sz w:val="20"/>
              </w:rPr>
            </w:pPr>
            <w:r w:rsidRPr="00985026">
              <w:rPr>
                <w:rFonts w:eastAsia="MS Mincho"/>
                <w:bCs/>
                <w:sz w:val="20"/>
                <w:lang w:val="de-DE" w:eastAsia="de-DE"/>
              </w:rPr>
              <w:t>(3)</w:t>
            </w:r>
          </w:p>
        </w:tc>
        <w:tc>
          <w:tcPr>
            <w:tcW w:w="1371" w:type="dxa"/>
            <w:shd w:val="clear" w:color="auto" w:fill="auto"/>
            <w:vAlign w:val="center"/>
          </w:tcPr>
          <w:p w14:paraId="6B78AA7C" w14:textId="77777777" w:rsidR="0096704D" w:rsidRPr="003104EE" w:rsidRDefault="0096704D" w:rsidP="0094306A">
            <w:pPr>
              <w:keepNext/>
              <w:keepLines/>
              <w:spacing w:line="240" w:lineRule="auto"/>
              <w:jc w:val="center"/>
              <w:rPr>
                <w:sz w:val="20"/>
                <w:lang w:val="en-US"/>
              </w:rPr>
            </w:pPr>
            <w:r w:rsidRPr="003104EE">
              <w:rPr>
                <w:sz w:val="20"/>
                <w:lang w:val="en-US"/>
              </w:rPr>
              <w:t>(4)</w:t>
            </w:r>
          </w:p>
        </w:tc>
        <w:tc>
          <w:tcPr>
            <w:tcW w:w="1436" w:type="dxa"/>
            <w:shd w:val="clear" w:color="auto" w:fill="auto"/>
            <w:vAlign w:val="center"/>
          </w:tcPr>
          <w:p w14:paraId="0F31438C" w14:textId="77777777" w:rsidR="0096704D" w:rsidRPr="00985026" w:rsidRDefault="0096704D" w:rsidP="0094306A">
            <w:pPr>
              <w:keepNext/>
              <w:keepLines/>
              <w:spacing w:line="240" w:lineRule="auto"/>
              <w:jc w:val="center"/>
              <w:rPr>
                <w:sz w:val="20"/>
                <w:lang w:val="en-US"/>
              </w:rPr>
            </w:pPr>
            <w:r w:rsidRPr="00985026">
              <w:rPr>
                <w:sz w:val="20"/>
                <w:lang w:val="en-US"/>
              </w:rPr>
              <w:t>(5)</w:t>
            </w:r>
          </w:p>
        </w:tc>
      </w:tr>
      <w:tr w:rsidR="0096704D" w:rsidRPr="00985026" w14:paraId="34A78AAC" w14:textId="77777777" w:rsidTr="0094306A">
        <w:tc>
          <w:tcPr>
            <w:tcW w:w="9185" w:type="dxa"/>
            <w:gridSpan w:val="5"/>
            <w:shd w:val="clear" w:color="auto" w:fill="auto"/>
          </w:tcPr>
          <w:p w14:paraId="3F6584E1" w14:textId="70E72560" w:rsidR="0096704D" w:rsidRPr="00985026" w:rsidRDefault="0096704D" w:rsidP="00797BAA">
            <w:pPr>
              <w:keepNext/>
              <w:keepLines/>
              <w:spacing w:line="240" w:lineRule="auto"/>
              <w:rPr>
                <w:b/>
                <w:i/>
                <w:sz w:val="20"/>
                <w:lang w:val="en-US"/>
              </w:rPr>
            </w:pPr>
            <w:r w:rsidRPr="00985026">
              <w:rPr>
                <w:b/>
                <w:i/>
                <w:sz w:val="20"/>
                <w:lang w:val="en-US"/>
              </w:rPr>
              <w:t xml:space="preserve">for </w:t>
            </w:r>
            <w:r w:rsidR="00797BAA">
              <w:rPr>
                <w:b/>
                <w:i/>
                <w:sz w:val="20"/>
                <w:lang w:val="en-US"/>
              </w:rPr>
              <w:t xml:space="preserve">closures </w:t>
            </w:r>
          </w:p>
        </w:tc>
      </w:tr>
      <w:tr w:rsidR="0096704D" w:rsidRPr="00985026" w14:paraId="741E5E33" w14:textId="77777777" w:rsidTr="0094306A">
        <w:tc>
          <w:tcPr>
            <w:tcW w:w="1417" w:type="dxa"/>
            <w:shd w:val="clear" w:color="auto" w:fill="auto"/>
          </w:tcPr>
          <w:p w14:paraId="1A7FC7A5" w14:textId="358CF729" w:rsidR="0096704D" w:rsidRPr="00985026" w:rsidRDefault="0096704D" w:rsidP="00841AB3">
            <w:pPr>
              <w:suppressAutoHyphens/>
              <w:autoSpaceDE w:val="0"/>
              <w:autoSpaceDN w:val="0"/>
              <w:adjustRightInd w:val="0"/>
              <w:spacing w:line="240" w:lineRule="auto"/>
              <w:rPr>
                <w:rFonts w:eastAsia="MS Mincho"/>
                <w:sz w:val="20"/>
                <w:lang w:val="de-DE" w:eastAsia="de-DE"/>
              </w:rPr>
            </w:pPr>
            <w:r w:rsidRPr="00985026">
              <w:rPr>
                <w:rFonts w:eastAsia="MS Mincho"/>
                <w:sz w:val="20"/>
                <w:lang w:val="de-DE" w:eastAsia="de-DE"/>
              </w:rPr>
              <w:t>EN ISO 1</w:t>
            </w:r>
            <w:r w:rsidR="00841AB3">
              <w:rPr>
                <w:rFonts w:eastAsia="MS Mincho"/>
                <w:sz w:val="20"/>
                <w:lang w:val="de-DE" w:eastAsia="de-DE"/>
              </w:rPr>
              <w:t>7871</w:t>
            </w:r>
            <w:r w:rsidRPr="00985026">
              <w:rPr>
                <w:rFonts w:eastAsia="MS Mincho"/>
                <w:sz w:val="20"/>
                <w:lang w:val="de-DE" w:eastAsia="de-DE"/>
              </w:rPr>
              <w:t>:</w:t>
            </w:r>
            <w:r w:rsidR="00841AB3">
              <w:rPr>
                <w:rFonts w:eastAsia="MS Mincho"/>
                <w:sz w:val="20"/>
                <w:lang w:val="de-DE" w:eastAsia="de-DE"/>
              </w:rPr>
              <w:t>2015</w:t>
            </w:r>
          </w:p>
        </w:tc>
        <w:tc>
          <w:tcPr>
            <w:tcW w:w="3459" w:type="dxa"/>
            <w:shd w:val="clear" w:color="auto" w:fill="auto"/>
          </w:tcPr>
          <w:p w14:paraId="331AD2A5" w14:textId="4817159F" w:rsidR="0096704D" w:rsidRPr="00985026" w:rsidRDefault="00841AB3" w:rsidP="0094306A">
            <w:pPr>
              <w:autoSpaceDE w:val="0"/>
              <w:autoSpaceDN w:val="0"/>
              <w:adjustRightInd w:val="0"/>
              <w:spacing w:line="240" w:lineRule="auto"/>
              <w:rPr>
                <w:spacing w:val="-3"/>
                <w:sz w:val="20"/>
                <w:lang w:val="en-GB"/>
              </w:rPr>
            </w:pPr>
            <w:r w:rsidRPr="00841AB3">
              <w:rPr>
                <w:spacing w:val="-3"/>
                <w:sz w:val="20"/>
                <w:lang w:val="en-GB"/>
              </w:rPr>
              <w:t>Gas cylinders - Quick-release cylinder valves - Specification and type testing - Amendment 1: Gas cylinders - Quick-release cylinder valves - Specification and type testing</w:t>
            </w:r>
          </w:p>
        </w:tc>
        <w:tc>
          <w:tcPr>
            <w:tcW w:w="1502" w:type="dxa"/>
            <w:shd w:val="clear" w:color="auto" w:fill="auto"/>
          </w:tcPr>
          <w:p w14:paraId="270FC548" w14:textId="3B5188A0" w:rsidR="0096704D" w:rsidRPr="0080041B" w:rsidRDefault="0096704D" w:rsidP="0094306A">
            <w:pPr>
              <w:suppressAutoHyphens/>
              <w:spacing w:line="240" w:lineRule="auto"/>
              <w:jc w:val="center"/>
              <w:rPr>
                <w:bCs/>
                <w:sz w:val="20"/>
                <w:lang w:val="en-GB"/>
              </w:rPr>
            </w:pPr>
            <w:r w:rsidRPr="0080041B">
              <w:rPr>
                <w:lang w:val="en-GB"/>
              </w:rPr>
              <w:t>6.2.3.1</w:t>
            </w:r>
            <w:r w:rsidR="00841AB3" w:rsidRPr="0080041B">
              <w:rPr>
                <w:lang w:val="en-GB"/>
              </w:rPr>
              <w:t xml:space="preserve">, 6.2.3.3 </w:t>
            </w:r>
            <w:r w:rsidRPr="0080041B">
              <w:rPr>
                <w:lang w:val="en-GB"/>
              </w:rPr>
              <w:t>and 6.2.3.4</w:t>
            </w:r>
            <w:r w:rsidRPr="0080041B">
              <w:rPr>
                <w:bCs/>
                <w:sz w:val="20"/>
                <w:lang w:val="en-GB"/>
              </w:rPr>
              <w:t xml:space="preserve"> </w:t>
            </w:r>
          </w:p>
        </w:tc>
        <w:tc>
          <w:tcPr>
            <w:tcW w:w="1371" w:type="dxa"/>
            <w:shd w:val="clear" w:color="auto" w:fill="auto"/>
          </w:tcPr>
          <w:p w14:paraId="23101D9F" w14:textId="3EE34ADF" w:rsidR="0096704D" w:rsidRPr="00985026" w:rsidRDefault="0096704D" w:rsidP="00841AB3">
            <w:pPr>
              <w:suppressAutoHyphens/>
              <w:spacing w:line="240" w:lineRule="auto"/>
              <w:jc w:val="center"/>
              <w:rPr>
                <w:b/>
                <w:sz w:val="20"/>
                <w:lang w:val="en-GB"/>
              </w:rPr>
            </w:pPr>
            <w:r w:rsidRPr="00D542F4">
              <w:rPr>
                <w:b/>
                <w:sz w:val="20"/>
                <w:lang w:val="en-GB"/>
              </w:rPr>
              <w:t>Between 1 January 201</w:t>
            </w:r>
            <w:r w:rsidR="00841AB3">
              <w:rPr>
                <w:b/>
                <w:sz w:val="20"/>
                <w:lang w:val="en-GB"/>
              </w:rPr>
              <w:t>7</w:t>
            </w:r>
            <w:r w:rsidRPr="00D542F4">
              <w:rPr>
                <w:b/>
                <w:sz w:val="20"/>
                <w:lang w:val="en-GB"/>
              </w:rPr>
              <w:t xml:space="preserve"> and 31 December 2020</w:t>
            </w:r>
          </w:p>
        </w:tc>
        <w:tc>
          <w:tcPr>
            <w:tcW w:w="1436" w:type="dxa"/>
            <w:shd w:val="clear" w:color="auto" w:fill="auto"/>
          </w:tcPr>
          <w:p w14:paraId="3C4D14A9" w14:textId="77777777" w:rsidR="0096704D" w:rsidRPr="00985026" w:rsidRDefault="0096704D" w:rsidP="0094306A">
            <w:pPr>
              <w:autoSpaceDE w:val="0"/>
              <w:autoSpaceDN w:val="0"/>
              <w:adjustRightInd w:val="0"/>
              <w:spacing w:line="240" w:lineRule="auto"/>
              <w:jc w:val="center"/>
              <w:rPr>
                <w:b/>
                <w:bCs/>
                <w:strike/>
                <w:sz w:val="20"/>
                <w:lang w:val="en-GB"/>
              </w:rPr>
            </w:pPr>
          </w:p>
        </w:tc>
      </w:tr>
      <w:tr w:rsidR="0096704D" w:rsidRPr="001713C6" w14:paraId="44622FDF" w14:textId="77777777" w:rsidTr="0094306A">
        <w:tc>
          <w:tcPr>
            <w:tcW w:w="1417" w:type="dxa"/>
            <w:shd w:val="clear" w:color="auto" w:fill="auto"/>
          </w:tcPr>
          <w:p w14:paraId="4C10BD51" w14:textId="100FB087" w:rsidR="0096704D" w:rsidRPr="00D542F4" w:rsidRDefault="0096704D" w:rsidP="00841AB3">
            <w:pPr>
              <w:keepNext/>
              <w:ind w:hanging="22"/>
              <w:rPr>
                <w:b/>
                <w:bCs/>
                <w:sz w:val="20"/>
                <w:lang w:val="en-GB"/>
              </w:rPr>
            </w:pPr>
            <w:r w:rsidRPr="00D542F4">
              <w:rPr>
                <w:b/>
                <w:bCs/>
                <w:sz w:val="20"/>
                <w:lang w:val="en-GB"/>
              </w:rPr>
              <w:t>EN ISO 1</w:t>
            </w:r>
            <w:r w:rsidR="00841AB3">
              <w:rPr>
                <w:b/>
                <w:bCs/>
                <w:sz w:val="20"/>
                <w:lang w:val="en-GB"/>
              </w:rPr>
              <w:t>7871</w:t>
            </w:r>
            <w:r w:rsidRPr="00D542F4">
              <w:rPr>
                <w:b/>
                <w:bCs/>
                <w:sz w:val="20"/>
                <w:lang w:val="en-GB"/>
              </w:rPr>
              <w:t>:2015</w:t>
            </w:r>
            <w:r w:rsidR="00841AB3">
              <w:rPr>
                <w:b/>
                <w:bCs/>
                <w:sz w:val="20"/>
                <w:lang w:val="en-GB"/>
              </w:rPr>
              <w:t xml:space="preserve"> + A1 [2018]</w:t>
            </w:r>
          </w:p>
        </w:tc>
        <w:tc>
          <w:tcPr>
            <w:tcW w:w="3459" w:type="dxa"/>
            <w:shd w:val="clear" w:color="auto" w:fill="auto"/>
          </w:tcPr>
          <w:p w14:paraId="393BB0C1" w14:textId="4F0F9FE3" w:rsidR="0096704D" w:rsidRPr="00D542F4" w:rsidRDefault="00841AB3" w:rsidP="0094306A">
            <w:pPr>
              <w:keepNext/>
              <w:ind w:hanging="22"/>
              <w:rPr>
                <w:b/>
                <w:bCs/>
                <w:sz w:val="20"/>
                <w:lang w:val="en-GB"/>
              </w:rPr>
            </w:pPr>
            <w:r w:rsidRPr="00841AB3">
              <w:rPr>
                <w:b/>
                <w:bCs/>
                <w:sz w:val="20"/>
                <w:lang w:val="en-GB"/>
              </w:rPr>
              <w:t>Gas cylinders - Quick-release cylinder valves - Specification and type testing - Amendment 1: Gas cylinders - Quick-release cylinder valves - Specification and type testing</w:t>
            </w:r>
          </w:p>
        </w:tc>
        <w:tc>
          <w:tcPr>
            <w:tcW w:w="1502" w:type="dxa"/>
            <w:shd w:val="clear" w:color="auto" w:fill="auto"/>
          </w:tcPr>
          <w:p w14:paraId="41F8BE45" w14:textId="2810382D" w:rsidR="0096704D" w:rsidRPr="00985026" w:rsidRDefault="0096704D" w:rsidP="0094306A">
            <w:pPr>
              <w:suppressAutoHyphens/>
              <w:spacing w:line="240" w:lineRule="auto"/>
              <w:jc w:val="center"/>
              <w:rPr>
                <w:b/>
                <w:bCs/>
                <w:sz w:val="20"/>
                <w:lang w:val="en-GB"/>
              </w:rPr>
            </w:pPr>
            <w:r w:rsidRPr="00D542F4">
              <w:rPr>
                <w:b/>
                <w:bCs/>
                <w:sz w:val="20"/>
                <w:lang w:val="en-GB"/>
              </w:rPr>
              <w:t>6.2.3.1</w:t>
            </w:r>
            <w:r w:rsidR="00841AB3">
              <w:rPr>
                <w:b/>
                <w:bCs/>
                <w:sz w:val="20"/>
                <w:lang w:val="en-GB"/>
              </w:rPr>
              <w:t xml:space="preserve"> , 6.2.3.3</w:t>
            </w:r>
            <w:r w:rsidRPr="00D542F4">
              <w:rPr>
                <w:b/>
                <w:bCs/>
                <w:sz w:val="20"/>
                <w:lang w:val="en-GB"/>
              </w:rPr>
              <w:t xml:space="preserve"> and 6.2.3.4</w:t>
            </w:r>
          </w:p>
        </w:tc>
        <w:tc>
          <w:tcPr>
            <w:tcW w:w="1371" w:type="dxa"/>
            <w:shd w:val="clear" w:color="auto" w:fill="auto"/>
          </w:tcPr>
          <w:p w14:paraId="7EA834F4" w14:textId="77777777" w:rsidR="0096704D" w:rsidRPr="003104EE" w:rsidRDefault="0096704D" w:rsidP="0094306A">
            <w:pPr>
              <w:suppressAutoHyphens/>
              <w:spacing w:line="240" w:lineRule="auto"/>
              <w:jc w:val="center"/>
              <w:rPr>
                <w:b/>
                <w:sz w:val="20"/>
                <w:lang w:val="en-GB"/>
              </w:rPr>
            </w:pPr>
            <w:r w:rsidRPr="00985026">
              <w:rPr>
                <w:b/>
                <w:sz w:val="20"/>
                <w:lang w:val="en-GB"/>
              </w:rPr>
              <w:t>Until further notice</w:t>
            </w:r>
          </w:p>
        </w:tc>
        <w:tc>
          <w:tcPr>
            <w:tcW w:w="1436" w:type="dxa"/>
            <w:shd w:val="clear" w:color="auto" w:fill="auto"/>
          </w:tcPr>
          <w:p w14:paraId="16047752" w14:textId="77777777" w:rsidR="0096704D" w:rsidRPr="00985026" w:rsidRDefault="0096704D" w:rsidP="0094306A">
            <w:pPr>
              <w:autoSpaceDE w:val="0"/>
              <w:autoSpaceDN w:val="0"/>
              <w:adjustRightInd w:val="0"/>
              <w:spacing w:line="240" w:lineRule="auto"/>
              <w:jc w:val="center"/>
              <w:rPr>
                <w:b/>
                <w:bCs/>
                <w:strike/>
                <w:sz w:val="20"/>
                <w:lang w:val="en-GB"/>
              </w:rPr>
            </w:pPr>
          </w:p>
        </w:tc>
      </w:tr>
    </w:tbl>
    <w:p w14:paraId="536E22A5" w14:textId="4FFE7A10" w:rsidR="0096704D" w:rsidRDefault="0096704D" w:rsidP="009C671C">
      <w:pPr>
        <w:spacing w:before="120" w:line="240" w:lineRule="auto"/>
        <w:ind w:left="426"/>
        <w:jc w:val="both"/>
        <w:rPr>
          <w:b/>
          <w:sz w:val="20"/>
          <w:lang w:val="en-GB"/>
        </w:rPr>
      </w:pPr>
      <w:r w:rsidRPr="00985026">
        <w:rPr>
          <w:b/>
          <w:sz w:val="20"/>
          <w:lang w:val="en-GB"/>
        </w:rPr>
        <w:tab/>
      </w:r>
      <w:r w:rsidRPr="00985026">
        <w:rPr>
          <w:b/>
          <w:sz w:val="20"/>
          <w:lang w:val="en-GB"/>
        </w:rPr>
        <w:tab/>
      </w:r>
    </w:p>
    <w:p w14:paraId="161EBF6A" w14:textId="77777777" w:rsidR="005C123C" w:rsidRDefault="005C123C" w:rsidP="00656451">
      <w:pPr>
        <w:spacing w:before="120" w:line="240" w:lineRule="auto"/>
        <w:ind w:left="1134"/>
        <w:jc w:val="both"/>
        <w:outlineLvl w:val="0"/>
        <w:rPr>
          <w:b/>
          <w:sz w:val="20"/>
          <w:lang w:val="en-GB"/>
        </w:rPr>
      </w:pPr>
    </w:p>
    <w:p w14:paraId="77CC8A8E" w14:textId="77777777" w:rsidR="005C123C" w:rsidRDefault="005C123C" w:rsidP="00656451">
      <w:pPr>
        <w:spacing w:before="120" w:line="240" w:lineRule="auto"/>
        <w:ind w:left="1134"/>
        <w:jc w:val="both"/>
        <w:outlineLvl w:val="0"/>
        <w:rPr>
          <w:b/>
          <w:sz w:val="20"/>
          <w:lang w:val="en-GB"/>
        </w:rPr>
      </w:pPr>
    </w:p>
    <w:p w14:paraId="7CEC6C2F" w14:textId="77777777" w:rsidR="005C123C" w:rsidRDefault="005C123C" w:rsidP="00656451">
      <w:pPr>
        <w:spacing w:before="120" w:line="240" w:lineRule="auto"/>
        <w:ind w:left="1134"/>
        <w:jc w:val="both"/>
        <w:outlineLvl w:val="0"/>
        <w:rPr>
          <w:b/>
          <w:sz w:val="20"/>
          <w:lang w:val="en-GB"/>
        </w:rPr>
      </w:pPr>
    </w:p>
    <w:p w14:paraId="216D3876" w14:textId="68BF8991" w:rsidR="00797BAA" w:rsidRPr="00985026" w:rsidRDefault="00797BAA" w:rsidP="00656451">
      <w:pPr>
        <w:spacing w:before="120" w:line="240" w:lineRule="auto"/>
        <w:ind w:left="1134"/>
        <w:jc w:val="both"/>
        <w:outlineLvl w:val="0"/>
        <w:rPr>
          <w:b/>
          <w:sz w:val="20"/>
          <w:lang w:val="en-GB"/>
        </w:rPr>
      </w:pPr>
      <w:r w:rsidRPr="00985026">
        <w:rPr>
          <w:b/>
          <w:sz w:val="20"/>
          <w:lang w:val="en-GB"/>
        </w:rPr>
        <w:lastRenderedPageBreak/>
        <w:t xml:space="preserve">Proposal </w:t>
      </w:r>
      <w:r>
        <w:rPr>
          <w:b/>
          <w:sz w:val="20"/>
          <w:lang w:val="en-GB"/>
        </w:rPr>
        <w:t>2</w:t>
      </w:r>
    </w:p>
    <w:p w14:paraId="46C55422" w14:textId="77777777" w:rsidR="00A40B97" w:rsidRDefault="00797BAA" w:rsidP="00A40B97">
      <w:pPr>
        <w:spacing w:before="120" w:line="240" w:lineRule="auto"/>
        <w:ind w:left="1134"/>
        <w:jc w:val="both"/>
        <w:outlineLvl w:val="0"/>
        <w:rPr>
          <w:sz w:val="20"/>
          <w:lang w:val="en-GB"/>
        </w:rPr>
      </w:pPr>
      <w:r w:rsidRPr="00985026">
        <w:rPr>
          <w:sz w:val="20"/>
          <w:lang w:val="en-GB"/>
        </w:rPr>
        <w:t>In RID/ADR, 6.</w:t>
      </w:r>
      <w:r>
        <w:rPr>
          <w:sz w:val="20"/>
          <w:lang w:val="en-GB"/>
        </w:rPr>
        <w:t>8</w:t>
      </w:r>
      <w:r w:rsidRPr="00985026">
        <w:rPr>
          <w:sz w:val="20"/>
          <w:lang w:val="en-GB"/>
        </w:rPr>
        <w:t>.</w:t>
      </w:r>
      <w:r>
        <w:rPr>
          <w:sz w:val="20"/>
          <w:lang w:val="en-GB"/>
        </w:rPr>
        <w:t>3</w:t>
      </w:r>
      <w:r w:rsidRPr="00985026">
        <w:rPr>
          <w:sz w:val="20"/>
          <w:lang w:val="en-GB"/>
        </w:rPr>
        <w:t>.</w:t>
      </w:r>
      <w:r>
        <w:rPr>
          <w:sz w:val="20"/>
          <w:lang w:val="en-GB"/>
        </w:rPr>
        <w:t>6</w:t>
      </w:r>
      <w:r w:rsidRPr="00985026">
        <w:rPr>
          <w:sz w:val="20"/>
          <w:lang w:val="en-GB"/>
        </w:rPr>
        <w:t>:</w:t>
      </w:r>
    </w:p>
    <w:p w14:paraId="761BD204" w14:textId="33848EC2" w:rsidR="00797BAA" w:rsidRPr="00985026" w:rsidRDefault="00797BAA" w:rsidP="00A40B97">
      <w:pPr>
        <w:spacing w:before="120" w:line="240" w:lineRule="auto"/>
        <w:ind w:left="1134"/>
        <w:jc w:val="both"/>
        <w:outlineLvl w:val="0"/>
        <w:rPr>
          <w:sz w:val="20"/>
          <w:lang w:val="en-GB"/>
        </w:rPr>
      </w:pP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797BAA" w:rsidRPr="00FF4407" w14:paraId="1EA81BB1" w14:textId="77777777" w:rsidTr="0094306A">
        <w:tc>
          <w:tcPr>
            <w:tcW w:w="1417" w:type="dxa"/>
            <w:shd w:val="clear" w:color="auto" w:fill="auto"/>
            <w:vAlign w:val="center"/>
          </w:tcPr>
          <w:p w14:paraId="3969AA60" w14:textId="77777777" w:rsidR="00797BAA" w:rsidRPr="00985026" w:rsidRDefault="00797BAA" w:rsidP="0094306A">
            <w:pPr>
              <w:keepNext/>
              <w:keepLines/>
              <w:suppressAutoHyphens/>
              <w:spacing w:line="240" w:lineRule="auto"/>
              <w:jc w:val="center"/>
              <w:rPr>
                <w:sz w:val="20"/>
                <w:lang w:val="en-US"/>
              </w:rPr>
            </w:pPr>
            <w:r w:rsidRPr="00985026">
              <w:rPr>
                <w:sz w:val="20"/>
                <w:lang w:val="en-US"/>
              </w:rPr>
              <w:t>Reference</w:t>
            </w:r>
          </w:p>
        </w:tc>
        <w:tc>
          <w:tcPr>
            <w:tcW w:w="3459" w:type="dxa"/>
            <w:shd w:val="clear" w:color="auto" w:fill="auto"/>
            <w:vAlign w:val="center"/>
          </w:tcPr>
          <w:p w14:paraId="25B9F8F2" w14:textId="77777777" w:rsidR="00797BAA" w:rsidRPr="00985026" w:rsidRDefault="00797BAA" w:rsidP="0094306A">
            <w:pPr>
              <w:keepNext/>
              <w:keepLines/>
              <w:suppressAutoHyphens/>
              <w:spacing w:line="240" w:lineRule="auto"/>
              <w:jc w:val="center"/>
              <w:rPr>
                <w:sz w:val="20"/>
                <w:lang w:val="en-US"/>
              </w:rPr>
            </w:pPr>
            <w:r w:rsidRPr="00985026">
              <w:rPr>
                <w:sz w:val="20"/>
                <w:lang w:val="en-US"/>
              </w:rPr>
              <w:t>Title of document</w:t>
            </w:r>
          </w:p>
        </w:tc>
        <w:tc>
          <w:tcPr>
            <w:tcW w:w="1502" w:type="dxa"/>
            <w:shd w:val="clear" w:color="auto" w:fill="auto"/>
            <w:vAlign w:val="center"/>
          </w:tcPr>
          <w:p w14:paraId="6A902E1C" w14:textId="77777777" w:rsidR="00797BAA" w:rsidRPr="00985026" w:rsidRDefault="00797BAA" w:rsidP="0094306A">
            <w:pPr>
              <w:keepNext/>
              <w:keepLines/>
              <w:suppressAutoHyphens/>
              <w:spacing w:line="240" w:lineRule="auto"/>
              <w:jc w:val="center"/>
              <w:rPr>
                <w:sz w:val="20"/>
                <w:lang w:val="en-US"/>
              </w:rPr>
            </w:pPr>
            <w:r w:rsidRPr="00985026">
              <w:rPr>
                <w:sz w:val="20"/>
                <w:lang w:val="en-US"/>
              </w:rPr>
              <w:t>Applicable sub-sections and paragraphs</w:t>
            </w:r>
          </w:p>
        </w:tc>
        <w:tc>
          <w:tcPr>
            <w:tcW w:w="1371" w:type="dxa"/>
            <w:shd w:val="clear" w:color="auto" w:fill="auto"/>
            <w:vAlign w:val="center"/>
          </w:tcPr>
          <w:p w14:paraId="3845CBFA" w14:textId="77777777" w:rsidR="00797BAA" w:rsidRPr="00985026" w:rsidRDefault="00797BAA" w:rsidP="0094306A">
            <w:pPr>
              <w:keepNext/>
              <w:keepLines/>
              <w:suppressAutoHyphens/>
              <w:spacing w:line="240" w:lineRule="auto"/>
              <w:jc w:val="center"/>
              <w:rPr>
                <w:sz w:val="20"/>
                <w:lang w:val="en-US"/>
              </w:rPr>
            </w:pPr>
            <w:r w:rsidRPr="00985026">
              <w:rPr>
                <w:sz w:val="20"/>
                <w:lang w:val="en-US"/>
              </w:rPr>
              <w:t>Applicable for new type approvals or for renewals</w:t>
            </w:r>
          </w:p>
        </w:tc>
        <w:tc>
          <w:tcPr>
            <w:tcW w:w="1436" w:type="dxa"/>
            <w:shd w:val="clear" w:color="auto" w:fill="auto"/>
            <w:vAlign w:val="center"/>
          </w:tcPr>
          <w:p w14:paraId="68AF0D8F" w14:textId="77777777" w:rsidR="00797BAA" w:rsidRPr="00985026" w:rsidRDefault="00797BAA" w:rsidP="0094306A">
            <w:pPr>
              <w:keepNext/>
              <w:keepLines/>
              <w:suppressAutoHyphens/>
              <w:spacing w:line="240" w:lineRule="auto"/>
              <w:jc w:val="center"/>
              <w:rPr>
                <w:sz w:val="20"/>
                <w:lang w:val="en-US"/>
              </w:rPr>
            </w:pPr>
            <w:r w:rsidRPr="00985026">
              <w:rPr>
                <w:sz w:val="20"/>
                <w:lang w:val="en-US"/>
              </w:rPr>
              <w:t>Latest date for withdrawal of existing type approvals</w:t>
            </w:r>
          </w:p>
        </w:tc>
      </w:tr>
      <w:tr w:rsidR="00797BAA" w:rsidRPr="00985026" w14:paraId="25F0733E" w14:textId="77777777" w:rsidTr="0094306A">
        <w:tc>
          <w:tcPr>
            <w:tcW w:w="1417" w:type="dxa"/>
            <w:shd w:val="clear" w:color="auto" w:fill="auto"/>
          </w:tcPr>
          <w:p w14:paraId="323B08A1" w14:textId="77777777" w:rsidR="00797BAA" w:rsidRPr="00985026" w:rsidRDefault="00797BAA" w:rsidP="0094306A">
            <w:pPr>
              <w:autoSpaceDE w:val="0"/>
              <w:autoSpaceDN w:val="0"/>
              <w:adjustRightInd w:val="0"/>
              <w:spacing w:line="240" w:lineRule="auto"/>
              <w:jc w:val="center"/>
              <w:rPr>
                <w:sz w:val="20"/>
              </w:rPr>
            </w:pPr>
            <w:r w:rsidRPr="00985026">
              <w:rPr>
                <w:rFonts w:eastAsia="MS Mincho"/>
                <w:bCs/>
                <w:sz w:val="20"/>
                <w:lang w:val="de-DE" w:eastAsia="de-DE"/>
              </w:rPr>
              <w:t>(1)</w:t>
            </w:r>
          </w:p>
        </w:tc>
        <w:tc>
          <w:tcPr>
            <w:tcW w:w="3459" w:type="dxa"/>
            <w:shd w:val="clear" w:color="auto" w:fill="auto"/>
          </w:tcPr>
          <w:p w14:paraId="1DC6CC3A" w14:textId="77777777" w:rsidR="00797BAA" w:rsidRPr="00985026" w:rsidRDefault="00797BAA" w:rsidP="0094306A">
            <w:pPr>
              <w:autoSpaceDE w:val="0"/>
              <w:autoSpaceDN w:val="0"/>
              <w:adjustRightInd w:val="0"/>
              <w:spacing w:line="240" w:lineRule="auto"/>
              <w:jc w:val="center"/>
              <w:rPr>
                <w:sz w:val="20"/>
              </w:rPr>
            </w:pPr>
            <w:r w:rsidRPr="00985026">
              <w:rPr>
                <w:rFonts w:eastAsia="MS Mincho"/>
                <w:bCs/>
                <w:sz w:val="20"/>
                <w:lang w:val="de-DE" w:eastAsia="de-DE"/>
              </w:rPr>
              <w:t>(2)</w:t>
            </w:r>
          </w:p>
        </w:tc>
        <w:tc>
          <w:tcPr>
            <w:tcW w:w="1502" w:type="dxa"/>
            <w:shd w:val="clear" w:color="auto" w:fill="auto"/>
          </w:tcPr>
          <w:p w14:paraId="6E958856" w14:textId="77777777" w:rsidR="00797BAA" w:rsidRPr="009A15CB" w:rsidRDefault="00797BAA" w:rsidP="0094306A">
            <w:pPr>
              <w:autoSpaceDE w:val="0"/>
              <w:autoSpaceDN w:val="0"/>
              <w:adjustRightInd w:val="0"/>
              <w:spacing w:line="240" w:lineRule="auto"/>
              <w:jc w:val="center"/>
              <w:rPr>
                <w:sz w:val="20"/>
              </w:rPr>
            </w:pPr>
            <w:r w:rsidRPr="00985026">
              <w:rPr>
                <w:rFonts w:eastAsia="MS Mincho"/>
                <w:bCs/>
                <w:sz w:val="20"/>
                <w:lang w:val="de-DE" w:eastAsia="de-DE"/>
              </w:rPr>
              <w:t>(3)</w:t>
            </w:r>
          </w:p>
        </w:tc>
        <w:tc>
          <w:tcPr>
            <w:tcW w:w="1371" w:type="dxa"/>
            <w:shd w:val="clear" w:color="auto" w:fill="auto"/>
            <w:vAlign w:val="center"/>
          </w:tcPr>
          <w:p w14:paraId="799C3F14" w14:textId="77777777" w:rsidR="00797BAA" w:rsidRPr="003104EE" w:rsidRDefault="00797BAA" w:rsidP="0094306A">
            <w:pPr>
              <w:keepNext/>
              <w:keepLines/>
              <w:spacing w:line="240" w:lineRule="auto"/>
              <w:jc w:val="center"/>
              <w:rPr>
                <w:sz w:val="20"/>
                <w:lang w:val="en-US"/>
              </w:rPr>
            </w:pPr>
            <w:r w:rsidRPr="003104EE">
              <w:rPr>
                <w:sz w:val="20"/>
                <w:lang w:val="en-US"/>
              </w:rPr>
              <w:t>(4)</w:t>
            </w:r>
          </w:p>
        </w:tc>
        <w:tc>
          <w:tcPr>
            <w:tcW w:w="1436" w:type="dxa"/>
            <w:shd w:val="clear" w:color="auto" w:fill="auto"/>
            <w:vAlign w:val="center"/>
          </w:tcPr>
          <w:p w14:paraId="7A2CDB92" w14:textId="77777777" w:rsidR="00797BAA" w:rsidRPr="00985026" w:rsidRDefault="00797BAA" w:rsidP="0094306A">
            <w:pPr>
              <w:keepNext/>
              <w:keepLines/>
              <w:spacing w:line="240" w:lineRule="auto"/>
              <w:jc w:val="center"/>
              <w:rPr>
                <w:sz w:val="20"/>
                <w:lang w:val="en-US"/>
              </w:rPr>
            </w:pPr>
            <w:r w:rsidRPr="00985026">
              <w:rPr>
                <w:sz w:val="20"/>
                <w:lang w:val="en-US"/>
              </w:rPr>
              <w:t>(5)</w:t>
            </w:r>
          </w:p>
        </w:tc>
      </w:tr>
      <w:tr w:rsidR="00797BAA" w:rsidRPr="00985026" w14:paraId="4A1D0012" w14:textId="77777777" w:rsidTr="0094306A">
        <w:tc>
          <w:tcPr>
            <w:tcW w:w="1417" w:type="dxa"/>
            <w:shd w:val="clear" w:color="auto" w:fill="auto"/>
          </w:tcPr>
          <w:p w14:paraId="48DCCED0" w14:textId="7C0EA283" w:rsidR="00797BAA" w:rsidRPr="00985026" w:rsidRDefault="00797BAA" w:rsidP="00797BAA">
            <w:pPr>
              <w:suppressAutoHyphens/>
              <w:autoSpaceDE w:val="0"/>
              <w:autoSpaceDN w:val="0"/>
              <w:adjustRightInd w:val="0"/>
              <w:spacing w:line="240" w:lineRule="auto"/>
              <w:rPr>
                <w:rFonts w:eastAsia="MS Mincho"/>
                <w:sz w:val="20"/>
                <w:lang w:val="de-DE" w:eastAsia="de-DE"/>
              </w:rPr>
            </w:pPr>
            <w:r w:rsidRPr="00985026">
              <w:rPr>
                <w:rFonts w:eastAsia="MS Mincho"/>
                <w:sz w:val="20"/>
                <w:lang w:val="de-DE" w:eastAsia="de-DE"/>
              </w:rPr>
              <w:t xml:space="preserve">EN </w:t>
            </w:r>
            <w:r>
              <w:rPr>
                <w:rFonts w:eastAsia="MS Mincho"/>
                <w:sz w:val="20"/>
                <w:lang w:val="de-DE" w:eastAsia="de-DE"/>
              </w:rPr>
              <w:t>13807:2003</w:t>
            </w:r>
          </w:p>
        </w:tc>
        <w:tc>
          <w:tcPr>
            <w:tcW w:w="3459" w:type="dxa"/>
            <w:shd w:val="clear" w:color="auto" w:fill="auto"/>
          </w:tcPr>
          <w:p w14:paraId="4CF263ED" w14:textId="77777777" w:rsidR="00797BAA" w:rsidRDefault="00797BAA" w:rsidP="0094306A">
            <w:pPr>
              <w:autoSpaceDE w:val="0"/>
              <w:autoSpaceDN w:val="0"/>
              <w:adjustRightInd w:val="0"/>
              <w:spacing w:line="240" w:lineRule="auto"/>
              <w:rPr>
                <w:spacing w:val="-3"/>
                <w:sz w:val="20"/>
                <w:lang w:val="en-GB"/>
              </w:rPr>
            </w:pPr>
            <w:r w:rsidRPr="00797BAA">
              <w:rPr>
                <w:spacing w:val="-3"/>
                <w:sz w:val="20"/>
                <w:lang w:val="en-GB"/>
              </w:rPr>
              <w:t>Transportable gas cylinders - Battery vehicles - Design, manufacture, identification and testing</w:t>
            </w:r>
          </w:p>
          <w:p w14:paraId="09F04D4C" w14:textId="77777777" w:rsidR="00797BAA" w:rsidRDefault="00797BAA" w:rsidP="0094306A">
            <w:pPr>
              <w:autoSpaceDE w:val="0"/>
              <w:autoSpaceDN w:val="0"/>
              <w:adjustRightInd w:val="0"/>
              <w:spacing w:line="240" w:lineRule="auto"/>
              <w:rPr>
                <w:spacing w:val="-3"/>
                <w:sz w:val="20"/>
                <w:lang w:val="en-GB"/>
              </w:rPr>
            </w:pPr>
          </w:p>
          <w:p w14:paraId="59F6DA47" w14:textId="2048A3B3" w:rsidR="00797BAA" w:rsidRPr="001713C6" w:rsidRDefault="00797BAA" w:rsidP="00642D3F">
            <w:pPr>
              <w:autoSpaceDE w:val="0"/>
              <w:autoSpaceDN w:val="0"/>
              <w:adjustRightInd w:val="0"/>
              <w:spacing w:line="240" w:lineRule="auto"/>
              <w:rPr>
                <w:i/>
                <w:spacing w:val="-3"/>
                <w:sz w:val="20"/>
                <w:lang w:val="en-GB"/>
              </w:rPr>
            </w:pPr>
            <w:r w:rsidRPr="001713C6">
              <w:rPr>
                <w:b/>
                <w:i/>
                <w:spacing w:val="-3"/>
                <w:sz w:val="20"/>
                <w:lang w:val="en-GB"/>
              </w:rPr>
              <w:t>Note:</w:t>
            </w:r>
            <w:r w:rsidRPr="001713C6">
              <w:rPr>
                <w:i/>
                <w:spacing w:val="-3"/>
                <w:sz w:val="20"/>
                <w:lang w:val="en-GB"/>
              </w:rPr>
              <w:t xml:space="preserve"> Where appropriate this standard may also be applied</w:t>
            </w:r>
            <w:r w:rsidR="00642D3F" w:rsidRPr="001713C6">
              <w:rPr>
                <w:i/>
                <w:spacing w:val="-3"/>
                <w:sz w:val="20"/>
                <w:lang w:val="en-GB"/>
              </w:rPr>
              <w:t xml:space="preserve"> to MEGCs which consist of pressure receptacles</w:t>
            </w:r>
          </w:p>
        </w:tc>
        <w:tc>
          <w:tcPr>
            <w:tcW w:w="1502" w:type="dxa"/>
            <w:shd w:val="clear" w:color="auto" w:fill="auto"/>
          </w:tcPr>
          <w:p w14:paraId="6E20B207" w14:textId="0F91667B" w:rsidR="00797BAA" w:rsidRPr="00642D3F" w:rsidRDefault="00642D3F" w:rsidP="00642D3F">
            <w:pPr>
              <w:suppressAutoHyphens/>
              <w:spacing w:line="240" w:lineRule="auto"/>
              <w:jc w:val="center"/>
              <w:rPr>
                <w:bCs/>
                <w:sz w:val="20"/>
                <w:lang w:val="en-GB"/>
              </w:rPr>
            </w:pPr>
            <w:r w:rsidRPr="001713C6">
              <w:rPr>
                <w:rFonts w:ascii="(Asiatische Schriftart verwende" w:hAnsi="(Asiatische Schriftart verwende"/>
                <w:lang w:val="en-GB"/>
              </w:rPr>
              <w:t>6.8.3.1.4 and 6.8.3.1.5, 6.8.3.2.18 to 6.8.3.2.26, 6.8.3.4.12 to 6.8.3.4.14 and 6.8.3.5.10 to 6.8.3.5.13</w:t>
            </w:r>
          </w:p>
        </w:tc>
        <w:tc>
          <w:tcPr>
            <w:tcW w:w="1371" w:type="dxa"/>
            <w:shd w:val="clear" w:color="auto" w:fill="auto"/>
          </w:tcPr>
          <w:p w14:paraId="775AA762" w14:textId="109FA280" w:rsidR="00797BAA" w:rsidRPr="00985026" w:rsidRDefault="00797BAA" w:rsidP="00797BAA">
            <w:pPr>
              <w:suppressAutoHyphens/>
              <w:spacing w:line="240" w:lineRule="auto"/>
              <w:jc w:val="center"/>
              <w:rPr>
                <w:b/>
                <w:sz w:val="20"/>
                <w:lang w:val="en-GB"/>
              </w:rPr>
            </w:pPr>
            <w:r w:rsidRPr="00D542F4">
              <w:rPr>
                <w:b/>
                <w:sz w:val="20"/>
                <w:lang w:val="en-GB"/>
              </w:rPr>
              <w:t>Between 1 January 20</w:t>
            </w:r>
            <w:r>
              <w:rPr>
                <w:b/>
                <w:sz w:val="20"/>
                <w:lang w:val="en-GB"/>
              </w:rPr>
              <w:t>05</w:t>
            </w:r>
            <w:r w:rsidRPr="00D542F4">
              <w:rPr>
                <w:b/>
                <w:sz w:val="20"/>
                <w:lang w:val="en-GB"/>
              </w:rPr>
              <w:t xml:space="preserve"> and 31 December 2020</w:t>
            </w:r>
          </w:p>
        </w:tc>
        <w:tc>
          <w:tcPr>
            <w:tcW w:w="1436" w:type="dxa"/>
            <w:shd w:val="clear" w:color="auto" w:fill="auto"/>
          </w:tcPr>
          <w:p w14:paraId="6BD449B8" w14:textId="77777777" w:rsidR="00797BAA" w:rsidRPr="00985026" w:rsidRDefault="00797BAA" w:rsidP="0094306A">
            <w:pPr>
              <w:autoSpaceDE w:val="0"/>
              <w:autoSpaceDN w:val="0"/>
              <w:adjustRightInd w:val="0"/>
              <w:spacing w:line="240" w:lineRule="auto"/>
              <w:jc w:val="center"/>
              <w:rPr>
                <w:b/>
                <w:bCs/>
                <w:strike/>
                <w:sz w:val="20"/>
                <w:lang w:val="en-GB"/>
              </w:rPr>
            </w:pPr>
          </w:p>
        </w:tc>
      </w:tr>
      <w:tr w:rsidR="00797BAA" w:rsidRPr="0094306A" w14:paraId="08E632E7" w14:textId="77777777" w:rsidTr="0094306A">
        <w:tc>
          <w:tcPr>
            <w:tcW w:w="1417" w:type="dxa"/>
            <w:shd w:val="clear" w:color="auto" w:fill="auto"/>
          </w:tcPr>
          <w:p w14:paraId="55987F7D" w14:textId="587D7652" w:rsidR="00797BAA" w:rsidRPr="00D542F4" w:rsidRDefault="00797BAA" w:rsidP="00797BAA">
            <w:pPr>
              <w:keepNext/>
              <w:ind w:hanging="22"/>
              <w:rPr>
                <w:b/>
                <w:bCs/>
                <w:sz w:val="20"/>
                <w:lang w:val="en-GB"/>
              </w:rPr>
            </w:pPr>
            <w:r w:rsidRPr="00D542F4">
              <w:rPr>
                <w:b/>
                <w:bCs/>
                <w:sz w:val="20"/>
                <w:lang w:val="en-GB"/>
              </w:rPr>
              <w:t xml:space="preserve">EN </w:t>
            </w:r>
            <w:r>
              <w:rPr>
                <w:b/>
                <w:bCs/>
                <w:sz w:val="20"/>
                <w:lang w:val="en-GB"/>
              </w:rPr>
              <w:t>13807:2017</w:t>
            </w:r>
          </w:p>
        </w:tc>
        <w:tc>
          <w:tcPr>
            <w:tcW w:w="3459" w:type="dxa"/>
            <w:shd w:val="clear" w:color="auto" w:fill="auto"/>
          </w:tcPr>
          <w:p w14:paraId="565FCD27" w14:textId="18522817" w:rsidR="00797BAA" w:rsidRPr="00D542F4" w:rsidRDefault="00797BAA" w:rsidP="0094306A">
            <w:pPr>
              <w:keepNext/>
              <w:ind w:hanging="22"/>
              <w:rPr>
                <w:b/>
                <w:bCs/>
                <w:sz w:val="20"/>
                <w:lang w:val="en-GB"/>
              </w:rPr>
            </w:pPr>
            <w:r w:rsidRPr="00797BAA">
              <w:rPr>
                <w:b/>
                <w:bCs/>
                <w:sz w:val="20"/>
                <w:lang w:val="en-GB"/>
              </w:rPr>
              <w:t>Transportable gas cylinders - Battery vehicles and multiple-element gas containers (MEGCs) - Design, manufacture, identification and testing</w:t>
            </w:r>
          </w:p>
        </w:tc>
        <w:tc>
          <w:tcPr>
            <w:tcW w:w="1502" w:type="dxa"/>
            <w:shd w:val="clear" w:color="auto" w:fill="auto"/>
          </w:tcPr>
          <w:p w14:paraId="344E3CD7" w14:textId="6E205FA0" w:rsidR="00797BAA" w:rsidRPr="00642D3F" w:rsidRDefault="00642D3F" w:rsidP="0094306A">
            <w:pPr>
              <w:suppressAutoHyphens/>
              <w:spacing w:line="240" w:lineRule="auto"/>
              <w:jc w:val="center"/>
              <w:rPr>
                <w:b/>
                <w:bCs/>
                <w:sz w:val="20"/>
                <w:lang w:val="en-GB"/>
              </w:rPr>
            </w:pPr>
            <w:r w:rsidRPr="001713C6">
              <w:rPr>
                <w:rFonts w:ascii="(Asiatische Schriftart verwende" w:hAnsi="(Asiatische Schriftart verwende"/>
                <w:b/>
                <w:lang w:val="en-GB"/>
              </w:rPr>
              <w:t>6.8.3.1.4 and 6.8.3.1.5, 6.8.3.2.18 to 6.8.3.2.28, 6.8.3.4.12 to 6.8.3.4.14 and 6.8.3.5.10 to 6.8.3.5.13</w:t>
            </w:r>
          </w:p>
        </w:tc>
        <w:tc>
          <w:tcPr>
            <w:tcW w:w="1371" w:type="dxa"/>
            <w:shd w:val="clear" w:color="auto" w:fill="auto"/>
          </w:tcPr>
          <w:p w14:paraId="3880DE9F" w14:textId="77777777" w:rsidR="00797BAA" w:rsidRPr="003104EE" w:rsidRDefault="00797BAA" w:rsidP="0094306A">
            <w:pPr>
              <w:suppressAutoHyphens/>
              <w:spacing w:line="240" w:lineRule="auto"/>
              <w:jc w:val="center"/>
              <w:rPr>
                <w:b/>
                <w:sz w:val="20"/>
                <w:lang w:val="en-GB"/>
              </w:rPr>
            </w:pPr>
            <w:r w:rsidRPr="00985026">
              <w:rPr>
                <w:b/>
                <w:sz w:val="20"/>
                <w:lang w:val="en-GB"/>
              </w:rPr>
              <w:t>Until further notice</w:t>
            </w:r>
          </w:p>
        </w:tc>
        <w:tc>
          <w:tcPr>
            <w:tcW w:w="1436" w:type="dxa"/>
            <w:shd w:val="clear" w:color="auto" w:fill="auto"/>
          </w:tcPr>
          <w:p w14:paraId="42E93D6C" w14:textId="77777777" w:rsidR="00797BAA" w:rsidRPr="00985026" w:rsidRDefault="00797BAA" w:rsidP="0094306A">
            <w:pPr>
              <w:autoSpaceDE w:val="0"/>
              <w:autoSpaceDN w:val="0"/>
              <w:adjustRightInd w:val="0"/>
              <w:spacing w:line="240" w:lineRule="auto"/>
              <w:jc w:val="center"/>
              <w:rPr>
                <w:b/>
                <w:bCs/>
                <w:strike/>
                <w:sz w:val="20"/>
                <w:lang w:val="en-GB"/>
              </w:rPr>
            </w:pPr>
          </w:p>
        </w:tc>
      </w:tr>
    </w:tbl>
    <w:p w14:paraId="5CB1A922" w14:textId="77777777" w:rsidR="00A40B97" w:rsidRDefault="00A40B97" w:rsidP="00681553">
      <w:pPr>
        <w:spacing w:line="240" w:lineRule="auto"/>
        <w:ind w:left="1134"/>
        <w:jc w:val="both"/>
        <w:rPr>
          <w:b/>
          <w:sz w:val="20"/>
          <w:lang w:val="en-GB"/>
        </w:rPr>
      </w:pPr>
    </w:p>
    <w:p w14:paraId="3DF8D801" w14:textId="4517F60C" w:rsidR="0096704D" w:rsidRDefault="003A1DBE" w:rsidP="00672C7A">
      <w:pPr>
        <w:spacing w:before="120" w:line="240" w:lineRule="auto"/>
        <w:ind w:left="1134"/>
        <w:jc w:val="both"/>
        <w:rPr>
          <w:b/>
          <w:sz w:val="20"/>
          <w:lang w:val="en-GB"/>
        </w:rPr>
      </w:pPr>
      <w:r>
        <w:rPr>
          <w:b/>
          <w:sz w:val="20"/>
          <w:lang w:val="en-GB"/>
        </w:rPr>
        <w:t>Proposal 3</w:t>
      </w:r>
    </w:p>
    <w:p w14:paraId="6E2C036A" w14:textId="1A6904DF" w:rsidR="00A40B97" w:rsidRDefault="003A1DBE" w:rsidP="00A40B97">
      <w:pPr>
        <w:spacing w:before="120" w:line="240" w:lineRule="auto"/>
        <w:ind w:left="1134"/>
        <w:jc w:val="both"/>
        <w:outlineLvl w:val="0"/>
        <w:rPr>
          <w:sz w:val="20"/>
          <w:lang w:val="es-ES"/>
        </w:rPr>
      </w:pPr>
      <w:r w:rsidRPr="00A40B97">
        <w:rPr>
          <w:sz w:val="20"/>
          <w:lang w:val="en-GB"/>
        </w:rPr>
        <w:t>In RID/ADR</w:t>
      </w:r>
      <w:r w:rsidR="00A40B97">
        <w:rPr>
          <w:sz w:val="20"/>
          <w:lang w:val="en-GB"/>
        </w:rPr>
        <w:t xml:space="preserve">, </w:t>
      </w:r>
    </w:p>
    <w:p w14:paraId="029CC80B" w14:textId="3B2D9FCB" w:rsidR="003A1DBE" w:rsidRPr="00832B75" w:rsidRDefault="00F11959" w:rsidP="00A40B97">
      <w:pPr>
        <w:spacing w:before="120" w:line="240" w:lineRule="auto"/>
        <w:ind w:left="1134"/>
        <w:jc w:val="both"/>
        <w:outlineLvl w:val="0"/>
        <w:rPr>
          <w:sz w:val="20"/>
          <w:lang w:val="es-ES"/>
        </w:rPr>
      </w:pPr>
      <w:r w:rsidRPr="00832B75">
        <w:rPr>
          <w:sz w:val="20"/>
          <w:lang w:val="es-ES"/>
        </w:rPr>
        <w:t xml:space="preserve">P200 (10) va add </w:t>
      </w:r>
      <w:r w:rsidR="00EA7439" w:rsidRPr="00832B75">
        <w:rPr>
          <w:sz w:val="20"/>
          <w:lang w:val="es-ES"/>
        </w:rPr>
        <w:t>“</w:t>
      </w:r>
      <w:r w:rsidR="003E6842" w:rsidRPr="005C123C">
        <w:rPr>
          <w:b/>
          <w:sz w:val="20"/>
          <w:lang w:val="es-ES"/>
        </w:rPr>
        <w:t>or</w:t>
      </w:r>
      <w:r w:rsidR="003E6842">
        <w:rPr>
          <w:sz w:val="20"/>
          <w:lang w:val="es-ES"/>
        </w:rPr>
        <w:t xml:space="preserve"> </w:t>
      </w:r>
      <w:r w:rsidR="00EA7439" w:rsidRPr="00832B75">
        <w:rPr>
          <w:b/>
          <w:sz w:val="20"/>
          <w:lang w:val="es-ES"/>
        </w:rPr>
        <w:t>EN ISO 15996:2017</w:t>
      </w:r>
      <w:r w:rsidR="00EA7439" w:rsidRPr="00832B75">
        <w:rPr>
          <w:sz w:val="20"/>
          <w:lang w:val="es-ES"/>
        </w:rPr>
        <w:t xml:space="preserve">” </w:t>
      </w:r>
      <w:r w:rsidRPr="00832B75">
        <w:rPr>
          <w:sz w:val="20"/>
          <w:lang w:val="es-ES"/>
        </w:rPr>
        <w:t xml:space="preserve">after </w:t>
      </w:r>
      <w:r w:rsidR="00EA7439" w:rsidRPr="00832B75">
        <w:rPr>
          <w:sz w:val="20"/>
          <w:lang w:val="es-ES"/>
        </w:rPr>
        <w:t>“</w:t>
      </w:r>
      <w:r w:rsidR="003A1DBE" w:rsidRPr="00832B75">
        <w:rPr>
          <w:sz w:val="20"/>
          <w:lang w:val="es-ES"/>
        </w:rPr>
        <w:t>EN ISO 15996:2005 + A1:2007</w:t>
      </w:r>
      <w:r w:rsidR="00EA7439" w:rsidRPr="00832B75">
        <w:rPr>
          <w:sz w:val="20"/>
          <w:lang w:val="es-ES"/>
        </w:rPr>
        <w:t>”</w:t>
      </w:r>
      <w:r w:rsidR="00451C1C" w:rsidRPr="00832B75">
        <w:rPr>
          <w:sz w:val="20"/>
          <w:lang w:val="es-ES"/>
        </w:rPr>
        <w:t xml:space="preserve"> twice</w:t>
      </w:r>
      <w:r w:rsidR="0080041B" w:rsidRPr="00832B75">
        <w:rPr>
          <w:sz w:val="20"/>
          <w:lang w:val="es-ES"/>
        </w:rPr>
        <w:t>.</w:t>
      </w:r>
    </w:p>
    <w:p w14:paraId="15A96DB0" w14:textId="77777777" w:rsidR="003A1DBE" w:rsidRPr="00832B75" w:rsidRDefault="003A1DBE" w:rsidP="00681553">
      <w:pPr>
        <w:pStyle w:val="ListParagraph"/>
        <w:spacing w:line="240" w:lineRule="auto"/>
        <w:ind w:left="1491"/>
        <w:jc w:val="both"/>
        <w:rPr>
          <w:sz w:val="20"/>
          <w:lang w:val="es-ES"/>
        </w:rPr>
      </w:pPr>
    </w:p>
    <w:p w14:paraId="69DCA4B5" w14:textId="01AF7DF0" w:rsidR="00360AB2" w:rsidRDefault="00360AB2" w:rsidP="00656451">
      <w:pPr>
        <w:spacing w:before="120" w:line="240" w:lineRule="auto"/>
        <w:ind w:left="1134"/>
        <w:jc w:val="both"/>
        <w:outlineLvl w:val="0"/>
        <w:rPr>
          <w:b/>
          <w:sz w:val="20"/>
          <w:lang w:val="en-GB"/>
        </w:rPr>
      </w:pPr>
      <w:r w:rsidRPr="00985026">
        <w:rPr>
          <w:b/>
          <w:sz w:val="20"/>
          <w:lang w:val="en-GB"/>
        </w:rPr>
        <w:t xml:space="preserve">Proposal </w:t>
      </w:r>
      <w:r w:rsidR="00DB7D90">
        <w:rPr>
          <w:b/>
          <w:sz w:val="20"/>
          <w:lang w:val="en-GB"/>
        </w:rPr>
        <w:t>4</w:t>
      </w:r>
    </w:p>
    <w:p w14:paraId="471949F7" w14:textId="201FC1D3" w:rsidR="00DB7D90" w:rsidRPr="001713C6" w:rsidRDefault="00DB7D90" w:rsidP="001713C6">
      <w:pPr>
        <w:pStyle w:val="ListParagraph"/>
        <w:numPr>
          <w:ilvl w:val="0"/>
          <w:numId w:val="20"/>
        </w:numPr>
        <w:spacing w:before="120" w:line="240" w:lineRule="auto"/>
        <w:jc w:val="both"/>
        <w:rPr>
          <w:sz w:val="20"/>
          <w:lang w:val="en-GB"/>
        </w:rPr>
      </w:pPr>
      <w:r w:rsidRPr="001713C6">
        <w:rPr>
          <w:sz w:val="20"/>
          <w:lang w:val="en-GB"/>
        </w:rPr>
        <w:t>In RID/ADR</w:t>
      </w:r>
      <w:r w:rsidR="00A40B97">
        <w:rPr>
          <w:sz w:val="20"/>
          <w:lang w:val="en-GB"/>
        </w:rPr>
        <w:t>,</w:t>
      </w:r>
      <w:r w:rsidRPr="001713C6">
        <w:rPr>
          <w:sz w:val="20"/>
          <w:lang w:val="en-GB"/>
        </w:rPr>
        <w:t xml:space="preserve"> 4.1.6.15</w:t>
      </w:r>
    </w:p>
    <w:tbl>
      <w:tblPr>
        <w:tblStyle w:val="TableGrid"/>
        <w:tblpPr w:leftFromText="180" w:rightFromText="180" w:vertAnchor="text" w:horzAnchor="page" w:tblpX="1592" w:tblpY="82"/>
        <w:tblW w:w="9219" w:type="dxa"/>
        <w:tblLook w:val="04A0" w:firstRow="1" w:lastRow="0" w:firstColumn="1" w:lastColumn="0" w:noHBand="0" w:noVBand="1"/>
      </w:tblPr>
      <w:tblGrid>
        <w:gridCol w:w="2273"/>
        <w:gridCol w:w="2127"/>
        <w:gridCol w:w="4819"/>
      </w:tblGrid>
      <w:tr w:rsidR="00DB7D90" w14:paraId="26233581" w14:textId="77777777" w:rsidTr="009C671C">
        <w:trPr>
          <w:trHeight w:val="202"/>
        </w:trPr>
        <w:tc>
          <w:tcPr>
            <w:tcW w:w="2273" w:type="dxa"/>
          </w:tcPr>
          <w:p w14:paraId="137307BC" w14:textId="2428A35E" w:rsidR="00DB7D90" w:rsidRDefault="00DB7D90" w:rsidP="001713C6">
            <w:pPr>
              <w:pStyle w:val="ListParagraph"/>
              <w:spacing w:before="120" w:line="240" w:lineRule="auto"/>
              <w:ind w:left="0"/>
              <w:jc w:val="center"/>
              <w:rPr>
                <w:b/>
                <w:sz w:val="20"/>
                <w:lang w:val="en-GB"/>
              </w:rPr>
            </w:pPr>
            <w:r>
              <w:rPr>
                <w:b/>
                <w:sz w:val="20"/>
                <w:lang w:val="en-GB"/>
              </w:rPr>
              <w:t>Applicable Paragraphs</w:t>
            </w:r>
          </w:p>
        </w:tc>
        <w:tc>
          <w:tcPr>
            <w:tcW w:w="2127" w:type="dxa"/>
          </w:tcPr>
          <w:p w14:paraId="3EFC7FE7" w14:textId="6B3CF067" w:rsidR="00DB7D90" w:rsidRDefault="00DB7D90" w:rsidP="001713C6">
            <w:pPr>
              <w:pStyle w:val="ListParagraph"/>
              <w:spacing w:before="120" w:line="240" w:lineRule="auto"/>
              <w:ind w:left="0"/>
              <w:jc w:val="center"/>
              <w:rPr>
                <w:b/>
                <w:sz w:val="20"/>
                <w:lang w:val="en-GB"/>
              </w:rPr>
            </w:pPr>
            <w:r>
              <w:rPr>
                <w:b/>
                <w:sz w:val="20"/>
                <w:lang w:val="en-GB"/>
              </w:rPr>
              <w:t>Reference</w:t>
            </w:r>
          </w:p>
        </w:tc>
        <w:tc>
          <w:tcPr>
            <w:tcW w:w="4819" w:type="dxa"/>
          </w:tcPr>
          <w:p w14:paraId="77C39B21" w14:textId="1BDF99A1" w:rsidR="00DB7D90" w:rsidRDefault="00DB7D90" w:rsidP="001713C6">
            <w:pPr>
              <w:pStyle w:val="ListParagraph"/>
              <w:spacing w:before="120" w:line="240" w:lineRule="auto"/>
              <w:ind w:left="0"/>
              <w:jc w:val="center"/>
              <w:rPr>
                <w:b/>
                <w:sz w:val="20"/>
                <w:lang w:val="en-GB"/>
              </w:rPr>
            </w:pPr>
            <w:r>
              <w:rPr>
                <w:b/>
                <w:sz w:val="20"/>
                <w:lang w:val="en-GB"/>
              </w:rPr>
              <w:t>Title of Document</w:t>
            </w:r>
          </w:p>
        </w:tc>
      </w:tr>
      <w:tr w:rsidR="00DB7D90" w:rsidRPr="00FF4407" w14:paraId="0AFA0594" w14:textId="77777777" w:rsidTr="009C671C">
        <w:trPr>
          <w:trHeight w:val="315"/>
        </w:trPr>
        <w:tc>
          <w:tcPr>
            <w:tcW w:w="2273" w:type="dxa"/>
          </w:tcPr>
          <w:p w14:paraId="42405157" w14:textId="0BBE814B" w:rsidR="00DB7D90" w:rsidRPr="001713C6" w:rsidRDefault="00DB7D90" w:rsidP="001713C6">
            <w:pPr>
              <w:pStyle w:val="ListParagraph"/>
              <w:spacing w:before="120" w:line="240" w:lineRule="auto"/>
              <w:ind w:left="0"/>
              <w:rPr>
                <w:sz w:val="20"/>
                <w:lang w:val="en-GB"/>
              </w:rPr>
            </w:pPr>
            <w:r w:rsidRPr="001713C6">
              <w:rPr>
                <w:sz w:val="20"/>
                <w:lang w:val="en-GB"/>
              </w:rPr>
              <w:t>4.1.6.8 Valves with inherent protection</w:t>
            </w:r>
          </w:p>
        </w:tc>
        <w:tc>
          <w:tcPr>
            <w:tcW w:w="2127" w:type="dxa"/>
          </w:tcPr>
          <w:p w14:paraId="387D5D55" w14:textId="043CE163" w:rsidR="00DB7D90" w:rsidRPr="001713C6" w:rsidRDefault="00C73DCA" w:rsidP="00DB7D90">
            <w:pPr>
              <w:pStyle w:val="ListParagraph"/>
              <w:spacing w:before="120" w:line="240" w:lineRule="auto"/>
              <w:ind w:left="0"/>
              <w:jc w:val="both"/>
              <w:rPr>
                <w:sz w:val="20"/>
                <w:lang w:val="en-GB"/>
              </w:rPr>
            </w:pPr>
            <w:r w:rsidRPr="001713C6">
              <w:rPr>
                <w:sz w:val="20"/>
                <w:lang w:val="en-GB"/>
              </w:rPr>
              <w:t>EN ISO 17879:2017</w:t>
            </w:r>
          </w:p>
        </w:tc>
        <w:tc>
          <w:tcPr>
            <w:tcW w:w="4819" w:type="dxa"/>
          </w:tcPr>
          <w:p w14:paraId="3C7260D8" w14:textId="42D5196A" w:rsidR="00DB7D90" w:rsidRPr="001713C6" w:rsidRDefault="00C73DCA" w:rsidP="00C73DCA">
            <w:pPr>
              <w:pStyle w:val="ListParagraph"/>
              <w:spacing w:before="120" w:line="240" w:lineRule="auto"/>
              <w:ind w:left="0"/>
              <w:jc w:val="both"/>
              <w:rPr>
                <w:sz w:val="20"/>
                <w:lang w:val="en-GB"/>
              </w:rPr>
            </w:pPr>
            <w:r w:rsidRPr="001713C6">
              <w:rPr>
                <w:sz w:val="20"/>
                <w:lang w:val="en-GB"/>
              </w:rPr>
              <w:t>Gas cylinders - Self-closing cylinder valves - Specification and type testing</w:t>
            </w:r>
          </w:p>
        </w:tc>
      </w:tr>
    </w:tbl>
    <w:p w14:paraId="3502E074" w14:textId="77777777" w:rsidR="00DB7D90" w:rsidRPr="001713C6" w:rsidRDefault="00DB7D90" w:rsidP="001713C6">
      <w:pPr>
        <w:pStyle w:val="ListParagraph"/>
        <w:spacing w:before="120" w:line="240" w:lineRule="auto"/>
        <w:ind w:left="1494"/>
        <w:jc w:val="both"/>
        <w:rPr>
          <w:b/>
          <w:sz w:val="20"/>
          <w:lang w:val="en-GB"/>
        </w:rPr>
      </w:pPr>
    </w:p>
    <w:p w14:paraId="709024B7" w14:textId="0CF14ADF" w:rsidR="007F2F9B" w:rsidRPr="001713C6" w:rsidRDefault="007F2F9B" w:rsidP="001713C6">
      <w:pPr>
        <w:pStyle w:val="ListParagraph"/>
        <w:numPr>
          <w:ilvl w:val="0"/>
          <w:numId w:val="20"/>
        </w:numPr>
        <w:autoSpaceDE w:val="0"/>
        <w:autoSpaceDN w:val="0"/>
        <w:adjustRightInd w:val="0"/>
        <w:spacing w:after="120" w:line="240" w:lineRule="auto"/>
        <w:rPr>
          <w:sz w:val="20"/>
          <w:lang w:val="en-GB"/>
        </w:rPr>
      </w:pPr>
      <w:r w:rsidRPr="001713C6">
        <w:rPr>
          <w:sz w:val="20"/>
          <w:lang w:val="en-GB"/>
        </w:rPr>
        <w:t>In RID/ADR, 6.2.4.1</w:t>
      </w:r>
      <w:r w:rsidR="0040624F" w:rsidRPr="001713C6">
        <w:rPr>
          <w:sz w:val="20"/>
          <w:lang w:val="en-GB"/>
        </w:rPr>
        <w:t xml:space="preserve">: </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7F2F9B" w:rsidRPr="00FF4407" w14:paraId="7340B324" w14:textId="77777777" w:rsidTr="0077044D">
        <w:tc>
          <w:tcPr>
            <w:tcW w:w="1417" w:type="dxa"/>
            <w:shd w:val="clear" w:color="auto" w:fill="auto"/>
            <w:vAlign w:val="center"/>
          </w:tcPr>
          <w:p w14:paraId="64DD6B40" w14:textId="77777777" w:rsidR="007F2F9B" w:rsidRPr="00985026" w:rsidRDefault="007F2F9B" w:rsidP="0077044D">
            <w:pPr>
              <w:keepNext/>
              <w:keepLines/>
              <w:suppressAutoHyphens/>
              <w:spacing w:line="240" w:lineRule="auto"/>
              <w:jc w:val="center"/>
              <w:rPr>
                <w:sz w:val="20"/>
                <w:lang w:val="en-US"/>
              </w:rPr>
            </w:pPr>
            <w:r w:rsidRPr="00985026">
              <w:rPr>
                <w:sz w:val="20"/>
                <w:lang w:val="en-US"/>
              </w:rPr>
              <w:t>Reference</w:t>
            </w:r>
          </w:p>
        </w:tc>
        <w:tc>
          <w:tcPr>
            <w:tcW w:w="3459" w:type="dxa"/>
            <w:shd w:val="clear" w:color="auto" w:fill="auto"/>
            <w:vAlign w:val="center"/>
          </w:tcPr>
          <w:p w14:paraId="1D687050" w14:textId="77777777" w:rsidR="007F2F9B" w:rsidRPr="00985026" w:rsidRDefault="007F2F9B" w:rsidP="0077044D">
            <w:pPr>
              <w:keepNext/>
              <w:keepLines/>
              <w:suppressAutoHyphens/>
              <w:spacing w:line="240" w:lineRule="auto"/>
              <w:jc w:val="center"/>
              <w:rPr>
                <w:sz w:val="20"/>
                <w:lang w:val="en-US"/>
              </w:rPr>
            </w:pPr>
            <w:r w:rsidRPr="00985026">
              <w:rPr>
                <w:sz w:val="20"/>
                <w:lang w:val="en-US"/>
              </w:rPr>
              <w:t>Title of document</w:t>
            </w:r>
          </w:p>
        </w:tc>
        <w:tc>
          <w:tcPr>
            <w:tcW w:w="1502" w:type="dxa"/>
            <w:shd w:val="clear" w:color="auto" w:fill="auto"/>
            <w:vAlign w:val="center"/>
          </w:tcPr>
          <w:p w14:paraId="4AA95C6B" w14:textId="77777777" w:rsidR="007F2F9B" w:rsidRPr="00985026" w:rsidRDefault="007F2F9B" w:rsidP="0077044D">
            <w:pPr>
              <w:keepNext/>
              <w:keepLines/>
              <w:suppressAutoHyphens/>
              <w:spacing w:line="240" w:lineRule="auto"/>
              <w:jc w:val="center"/>
              <w:rPr>
                <w:sz w:val="20"/>
                <w:lang w:val="en-US"/>
              </w:rPr>
            </w:pPr>
            <w:r w:rsidRPr="00985026">
              <w:rPr>
                <w:sz w:val="20"/>
                <w:lang w:val="en-US"/>
              </w:rPr>
              <w:t>Applicable sub-sections and paragraphs</w:t>
            </w:r>
          </w:p>
        </w:tc>
        <w:tc>
          <w:tcPr>
            <w:tcW w:w="1371" w:type="dxa"/>
            <w:shd w:val="clear" w:color="auto" w:fill="auto"/>
            <w:vAlign w:val="center"/>
          </w:tcPr>
          <w:p w14:paraId="5E4B46EB" w14:textId="77777777" w:rsidR="007F2F9B" w:rsidRPr="00985026" w:rsidRDefault="007F2F9B" w:rsidP="0077044D">
            <w:pPr>
              <w:keepNext/>
              <w:keepLines/>
              <w:suppressAutoHyphens/>
              <w:spacing w:line="240" w:lineRule="auto"/>
              <w:jc w:val="center"/>
              <w:rPr>
                <w:sz w:val="20"/>
                <w:lang w:val="en-US"/>
              </w:rPr>
            </w:pPr>
            <w:r w:rsidRPr="00985026">
              <w:rPr>
                <w:sz w:val="20"/>
                <w:lang w:val="en-US"/>
              </w:rPr>
              <w:t>Applicable for new type approvals or for renewals</w:t>
            </w:r>
          </w:p>
        </w:tc>
        <w:tc>
          <w:tcPr>
            <w:tcW w:w="1436" w:type="dxa"/>
            <w:shd w:val="clear" w:color="auto" w:fill="auto"/>
            <w:vAlign w:val="center"/>
          </w:tcPr>
          <w:p w14:paraId="08EC7B3E" w14:textId="77777777" w:rsidR="007F2F9B" w:rsidRPr="00985026" w:rsidRDefault="007F2F9B" w:rsidP="0077044D">
            <w:pPr>
              <w:keepNext/>
              <w:keepLines/>
              <w:suppressAutoHyphens/>
              <w:spacing w:line="240" w:lineRule="auto"/>
              <w:jc w:val="center"/>
              <w:rPr>
                <w:sz w:val="20"/>
                <w:lang w:val="en-US"/>
              </w:rPr>
            </w:pPr>
            <w:r w:rsidRPr="00985026">
              <w:rPr>
                <w:sz w:val="20"/>
                <w:lang w:val="en-US"/>
              </w:rPr>
              <w:t>Latest date for withdrawal of existing type approvals</w:t>
            </w:r>
          </w:p>
        </w:tc>
      </w:tr>
      <w:tr w:rsidR="007F2F9B" w:rsidRPr="00985026" w14:paraId="23E64DD8" w14:textId="77777777" w:rsidTr="0077044D">
        <w:tc>
          <w:tcPr>
            <w:tcW w:w="1417" w:type="dxa"/>
            <w:shd w:val="clear" w:color="auto" w:fill="auto"/>
          </w:tcPr>
          <w:p w14:paraId="14256012" w14:textId="77777777" w:rsidR="007F2F9B" w:rsidRPr="00985026" w:rsidRDefault="007F2F9B" w:rsidP="0077044D">
            <w:pPr>
              <w:autoSpaceDE w:val="0"/>
              <w:autoSpaceDN w:val="0"/>
              <w:adjustRightInd w:val="0"/>
              <w:spacing w:line="240" w:lineRule="auto"/>
              <w:jc w:val="center"/>
              <w:rPr>
                <w:sz w:val="20"/>
              </w:rPr>
            </w:pPr>
            <w:r w:rsidRPr="00985026">
              <w:rPr>
                <w:rFonts w:eastAsia="MS Mincho"/>
                <w:bCs/>
                <w:sz w:val="20"/>
                <w:lang w:val="de-DE" w:eastAsia="de-DE"/>
              </w:rPr>
              <w:t>(1)</w:t>
            </w:r>
          </w:p>
        </w:tc>
        <w:tc>
          <w:tcPr>
            <w:tcW w:w="3459" w:type="dxa"/>
            <w:shd w:val="clear" w:color="auto" w:fill="auto"/>
          </w:tcPr>
          <w:p w14:paraId="78E34CE8" w14:textId="77777777" w:rsidR="007F2F9B" w:rsidRPr="00985026" w:rsidRDefault="007F2F9B" w:rsidP="0077044D">
            <w:pPr>
              <w:autoSpaceDE w:val="0"/>
              <w:autoSpaceDN w:val="0"/>
              <w:adjustRightInd w:val="0"/>
              <w:spacing w:line="240" w:lineRule="auto"/>
              <w:jc w:val="center"/>
              <w:rPr>
                <w:sz w:val="20"/>
              </w:rPr>
            </w:pPr>
            <w:r w:rsidRPr="00985026">
              <w:rPr>
                <w:rFonts w:eastAsia="MS Mincho"/>
                <w:bCs/>
                <w:sz w:val="20"/>
                <w:lang w:val="de-DE" w:eastAsia="de-DE"/>
              </w:rPr>
              <w:t>(2)</w:t>
            </w:r>
          </w:p>
        </w:tc>
        <w:tc>
          <w:tcPr>
            <w:tcW w:w="1502" w:type="dxa"/>
            <w:shd w:val="clear" w:color="auto" w:fill="auto"/>
          </w:tcPr>
          <w:p w14:paraId="430A4D3A" w14:textId="77777777" w:rsidR="007F2F9B" w:rsidRPr="009A15CB" w:rsidRDefault="007F2F9B" w:rsidP="0077044D">
            <w:pPr>
              <w:autoSpaceDE w:val="0"/>
              <w:autoSpaceDN w:val="0"/>
              <w:adjustRightInd w:val="0"/>
              <w:spacing w:line="240" w:lineRule="auto"/>
              <w:jc w:val="center"/>
              <w:rPr>
                <w:sz w:val="20"/>
              </w:rPr>
            </w:pPr>
            <w:r w:rsidRPr="00985026">
              <w:rPr>
                <w:rFonts w:eastAsia="MS Mincho"/>
                <w:bCs/>
                <w:sz w:val="20"/>
                <w:lang w:val="de-DE" w:eastAsia="de-DE"/>
              </w:rPr>
              <w:t>(3)</w:t>
            </w:r>
          </w:p>
        </w:tc>
        <w:tc>
          <w:tcPr>
            <w:tcW w:w="1371" w:type="dxa"/>
            <w:shd w:val="clear" w:color="auto" w:fill="auto"/>
            <w:vAlign w:val="center"/>
          </w:tcPr>
          <w:p w14:paraId="7D41881A" w14:textId="77777777" w:rsidR="007F2F9B" w:rsidRPr="003104EE" w:rsidRDefault="007F2F9B" w:rsidP="0077044D">
            <w:pPr>
              <w:keepNext/>
              <w:keepLines/>
              <w:spacing w:line="240" w:lineRule="auto"/>
              <w:jc w:val="center"/>
              <w:rPr>
                <w:sz w:val="20"/>
                <w:lang w:val="en-US"/>
              </w:rPr>
            </w:pPr>
            <w:r w:rsidRPr="003104EE">
              <w:rPr>
                <w:sz w:val="20"/>
                <w:lang w:val="en-US"/>
              </w:rPr>
              <w:t>(4)</w:t>
            </w:r>
          </w:p>
        </w:tc>
        <w:tc>
          <w:tcPr>
            <w:tcW w:w="1436" w:type="dxa"/>
            <w:shd w:val="clear" w:color="auto" w:fill="auto"/>
            <w:vAlign w:val="center"/>
          </w:tcPr>
          <w:p w14:paraId="560F4C13" w14:textId="77777777" w:rsidR="007F2F9B" w:rsidRPr="00985026" w:rsidRDefault="007F2F9B" w:rsidP="0077044D">
            <w:pPr>
              <w:keepNext/>
              <w:keepLines/>
              <w:spacing w:line="240" w:lineRule="auto"/>
              <w:jc w:val="center"/>
              <w:rPr>
                <w:sz w:val="20"/>
                <w:lang w:val="en-US"/>
              </w:rPr>
            </w:pPr>
            <w:r w:rsidRPr="00985026">
              <w:rPr>
                <w:sz w:val="20"/>
                <w:lang w:val="en-US"/>
              </w:rPr>
              <w:t>(5)</w:t>
            </w:r>
          </w:p>
        </w:tc>
      </w:tr>
      <w:tr w:rsidR="0040624F" w:rsidRPr="00985026" w14:paraId="3B178FA9" w14:textId="77777777" w:rsidTr="00985026">
        <w:tc>
          <w:tcPr>
            <w:tcW w:w="9185" w:type="dxa"/>
            <w:gridSpan w:val="5"/>
            <w:shd w:val="clear" w:color="auto" w:fill="auto"/>
          </w:tcPr>
          <w:p w14:paraId="3EC588A2" w14:textId="598F9907" w:rsidR="0040624F" w:rsidRPr="00985026" w:rsidRDefault="0040624F" w:rsidP="00C73DCA">
            <w:pPr>
              <w:keepNext/>
              <w:keepLines/>
              <w:spacing w:line="240" w:lineRule="auto"/>
              <w:rPr>
                <w:b/>
                <w:i/>
                <w:sz w:val="20"/>
                <w:lang w:val="en-US"/>
              </w:rPr>
            </w:pPr>
            <w:r w:rsidRPr="00985026">
              <w:rPr>
                <w:b/>
                <w:i/>
                <w:sz w:val="20"/>
                <w:lang w:val="en-US"/>
              </w:rPr>
              <w:t xml:space="preserve">for </w:t>
            </w:r>
            <w:r w:rsidR="00C73DCA">
              <w:rPr>
                <w:b/>
                <w:i/>
                <w:sz w:val="20"/>
                <w:lang w:val="en-US"/>
              </w:rPr>
              <w:t>closures</w:t>
            </w:r>
          </w:p>
        </w:tc>
      </w:tr>
      <w:tr w:rsidR="000B7556" w:rsidRPr="00007D8F" w14:paraId="7B05C7FF" w14:textId="77777777" w:rsidTr="0077044D">
        <w:tc>
          <w:tcPr>
            <w:tcW w:w="1417" w:type="dxa"/>
            <w:shd w:val="clear" w:color="auto" w:fill="auto"/>
          </w:tcPr>
          <w:p w14:paraId="266529EB" w14:textId="74EE7DED" w:rsidR="000B7556" w:rsidRPr="00985026" w:rsidRDefault="000B7556" w:rsidP="00C73DCA">
            <w:pPr>
              <w:suppressAutoHyphens/>
              <w:autoSpaceDE w:val="0"/>
              <w:autoSpaceDN w:val="0"/>
              <w:adjustRightInd w:val="0"/>
              <w:spacing w:line="240" w:lineRule="auto"/>
              <w:rPr>
                <w:rFonts w:eastAsia="MS Mincho"/>
                <w:sz w:val="20"/>
                <w:lang w:val="de-DE" w:eastAsia="de-DE"/>
              </w:rPr>
            </w:pPr>
            <w:r w:rsidRPr="00985026">
              <w:rPr>
                <w:rFonts w:eastAsia="MS Mincho"/>
                <w:sz w:val="20"/>
                <w:lang w:val="de-DE" w:eastAsia="de-DE"/>
              </w:rPr>
              <w:t xml:space="preserve">EN </w:t>
            </w:r>
            <w:r w:rsidR="0040624F" w:rsidRPr="00985026">
              <w:rPr>
                <w:rFonts w:eastAsia="MS Mincho"/>
                <w:sz w:val="20"/>
                <w:lang w:val="de-DE" w:eastAsia="de-DE"/>
              </w:rPr>
              <w:t xml:space="preserve">ISO </w:t>
            </w:r>
            <w:r w:rsidR="00EE082F" w:rsidRPr="0094306A">
              <w:rPr>
                <w:sz w:val="20"/>
                <w:lang w:val="en-GB"/>
              </w:rPr>
              <w:t>17879:2017</w:t>
            </w:r>
          </w:p>
        </w:tc>
        <w:tc>
          <w:tcPr>
            <w:tcW w:w="3459" w:type="dxa"/>
            <w:shd w:val="clear" w:color="auto" w:fill="auto"/>
          </w:tcPr>
          <w:p w14:paraId="026A36E3" w14:textId="2922DB7C" w:rsidR="0040624F" w:rsidRDefault="00EE082F" w:rsidP="00985026">
            <w:pPr>
              <w:autoSpaceDE w:val="0"/>
              <w:autoSpaceDN w:val="0"/>
              <w:adjustRightInd w:val="0"/>
              <w:spacing w:line="240" w:lineRule="auto"/>
              <w:rPr>
                <w:spacing w:val="-3"/>
                <w:sz w:val="20"/>
                <w:lang w:val="en-GB"/>
              </w:rPr>
            </w:pPr>
            <w:r w:rsidRPr="001713C6">
              <w:rPr>
                <w:lang w:val="en-GB"/>
              </w:rPr>
              <w:t xml:space="preserve"> </w:t>
            </w:r>
            <w:r w:rsidRPr="00EE082F">
              <w:rPr>
                <w:spacing w:val="-3"/>
                <w:sz w:val="20"/>
                <w:lang w:val="en-GB"/>
              </w:rPr>
              <w:t>Gas cylinders - Self-closing cylinder valves - Specification and type testing</w:t>
            </w:r>
          </w:p>
          <w:p w14:paraId="1205D458" w14:textId="0348E2AB" w:rsidR="00C73DCA" w:rsidRPr="00985026" w:rsidRDefault="00C73DCA" w:rsidP="00985026">
            <w:pPr>
              <w:autoSpaceDE w:val="0"/>
              <w:autoSpaceDN w:val="0"/>
              <w:adjustRightInd w:val="0"/>
              <w:spacing w:line="240" w:lineRule="auto"/>
              <w:rPr>
                <w:spacing w:val="-3"/>
                <w:sz w:val="20"/>
                <w:lang w:val="en-GB"/>
              </w:rPr>
            </w:pPr>
          </w:p>
        </w:tc>
        <w:tc>
          <w:tcPr>
            <w:tcW w:w="1502" w:type="dxa"/>
            <w:shd w:val="clear" w:color="auto" w:fill="auto"/>
          </w:tcPr>
          <w:p w14:paraId="04B001C0" w14:textId="4EDEF7BF" w:rsidR="000B7556" w:rsidRPr="009A15CB" w:rsidRDefault="00D542F4" w:rsidP="00D542F4">
            <w:pPr>
              <w:suppressAutoHyphens/>
              <w:spacing w:line="240" w:lineRule="auto"/>
              <w:jc w:val="center"/>
              <w:rPr>
                <w:bCs/>
                <w:sz w:val="20"/>
                <w:lang w:val="en-GB"/>
              </w:rPr>
            </w:pPr>
            <w:r>
              <w:t>6.2.3.1 and 6.2.3.4</w:t>
            </w:r>
            <w:r w:rsidR="000B7556" w:rsidRPr="009A15CB">
              <w:rPr>
                <w:bCs/>
                <w:sz w:val="20"/>
                <w:lang w:val="en-GB"/>
              </w:rPr>
              <w:t xml:space="preserve"> </w:t>
            </w:r>
          </w:p>
        </w:tc>
        <w:tc>
          <w:tcPr>
            <w:tcW w:w="1371" w:type="dxa"/>
            <w:shd w:val="clear" w:color="auto" w:fill="auto"/>
          </w:tcPr>
          <w:p w14:paraId="6F3FC4B1" w14:textId="033A2E89" w:rsidR="000B7556" w:rsidRPr="00985026" w:rsidRDefault="00007D8F" w:rsidP="00007D8F">
            <w:pPr>
              <w:suppressAutoHyphens/>
              <w:spacing w:line="240" w:lineRule="auto"/>
              <w:jc w:val="center"/>
              <w:rPr>
                <w:b/>
                <w:sz w:val="20"/>
                <w:lang w:val="en-GB"/>
              </w:rPr>
            </w:pPr>
            <w:r>
              <w:rPr>
                <w:b/>
                <w:sz w:val="20"/>
                <w:lang w:val="en-GB"/>
              </w:rPr>
              <w:t>Until further notice</w:t>
            </w:r>
          </w:p>
        </w:tc>
        <w:tc>
          <w:tcPr>
            <w:tcW w:w="1436" w:type="dxa"/>
            <w:shd w:val="clear" w:color="auto" w:fill="auto"/>
          </w:tcPr>
          <w:p w14:paraId="7C699F00" w14:textId="24516BC4" w:rsidR="000B7556" w:rsidRPr="00985026" w:rsidRDefault="000B7556" w:rsidP="0040624F">
            <w:pPr>
              <w:autoSpaceDE w:val="0"/>
              <w:autoSpaceDN w:val="0"/>
              <w:adjustRightInd w:val="0"/>
              <w:spacing w:line="240" w:lineRule="auto"/>
              <w:jc w:val="center"/>
              <w:rPr>
                <w:b/>
                <w:bCs/>
                <w:strike/>
                <w:sz w:val="20"/>
                <w:lang w:val="en-GB"/>
              </w:rPr>
            </w:pPr>
          </w:p>
        </w:tc>
      </w:tr>
    </w:tbl>
    <w:p w14:paraId="7F5CD19F" w14:textId="0DAFD7E7" w:rsidR="00A50130" w:rsidRPr="00004A2C" w:rsidRDefault="007E7DFD" w:rsidP="00832B75">
      <w:pPr>
        <w:spacing w:before="120" w:line="240" w:lineRule="auto"/>
        <w:ind w:left="993" w:firstLine="141"/>
        <w:jc w:val="both"/>
        <w:rPr>
          <w:lang w:val="en-GB"/>
        </w:rPr>
      </w:pPr>
      <w:r w:rsidRPr="00985026">
        <w:rPr>
          <w:b/>
          <w:sz w:val="20"/>
          <w:lang w:val="en-GB"/>
        </w:rPr>
        <w:lastRenderedPageBreak/>
        <w:t xml:space="preserve">Proposal </w:t>
      </w:r>
      <w:r>
        <w:rPr>
          <w:b/>
          <w:sz w:val="20"/>
          <w:lang w:val="en-GB"/>
        </w:rPr>
        <w:t>5</w:t>
      </w:r>
    </w:p>
    <w:p w14:paraId="0D4C7BD3" w14:textId="0D6A7D05" w:rsidR="00A50130" w:rsidRDefault="00A50130" w:rsidP="00832B75">
      <w:pPr>
        <w:spacing w:before="120" w:line="240" w:lineRule="auto"/>
        <w:ind w:left="1134"/>
        <w:jc w:val="both"/>
        <w:rPr>
          <w:sz w:val="20"/>
          <w:lang w:val="en-GB"/>
        </w:rPr>
      </w:pPr>
      <w:r w:rsidRPr="00832B75">
        <w:rPr>
          <w:sz w:val="20"/>
          <w:lang w:val="en-GB"/>
        </w:rPr>
        <w:t>In RID/ADR, 6.8.2.6</w:t>
      </w:r>
      <w:r w:rsidR="00681553">
        <w:rPr>
          <w:sz w:val="20"/>
          <w:lang w:val="en-GB"/>
        </w:rPr>
        <w:t>:</w:t>
      </w:r>
    </w:p>
    <w:p w14:paraId="00976FC8" w14:textId="77777777" w:rsidR="00681553" w:rsidRPr="00832B75" w:rsidRDefault="00681553" w:rsidP="00681553">
      <w:pPr>
        <w:spacing w:before="60" w:line="240" w:lineRule="auto"/>
        <w:ind w:left="1134"/>
        <w:jc w:val="both"/>
        <w:rPr>
          <w:sz w:val="20"/>
          <w:lang w:val="en-GB"/>
        </w:rPr>
      </w:pP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A50130" w:rsidRPr="00FF4407" w14:paraId="78B1D7B3" w14:textId="77777777" w:rsidTr="00E04F29">
        <w:tc>
          <w:tcPr>
            <w:tcW w:w="1417" w:type="dxa"/>
            <w:shd w:val="clear" w:color="auto" w:fill="auto"/>
            <w:vAlign w:val="center"/>
          </w:tcPr>
          <w:p w14:paraId="497E0473" w14:textId="77777777" w:rsidR="00A50130" w:rsidRPr="00A52374" w:rsidRDefault="00A50130" w:rsidP="00E04F29">
            <w:pPr>
              <w:keepNext/>
              <w:keepLines/>
              <w:suppressAutoHyphens/>
              <w:spacing w:line="240" w:lineRule="auto"/>
              <w:jc w:val="center"/>
              <w:rPr>
                <w:sz w:val="20"/>
                <w:lang w:val="en-GB"/>
              </w:rPr>
            </w:pPr>
            <w:r w:rsidRPr="00A52374">
              <w:rPr>
                <w:sz w:val="20"/>
                <w:lang w:val="en-GB"/>
              </w:rPr>
              <w:t>Reference</w:t>
            </w:r>
          </w:p>
        </w:tc>
        <w:tc>
          <w:tcPr>
            <w:tcW w:w="3459" w:type="dxa"/>
            <w:shd w:val="clear" w:color="auto" w:fill="auto"/>
            <w:vAlign w:val="center"/>
          </w:tcPr>
          <w:p w14:paraId="027D8AF8" w14:textId="77777777" w:rsidR="00A50130" w:rsidRPr="00A52374" w:rsidRDefault="00A50130" w:rsidP="00E04F29">
            <w:pPr>
              <w:keepNext/>
              <w:keepLines/>
              <w:suppressAutoHyphens/>
              <w:spacing w:line="240" w:lineRule="auto"/>
              <w:jc w:val="center"/>
              <w:rPr>
                <w:sz w:val="20"/>
                <w:lang w:val="en-GB"/>
              </w:rPr>
            </w:pPr>
            <w:r w:rsidRPr="00A52374">
              <w:rPr>
                <w:sz w:val="20"/>
                <w:lang w:val="en-GB"/>
              </w:rPr>
              <w:t>Title of document</w:t>
            </w:r>
          </w:p>
        </w:tc>
        <w:tc>
          <w:tcPr>
            <w:tcW w:w="1502" w:type="dxa"/>
            <w:shd w:val="clear" w:color="auto" w:fill="auto"/>
            <w:vAlign w:val="center"/>
          </w:tcPr>
          <w:p w14:paraId="254901BF" w14:textId="77777777" w:rsidR="00A50130" w:rsidRPr="00A52374" w:rsidRDefault="00A50130" w:rsidP="00E04F29">
            <w:pPr>
              <w:keepNext/>
              <w:keepLines/>
              <w:suppressAutoHyphens/>
              <w:spacing w:line="240" w:lineRule="auto"/>
              <w:jc w:val="center"/>
              <w:rPr>
                <w:sz w:val="20"/>
                <w:lang w:val="en-GB"/>
              </w:rPr>
            </w:pPr>
            <w:r w:rsidRPr="00A52374">
              <w:rPr>
                <w:sz w:val="20"/>
                <w:lang w:val="en-GB"/>
              </w:rPr>
              <w:t>Applicable sub-sections and paragraphs</w:t>
            </w:r>
          </w:p>
        </w:tc>
        <w:tc>
          <w:tcPr>
            <w:tcW w:w="1371" w:type="dxa"/>
            <w:shd w:val="clear" w:color="auto" w:fill="auto"/>
            <w:vAlign w:val="center"/>
          </w:tcPr>
          <w:p w14:paraId="7CD4B1F6" w14:textId="77777777" w:rsidR="00A50130" w:rsidRPr="00A52374" w:rsidRDefault="00A50130" w:rsidP="00E04F29">
            <w:pPr>
              <w:keepNext/>
              <w:keepLines/>
              <w:suppressAutoHyphens/>
              <w:spacing w:line="240" w:lineRule="auto"/>
              <w:jc w:val="center"/>
              <w:rPr>
                <w:sz w:val="20"/>
                <w:lang w:val="en-GB"/>
              </w:rPr>
            </w:pPr>
            <w:r w:rsidRPr="00A52374">
              <w:rPr>
                <w:sz w:val="20"/>
                <w:lang w:val="en-GB"/>
              </w:rPr>
              <w:t>Applicable for new type approvals or for renewals</w:t>
            </w:r>
          </w:p>
        </w:tc>
        <w:tc>
          <w:tcPr>
            <w:tcW w:w="1436" w:type="dxa"/>
            <w:shd w:val="clear" w:color="auto" w:fill="auto"/>
            <w:vAlign w:val="center"/>
          </w:tcPr>
          <w:p w14:paraId="06BC1658" w14:textId="77777777" w:rsidR="00A50130" w:rsidRPr="00A52374" w:rsidRDefault="00A50130" w:rsidP="00E04F29">
            <w:pPr>
              <w:keepNext/>
              <w:keepLines/>
              <w:suppressAutoHyphens/>
              <w:spacing w:line="240" w:lineRule="auto"/>
              <w:jc w:val="center"/>
              <w:rPr>
                <w:sz w:val="20"/>
                <w:lang w:val="en-GB"/>
              </w:rPr>
            </w:pPr>
            <w:r w:rsidRPr="00A52374">
              <w:rPr>
                <w:sz w:val="20"/>
                <w:lang w:val="en-GB"/>
              </w:rPr>
              <w:t>Latest date for withdrawal of existing type approvals</w:t>
            </w:r>
          </w:p>
        </w:tc>
      </w:tr>
      <w:tr w:rsidR="00A50130" w:rsidRPr="00A52374" w14:paraId="740F184C" w14:textId="77777777" w:rsidTr="00E04F29">
        <w:tc>
          <w:tcPr>
            <w:tcW w:w="1417" w:type="dxa"/>
            <w:shd w:val="clear" w:color="auto" w:fill="auto"/>
          </w:tcPr>
          <w:p w14:paraId="59ACF4E6" w14:textId="77777777" w:rsidR="00A50130" w:rsidRPr="00A52374" w:rsidRDefault="00A50130" w:rsidP="00E04F29">
            <w:pPr>
              <w:autoSpaceDE w:val="0"/>
              <w:autoSpaceDN w:val="0"/>
              <w:adjustRightInd w:val="0"/>
              <w:spacing w:line="240" w:lineRule="auto"/>
              <w:jc w:val="center"/>
              <w:rPr>
                <w:sz w:val="20"/>
                <w:lang w:val="en-GB"/>
              </w:rPr>
            </w:pPr>
            <w:r w:rsidRPr="00A52374">
              <w:rPr>
                <w:rFonts w:eastAsia="MS Mincho"/>
                <w:bCs/>
                <w:sz w:val="20"/>
                <w:lang w:val="en-GB" w:eastAsia="de-DE"/>
              </w:rPr>
              <w:t>(1)</w:t>
            </w:r>
          </w:p>
        </w:tc>
        <w:tc>
          <w:tcPr>
            <w:tcW w:w="3459" w:type="dxa"/>
            <w:shd w:val="clear" w:color="auto" w:fill="auto"/>
          </w:tcPr>
          <w:p w14:paraId="5B3BF398" w14:textId="77777777" w:rsidR="00A50130" w:rsidRPr="00A52374" w:rsidRDefault="00A50130" w:rsidP="00E04F29">
            <w:pPr>
              <w:autoSpaceDE w:val="0"/>
              <w:autoSpaceDN w:val="0"/>
              <w:adjustRightInd w:val="0"/>
              <w:spacing w:line="240" w:lineRule="auto"/>
              <w:jc w:val="center"/>
              <w:rPr>
                <w:sz w:val="20"/>
                <w:lang w:val="en-GB"/>
              </w:rPr>
            </w:pPr>
            <w:r w:rsidRPr="00A52374">
              <w:rPr>
                <w:rFonts w:eastAsia="MS Mincho"/>
                <w:bCs/>
                <w:sz w:val="20"/>
                <w:lang w:val="en-GB" w:eastAsia="de-DE"/>
              </w:rPr>
              <w:t>(2)</w:t>
            </w:r>
          </w:p>
        </w:tc>
        <w:tc>
          <w:tcPr>
            <w:tcW w:w="1502" w:type="dxa"/>
            <w:shd w:val="clear" w:color="auto" w:fill="auto"/>
          </w:tcPr>
          <w:p w14:paraId="25FCF878" w14:textId="77777777" w:rsidR="00A50130" w:rsidRPr="00A52374" w:rsidRDefault="00A50130" w:rsidP="00E04F29">
            <w:pPr>
              <w:autoSpaceDE w:val="0"/>
              <w:autoSpaceDN w:val="0"/>
              <w:adjustRightInd w:val="0"/>
              <w:spacing w:line="240" w:lineRule="auto"/>
              <w:jc w:val="center"/>
              <w:rPr>
                <w:sz w:val="20"/>
                <w:lang w:val="en-GB"/>
              </w:rPr>
            </w:pPr>
            <w:r w:rsidRPr="00A52374">
              <w:rPr>
                <w:rFonts w:eastAsia="MS Mincho"/>
                <w:bCs/>
                <w:sz w:val="20"/>
                <w:lang w:val="en-GB" w:eastAsia="de-DE"/>
              </w:rPr>
              <w:t>(3)</w:t>
            </w:r>
          </w:p>
        </w:tc>
        <w:tc>
          <w:tcPr>
            <w:tcW w:w="1371" w:type="dxa"/>
            <w:shd w:val="clear" w:color="auto" w:fill="auto"/>
            <w:vAlign w:val="center"/>
          </w:tcPr>
          <w:p w14:paraId="74D4DCCC" w14:textId="77777777" w:rsidR="00A50130" w:rsidRPr="00A52374" w:rsidRDefault="00A50130" w:rsidP="00E04F29">
            <w:pPr>
              <w:keepNext/>
              <w:keepLines/>
              <w:spacing w:line="240" w:lineRule="auto"/>
              <w:jc w:val="center"/>
              <w:rPr>
                <w:sz w:val="20"/>
                <w:lang w:val="en-GB"/>
              </w:rPr>
            </w:pPr>
            <w:r w:rsidRPr="00A52374">
              <w:rPr>
                <w:sz w:val="20"/>
                <w:lang w:val="en-GB"/>
              </w:rPr>
              <w:t>(4)</w:t>
            </w:r>
          </w:p>
        </w:tc>
        <w:tc>
          <w:tcPr>
            <w:tcW w:w="1436" w:type="dxa"/>
            <w:shd w:val="clear" w:color="auto" w:fill="auto"/>
            <w:vAlign w:val="center"/>
          </w:tcPr>
          <w:p w14:paraId="252769B5" w14:textId="77777777" w:rsidR="00A50130" w:rsidRPr="00A52374" w:rsidRDefault="00A50130" w:rsidP="00E04F29">
            <w:pPr>
              <w:keepNext/>
              <w:keepLines/>
              <w:spacing w:line="240" w:lineRule="auto"/>
              <w:jc w:val="center"/>
              <w:rPr>
                <w:sz w:val="20"/>
                <w:lang w:val="en-GB"/>
              </w:rPr>
            </w:pPr>
            <w:r w:rsidRPr="00A52374">
              <w:rPr>
                <w:sz w:val="20"/>
                <w:lang w:val="en-GB"/>
              </w:rPr>
              <w:t>(5)</w:t>
            </w:r>
          </w:p>
        </w:tc>
      </w:tr>
      <w:tr w:rsidR="00A50130" w:rsidRPr="00A52374" w14:paraId="3B970B8D" w14:textId="77777777" w:rsidTr="00E04F29">
        <w:tc>
          <w:tcPr>
            <w:tcW w:w="9185" w:type="dxa"/>
            <w:gridSpan w:val="5"/>
            <w:shd w:val="clear" w:color="auto" w:fill="auto"/>
          </w:tcPr>
          <w:p w14:paraId="022409C2" w14:textId="2CC2845F" w:rsidR="00A50130" w:rsidRPr="00A52374" w:rsidRDefault="00A50130" w:rsidP="00A50130">
            <w:pPr>
              <w:keepNext/>
              <w:keepLines/>
              <w:spacing w:line="240" w:lineRule="auto"/>
              <w:rPr>
                <w:b/>
                <w:i/>
                <w:sz w:val="20"/>
                <w:lang w:val="en-GB"/>
              </w:rPr>
            </w:pPr>
            <w:r w:rsidRPr="00A52374">
              <w:rPr>
                <w:b/>
                <w:i/>
                <w:sz w:val="20"/>
                <w:lang w:val="en-GB"/>
              </w:rPr>
              <w:t>for equipment</w:t>
            </w:r>
          </w:p>
        </w:tc>
      </w:tr>
      <w:tr w:rsidR="00A50130" w:rsidRPr="00A52374" w14:paraId="12D50316" w14:textId="77777777" w:rsidTr="00F11959">
        <w:tc>
          <w:tcPr>
            <w:tcW w:w="1417" w:type="dxa"/>
            <w:shd w:val="clear" w:color="auto" w:fill="auto"/>
          </w:tcPr>
          <w:p w14:paraId="235A7770" w14:textId="77777777" w:rsidR="00A50130" w:rsidRPr="00A52374" w:rsidRDefault="00A50130" w:rsidP="00A50130">
            <w:pPr>
              <w:jc w:val="center"/>
              <w:rPr>
                <w:bCs/>
                <w:lang w:val="en-GB"/>
              </w:rPr>
            </w:pPr>
            <w:r w:rsidRPr="00A52374">
              <w:rPr>
                <w:bCs/>
                <w:lang w:val="en-GB"/>
              </w:rPr>
              <w:t>EN 13317:2002</w:t>
            </w:r>
          </w:p>
          <w:p w14:paraId="2CA30348" w14:textId="60A4DB34" w:rsidR="00A50130" w:rsidRPr="00A52374" w:rsidRDefault="00A50130" w:rsidP="00A50130">
            <w:pPr>
              <w:suppressAutoHyphens/>
              <w:autoSpaceDE w:val="0"/>
              <w:autoSpaceDN w:val="0"/>
              <w:adjustRightInd w:val="0"/>
              <w:spacing w:line="240" w:lineRule="auto"/>
              <w:rPr>
                <w:rFonts w:eastAsia="MS Mincho"/>
                <w:sz w:val="20"/>
                <w:lang w:val="en-GB" w:eastAsia="de-DE"/>
              </w:rPr>
            </w:pPr>
            <w:r w:rsidRPr="00A52374">
              <w:rPr>
                <w:bCs/>
                <w:lang w:val="en-GB"/>
              </w:rPr>
              <w:t>+ A1:2006</w:t>
            </w:r>
          </w:p>
        </w:tc>
        <w:tc>
          <w:tcPr>
            <w:tcW w:w="3459" w:type="dxa"/>
            <w:shd w:val="clear" w:color="auto" w:fill="auto"/>
          </w:tcPr>
          <w:p w14:paraId="15A00C4A" w14:textId="5A4291CD" w:rsidR="00A50130" w:rsidRPr="00A52374" w:rsidRDefault="00A50130" w:rsidP="00A50130">
            <w:pPr>
              <w:autoSpaceDE w:val="0"/>
              <w:autoSpaceDN w:val="0"/>
              <w:adjustRightInd w:val="0"/>
              <w:spacing w:line="240" w:lineRule="auto"/>
              <w:rPr>
                <w:spacing w:val="-3"/>
                <w:sz w:val="20"/>
                <w:lang w:val="en-GB"/>
              </w:rPr>
            </w:pPr>
            <w:r w:rsidRPr="00A52374">
              <w:rPr>
                <w:lang w:val="en-GB"/>
              </w:rPr>
              <w:t xml:space="preserve"> Tanks for transport of dangerous goods - Service equipment for tanks - Manhole cover assembly</w:t>
            </w:r>
          </w:p>
        </w:tc>
        <w:tc>
          <w:tcPr>
            <w:tcW w:w="1502" w:type="dxa"/>
            <w:shd w:val="clear" w:color="auto" w:fill="auto"/>
          </w:tcPr>
          <w:p w14:paraId="3804234A" w14:textId="0E160F7C" w:rsidR="00A50130" w:rsidRPr="00A52374" w:rsidRDefault="00A50130" w:rsidP="00A50130">
            <w:pPr>
              <w:suppressAutoHyphens/>
              <w:spacing w:line="240" w:lineRule="auto"/>
              <w:jc w:val="center"/>
              <w:rPr>
                <w:bCs/>
                <w:sz w:val="20"/>
                <w:lang w:val="en-GB"/>
              </w:rPr>
            </w:pPr>
            <w:r w:rsidRPr="00A52374">
              <w:rPr>
                <w:lang w:val="en-GB"/>
              </w:rPr>
              <w:t>6.8.2.2 and 6.8.2.4.1</w:t>
            </w:r>
            <w:r w:rsidRPr="00A52374">
              <w:rPr>
                <w:bCs/>
                <w:sz w:val="20"/>
                <w:lang w:val="en-GB"/>
              </w:rPr>
              <w:t xml:space="preserve"> </w:t>
            </w:r>
          </w:p>
        </w:tc>
        <w:tc>
          <w:tcPr>
            <w:tcW w:w="1371" w:type="dxa"/>
            <w:tcBorders>
              <w:top w:val="single" w:sz="6" w:space="0" w:color="auto"/>
              <w:left w:val="single" w:sz="6" w:space="0" w:color="auto"/>
              <w:bottom w:val="single" w:sz="6" w:space="0" w:color="auto"/>
              <w:right w:val="single" w:sz="6" w:space="0" w:color="auto"/>
            </w:tcBorders>
            <w:shd w:val="clear" w:color="auto" w:fill="auto"/>
          </w:tcPr>
          <w:p w14:paraId="11CA8E66" w14:textId="5838BE63" w:rsidR="00A50130" w:rsidRPr="00EA7439" w:rsidRDefault="00A50130" w:rsidP="00A50130">
            <w:pPr>
              <w:suppressAutoHyphens/>
              <w:spacing w:line="240" w:lineRule="auto"/>
              <w:jc w:val="center"/>
              <w:rPr>
                <w:b/>
                <w:sz w:val="20"/>
                <w:lang w:val="en-GB"/>
              </w:rPr>
            </w:pPr>
            <w:r w:rsidRPr="00832B75">
              <w:rPr>
                <w:b/>
                <w:bCs/>
                <w:lang w:val="en-GB"/>
              </w:rPr>
              <w:t>Between 1 January 2009 and 31 December 2020</w:t>
            </w:r>
          </w:p>
        </w:tc>
        <w:tc>
          <w:tcPr>
            <w:tcW w:w="1436" w:type="dxa"/>
            <w:shd w:val="clear" w:color="auto" w:fill="auto"/>
          </w:tcPr>
          <w:p w14:paraId="22C5A198" w14:textId="77777777" w:rsidR="00A50130" w:rsidRPr="00A52374" w:rsidRDefault="00A50130" w:rsidP="00A50130">
            <w:pPr>
              <w:autoSpaceDE w:val="0"/>
              <w:autoSpaceDN w:val="0"/>
              <w:adjustRightInd w:val="0"/>
              <w:spacing w:line="240" w:lineRule="auto"/>
              <w:jc w:val="center"/>
              <w:rPr>
                <w:b/>
                <w:bCs/>
                <w:strike/>
                <w:sz w:val="20"/>
                <w:lang w:val="en-GB"/>
              </w:rPr>
            </w:pPr>
          </w:p>
        </w:tc>
      </w:tr>
      <w:tr w:rsidR="00A50130" w:rsidRPr="00A52374" w14:paraId="700E42F0" w14:textId="77777777" w:rsidTr="00832B75">
        <w:trPr>
          <w:trHeight w:val="771"/>
        </w:trPr>
        <w:tc>
          <w:tcPr>
            <w:tcW w:w="1417" w:type="dxa"/>
            <w:shd w:val="clear" w:color="auto" w:fill="auto"/>
          </w:tcPr>
          <w:p w14:paraId="26B581B4" w14:textId="7F9B2529" w:rsidR="00A50130" w:rsidRPr="00832B75" w:rsidRDefault="00A50130" w:rsidP="00A50130">
            <w:pPr>
              <w:suppressAutoHyphens/>
              <w:autoSpaceDE w:val="0"/>
              <w:autoSpaceDN w:val="0"/>
              <w:adjustRightInd w:val="0"/>
              <w:spacing w:line="240" w:lineRule="auto"/>
              <w:rPr>
                <w:rFonts w:eastAsia="MS Mincho"/>
                <w:b/>
                <w:sz w:val="20"/>
                <w:lang w:val="en-GB" w:eastAsia="de-DE"/>
              </w:rPr>
            </w:pPr>
            <w:r w:rsidRPr="00832B75">
              <w:rPr>
                <w:b/>
                <w:bCs/>
                <w:lang w:val="en-GB"/>
              </w:rPr>
              <w:t>EN 13317 [2018]</w:t>
            </w:r>
          </w:p>
        </w:tc>
        <w:tc>
          <w:tcPr>
            <w:tcW w:w="3459" w:type="dxa"/>
            <w:shd w:val="clear" w:color="auto" w:fill="auto"/>
          </w:tcPr>
          <w:p w14:paraId="1C3D9E2D" w14:textId="28B09F98" w:rsidR="00A50130" w:rsidRPr="00832B75" w:rsidRDefault="00A50130" w:rsidP="00A50130">
            <w:pPr>
              <w:autoSpaceDE w:val="0"/>
              <w:autoSpaceDN w:val="0"/>
              <w:adjustRightInd w:val="0"/>
              <w:spacing w:line="240" w:lineRule="auto"/>
              <w:rPr>
                <w:b/>
                <w:lang w:val="en-GB"/>
              </w:rPr>
            </w:pPr>
            <w:r w:rsidRPr="00832B75">
              <w:rPr>
                <w:b/>
                <w:lang w:val="en-GB"/>
              </w:rPr>
              <w:t>Tanks for transport of dangerous goods - Service equipment for tanks - Manhole cover assembly</w:t>
            </w:r>
          </w:p>
        </w:tc>
        <w:tc>
          <w:tcPr>
            <w:tcW w:w="1502" w:type="dxa"/>
            <w:shd w:val="clear" w:color="auto" w:fill="auto"/>
          </w:tcPr>
          <w:p w14:paraId="02E9D847" w14:textId="3FDAE8D7" w:rsidR="00A50130" w:rsidRPr="00832B75" w:rsidRDefault="00A50130" w:rsidP="00A50130">
            <w:pPr>
              <w:suppressAutoHyphens/>
              <w:spacing w:line="240" w:lineRule="auto"/>
              <w:jc w:val="center"/>
              <w:rPr>
                <w:b/>
                <w:lang w:val="en-GB"/>
              </w:rPr>
            </w:pPr>
            <w:r w:rsidRPr="00832B75">
              <w:rPr>
                <w:b/>
                <w:lang w:val="en-GB"/>
              </w:rPr>
              <w:t>6.8.2.2 and 6.8.2.4.1</w:t>
            </w:r>
          </w:p>
        </w:tc>
        <w:tc>
          <w:tcPr>
            <w:tcW w:w="1371" w:type="dxa"/>
            <w:tcBorders>
              <w:top w:val="single" w:sz="6" w:space="0" w:color="auto"/>
              <w:left w:val="single" w:sz="6" w:space="0" w:color="auto"/>
              <w:bottom w:val="single" w:sz="6" w:space="0" w:color="auto"/>
              <w:right w:val="single" w:sz="6" w:space="0" w:color="auto"/>
            </w:tcBorders>
            <w:shd w:val="clear" w:color="auto" w:fill="auto"/>
          </w:tcPr>
          <w:p w14:paraId="601ACA8C" w14:textId="72835891" w:rsidR="00A50130" w:rsidRPr="00EA7439" w:rsidRDefault="0050378D" w:rsidP="00A50130">
            <w:pPr>
              <w:suppressAutoHyphens/>
              <w:spacing w:line="240" w:lineRule="auto"/>
              <w:jc w:val="center"/>
              <w:rPr>
                <w:b/>
                <w:sz w:val="20"/>
                <w:lang w:val="en-GB"/>
              </w:rPr>
            </w:pPr>
            <w:r w:rsidRPr="00832B75">
              <w:rPr>
                <w:b/>
                <w:bCs/>
                <w:lang w:val="en-GB"/>
              </w:rPr>
              <w:t>Until further notice</w:t>
            </w:r>
          </w:p>
        </w:tc>
        <w:tc>
          <w:tcPr>
            <w:tcW w:w="1436" w:type="dxa"/>
            <w:shd w:val="clear" w:color="auto" w:fill="auto"/>
          </w:tcPr>
          <w:p w14:paraId="7ED943E2" w14:textId="77777777" w:rsidR="00A50130" w:rsidRPr="00A52374" w:rsidRDefault="00A50130" w:rsidP="00A50130">
            <w:pPr>
              <w:autoSpaceDE w:val="0"/>
              <w:autoSpaceDN w:val="0"/>
              <w:adjustRightInd w:val="0"/>
              <w:spacing w:line="240" w:lineRule="auto"/>
              <w:jc w:val="center"/>
              <w:rPr>
                <w:b/>
                <w:bCs/>
                <w:strike/>
                <w:sz w:val="20"/>
                <w:lang w:val="en-GB"/>
              </w:rPr>
            </w:pPr>
          </w:p>
        </w:tc>
      </w:tr>
    </w:tbl>
    <w:p w14:paraId="09E20E4D" w14:textId="77777777" w:rsidR="007E7DFD" w:rsidRDefault="007E7DFD" w:rsidP="007E7DFD">
      <w:pPr>
        <w:spacing w:before="120" w:line="240" w:lineRule="auto"/>
        <w:ind w:left="993" w:firstLine="141"/>
        <w:jc w:val="both"/>
        <w:rPr>
          <w:b/>
          <w:sz w:val="20"/>
          <w:lang w:val="en-GB"/>
        </w:rPr>
      </w:pPr>
    </w:p>
    <w:p w14:paraId="6B336B40" w14:textId="5376F33E" w:rsidR="007E7DFD" w:rsidRDefault="007E7DFD" w:rsidP="00656451">
      <w:pPr>
        <w:spacing w:before="120" w:line="240" w:lineRule="auto"/>
        <w:ind w:left="993" w:firstLine="141"/>
        <w:jc w:val="both"/>
        <w:outlineLvl w:val="0"/>
        <w:rPr>
          <w:b/>
          <w:sz w:val="20"/>
          <w:lang w:val="en-GB"/>
        </w:rPr>
      </w:pPr>
      <w:r>
        <w:rPr>
          <w:b/>
          <w:sz w:val="20"/>
          <w:lang w:val="en-GB"/>
        </w:rPr>
        <w:t>Proposal 6</w:t>
      </w:r>
    </w:p>
    <w:p w14:paraId="3A1287D3" w14:textId="27D3082E" w:rsidR="00C038B3" w:rsidRDefault="00C038B3" w:rsidP="00656451">
      <w:pPr>
        <w:spacing w:before="120" w:line="240" w:lineRule="auto"/>
        <w:ind w:left="993" w:firstLine="141"/>
        <w:jc w:val="both"/>
        <w:outlineLvl w:val="0"/>
        <w:rPr>
          <w:sz w:val="20"/>
          <w:lang w:val="en-GB"/>
        </w:rPr>
      </w:pPr>
      <w:r w:rsidRPr="00004A2C">
        <w:rPr>
          <w:sz w:val="20"/>
          <w:lang w:val="en-GB"/>
        </w:rPr>
        <w:t>In 6.2.4</w:t>
      </w:r>
      <w:r w:rsidR="00FF17D4">
        <w:rPr>
          <w:sz w:val="20"/>
          <w:lang w:val="en-GB"/>
        </w:rPr>
        <w:t>.2</w:t>
      </w:r>
      <w:r w:rsidRPr="00004A2C">
        <w:rPr>
          <w:sz w:val="20"/>
          <w:lang w:val="en-GB"/>
        </w:rPr>
        <w:t xml:space="preserve"> of RID</w:t>
      </w:r>
      <w:r w:rsidR="00681553">
        <w:rPr>
          <w:sz w:val="20"/>
          <w:lang w:val="en-GB"/>
        </w:rPr>
        <w:t>/</w:t>
      </w:r>
      <w:r w:rsidRPr="00004A2C">
        <w:rPr>
          <w:sz w:val="20"/>
          <w:lang w:val="en-GB"/>
        </w:rPr>
        <w:t>ADR</w:t>
      </w:r>
      <w:r w:rsidR="00681553">
        <w:rPr>
          <w:sz w:val="20"/>
          <w:lang w:val="en-GB"/>
        </w:rPr>
        <w:t>,</w:t>
      </w:r>
      <w:r w:rsidR="001271AA">
        <w:rPr>
          <w:sz w:val="20"/>
          <w:lang w:val="en-GB"/>
        </w:rPr>
        <w:t xml:space="preserve"> insert or remove</w:t>
      </w:r>
      <w:r w:rsidR="00681553">
        <w:rPr>
          <w:sz w:val="20"/>
          <w:lang w:val="en-GB"/>
        </w:rPr>
        <w:t>:</w:t>
      </w:r>
    </w:p>
    <w:p w14:paraId="278B589B" w14:textId="77777777" w:rsidR="00681553" w:rsidRPr="00004A2C" w:rsidRDefault="00681553" w:rsidP="00656451">
      <w:pPr>
        <w:spacing w:before="120" w:line="240" w:lineRule="auto"/>
        <w:ind w:left="993" w:firstLine="141"/>
        <w:jc w:val="both"/>
        <w:outlineLvl w:val="0"/>
        <w:rPr>
          <w:sz w:val="20"/>
          <w:lang w:val="en-GB"/>
        </w:rPr>
      </w:pPr>
    </w:p>
    <w:tbl>
      <w:tblPr>
        <w:tblStyle w:val="TableGrid"/>
        <w:tblW w:w="9213" w:type="dxa"/>
        <w:tblInd w:w="431" w:type="dxa"/>
        <w:tblLook w:val="04A0" w:firstRow="1" w:lastRow="0" w:firstColumn="1" w:lastColumn="0" w:noHBand="0" w:noVBand="1"/>
      </w:tblPr>
      <w:tblGrid>
        <w:gridCol w:w="1726"/>
        <w:gridCol w:w="5954"/>
        <w:gridCol w:w="1533"/>
      </w:tblGrid>
      <w:tr w:rsidR="00C038B3" w:rsidRPr="005F088E" w14:paraId="7C18E7CE" w14:textId="77777777" w:rsidTr="00F11959">
        <w:tc>
          <w:tcPr>
            <w:tcW w:w="1726" w:type="dxa"/>
          </w:tcPr>
          <w:p w14:paraId="24FF4025" w14:textId="57876BC7" w:rsidR="00C038B3" w:rsidRPr="005F088E" w:rsidRDefault="00C038B3" w:rsidP="00004A2C">
            <w:pPr>
              <w:spacing w:before="120" w:line="240" w:lineRule="auto"/>
              <w:jc w:val="center"/>
              <w:rPr>
                <w:sz w:val="20"/>
                <w:lang w:val="en-GB"/>
              </w:rPr>
            </w:pPr>
            <w:r w:rsidRPr="005F088E">
              <w:rPr>
                <w:sz w:val="20"/>
                <w:lang w:val="en-GB"/>
              </w:rPr>
              <w:t>Reference</w:t>
            </w:r>
          </w:p>
        </w:tc>
        <w:tc>
          <w:tcPr>
            <w:tcW w:w="5954" w:type="dxa"/>
          </w:tcPr>
          <w:p w14:paraId="6F4C9ED6" w14:textId="4B144A4D" w:rsidR="00C038B3" w:rsidRPr="005F088E" w:rsidRDefault="00C038B3" w:rsidP="00004A2C">
            <w:pPr>
              <w:spacing w:before="120" w:line="240" w:lineRule="auto"/>
              <w:jc w:val="center"/>
              <w:rPr>
                <w:sz w:val="20"/>
                <w:lang w:val="en-GB"/>
              </w:rPr>
            </w:pPr>
            <w:r w:rsidRPr="005F088E">
              <w:rPr>
                <w:sz w:val="20"/>
                <w:lang w:val="en-GB"/>
              </w:rPr>
              <w:t>Title of document</w:t>
            </w:r>
          </w:p>
        </w:tc>
        <w:tc>
          <w:tcPr>
            <w:tcW w:w="1533" w:type="dxa"/>
          </w:tcPr>
          <w:p w14:paraId="697657F3" w14:textId="66354981" w:rsidR="00C038B3" w:rsidRPr="005F088E" w:rsidRDefault="00C038B3" w:rsidP="00004A2C">
            <w:pPr>
              <w:spacing w:before="120" w:line="240" w:lineRule="auto"/>
              <w:jc w:val="center"/>
              <w:rPr>
                <w:sz w:val="20"/>
                <w:lang w:val="en-GB"/>
              </w:rPr>
            </w:pPr>
            <w:r w:rsidRPr="005F088E">
              <w:rPr>
                <w:sz w:val="20"/>
                <w:lang w:val="en-GB"/>
              </w:rPr>
              <w:t>Applicable</w:t>
            </w:r>
          </w:p>
        </w:tc>
      </w:tr>
      <w:tr w:rsidR="00C038B3" w:rsidRPr="005F088E" w14:paraId="5166847F" w14:textId="77777777" w:rsidTr="00F11959">
        <w:tc>
          <w:tcPr>
            <w:tcW w:w="1726" w:type="dxa"/>
          </w:tcPr>
          <w:p w14:paraId="3A473108" w14:textId="6CA2187E" w:rsidR="00C038B3" w:rsidRPr="005F088E" w:rsidRDefault="00633C4D" w:rsidP="00633C4D">
            <w:pPr>
              <w:spacing w:before="120" w:line="240" w:lineRule="auto"/>
              <w:jc w:val="center"/>
              <w:rPr>
                <w:strike/>
                <w:sz w:val="20"/>
                <w:lang w:val="en-GB"/>
              </w:rPr>
            </w:pPr>
            <w:r w:rsidRPr="005F088E">
              <w:rPr>
                <w:strike/>
                <w:sz w:val="20"/>
                <w:lang w:val="en-GB"/>
              </w:rPr>
              <w:t>EN ISO 11623:2002 (except clause 4)</w:t>
            </w:r>
          </w:p>
        </w:tc>
        <w:tc>
          <w:tcPr>
            <w:tcW w:w="5954" w:type="dxa"/>
          </w:tcPr>
          <w:p w14:paraId="5830DE17" w14:textId="3CCB5FFB" w:rsidR="00C038B3" w:rsidRPr="005F088E" w:rsidRDefault="00633C4D" w:rsidP="00633C4D">
            <w:pPr>
              <w:spacing w:before="120" w:line="240" w:lineRule="auto"/>
              <w:jc w:val="center"/>
              <w:rPr>
                <w:strike/>
                <w:sz w:val="20"/>
                <w:lang w:val="en-GB"/>
              </w:rPr>
            </w:pPr>
            <w:r w:rsidRPr="005F088E">
              <w:rPr>
                <w:strike/>
                <w:sz w:val="20"/>
                <w:lang w:val="en-GB"/>
              </w:rPr>
              <w:t xml:space="preserve">Transportable gas cylinders - Periodic inspection and testing of composite gas cylinders </w:t>
            </w:r>
          </w:p>
        </w:tc>
        <w:tc>
          <w:tcPr>
            <w:tcW w:w="1533" w:type="dxa"/>
          </w:tcPr>
          <w:p w14:paraId="65C4FE8E" w14:textId="72256A51" w:rsidR="00C038B3" w:rsidRPr="005F088E" w:rsidRDefault="00633C4D" w:rsidP="00633C4D">
            <w:pPr>
              <w:spacing w:before="120" w:line="240" w:lineRule="auto"/>
              <w:jc w:val="center"/>
              <w:rPr>
                <w:strike/>
                <w:sz w:val="20"/>
                <w:lang w:val="en-GB"/>
              </w:rPr>
            </w:pPr>
            <w:r w:rsidRPr="00A52374">
              <w:rPr>
                <w:bCs/>
                <w:strike/>
                <w:lang w:val="en-GB"/>
              </w:rPr>
              <w:t>Until 31 December 2018</w:t>
            </w:r>
          </w:p>
        </w:tc>
      </w:tr>
      <w:tr w:rsidR="00633C4D" w:rsidRPr="005F088E" w14:paraId="10836284" w14:textId="77777777" w:rsidTr="00F11959">
        <w:tc>
          <w:tcPr>
            <w:tcW w:w="1726" w:type="dxa"/>
          </w:tcPr>
          <w:p w14:paraId="307204DC" w14:textId="6D7FAEB0" w:rsidR="00633C4D" w:rsidRPr="005F088E" w:rsidRDefault="00004A2C" w:rsidP="00633C4D">
            <w:pPr>
              <w:spacing w:before="120" w:line="240" w:lineRule="auto"/>
              <w:jc w:val="center"/>
              <w:rPr>
                <w:strike/>
                <w:sz w:val="20"/>
                <w:lang w:val="en-GB"/>
              </w:rPr>
            </w:pPr>
            <w:r w:rsidRPr="005F088E">
              <w:rPr>
                <w:strike/>
                <w:sz w:val="20"/>
                <w:lang w:val="en-GB"/>
              </w:rPr>
              <w:t>EN 14912:2005</w:t>
            </w:r>
          </w:p>
        </w:tc>
        <w:tc>
          <w:tcPr>
            <w:tcW w:w="5954" w:type="dxa"/>
          </w:tcPr>
          <w:p w14:paraId="2131289E" w14:textId="3C30E61A" w:rsidR="00633C4D" w:rsidRPr="005F088E" w:rsidRDefault="00004A2C" w:rsidP="00633C4D">
            <w:pPr>
              <w:spacing w:before="120" w:line="240" w:lineRule="auto"/>
              <w:jc w:val="center"/>
              <w:rPr>
                <w:strike/>
                <w:sz w:val="20"/>
                <w:lang w:val="en-GB"/>
              </w:rPr>
            </w:pPr>
            <w:r w:rsidRPr="005F088E">
              <w:rPr>
                <w:strike/>
                <w:sz w:val="20"/>
                <w:lang w:val="en-GB"/>
              </w:rPr>
              <w:t>LPG equipment and accessories - Inspection and maintenance of LPG cylinder valves at time of periodic inspection of cylinders</w:t>
            </w:r>
          </w:p>
        </w:tc>
        <w:tc>
          <w:tcPr>
            <w:tcW w:w="1533" w:type="dxa"/>
          </w:tcPr>
          <w:p w14:paraId="75EFEDD1" w14:textId="64E91615" w:rsidR="00633C4D" w:rsidRPr="005F088E" w:rsidRDefault="00633C4D" w:rsidP="00633C4D">
            <w:pPr>
              <w:spacing w:before="120" w:line="240" w:lineRule="auto"/>
              <w:jc w:val="center"/>
              <w:rPr>
                <w:strike/>
                <w:sz w:val="20"/>
                <w:lang w:val="en-GB"/>
              </w:rPr>
            </w:pPr>
            <w:r w:rsidRPr="00A52374">
              <w:rPr>
                <w:bCs/>
                <w:strike/>
                <w:lang w:val="en-GB"/>
              </w:rPr>
              <w:t>Until 31 December 2018</w:t>
            </w:r>
          </w:p>
        </w:tc>
      </w:tr>
      <w:tr w:rsidR="00633C4D" w:rsidRPr="005F088E" w14:paraId="643C77F4" w14:textId="77777777" w:rsidTr="00F11959">
        <w:tc>
          <w:tcPr>
            <w:tcW w:w="1726" w:type="dxa"/>
          </w:tcPr>
          <w:p w14:paraId="0E184C35" w14:textId="21657FB8" w:rsidR="00633C4D" w:rsidRPr="005F088E" w:rsidRDefault="00004A2C" w:rsidP="00004A2C">
            <w:pPr>
              <w:spacing w:before="120" w:line="240" w:lineRule="auto"/>
              <w:jc w:val="center"/>
              <w:rPr>
                <w:strike/>
                <w:sz w:val="20"/>
                <w:lang w:val="en-GB"/>
              </w:rPr>
            </w:pPr>
            <w:r w:rsidRPr="005F088E">
              <w:rPr>
                <w:bCs/>
                <w:strike/>
                <w:lang w:val="en-GB"/>
              </w:rPr>
              <w:t>EN 1440:2008:2008 +A1:2012  (except Annexes G and H)</w:t>
            </w:r>
          </w:p>
        </w:tc>
        <w:tc>
          <w:tcPr>
            <w:tcW w:w="5954" w:type="dxa"/>
          </w:tcPr>
          <w:p w14:paraId="55305050" w14:textId="61FEE399" w:rsidR="00633C4D" w:rsidRPr="005F088E" w:rsidRDefault="00004A2C" w:rsidP="00633C4D">
            <w:pPr>
              <w:spacing w:before="120" w:line="240" w:lineRule="auto"/>
              <w:jc w:val="center"/>
              <w:rPr>
                <w:strike/>
                <w:sz w:val="20"/>
                <w:lang w:val="en-GB"/>
              </w:rPr>
            </w:pPr>
            <w:r w:rsidRPr="005F088E">
              <w:rPr>
                <w:strike/>
                <w:sz w:val="20"/>
                <w:lang w:val="en-GB"/>
              </w:rPr>
              <w:t>LPG equipment and accessories - Transportable refillable traditional welded and brazed steel Liquefied Petroleum Gas (LPG) cylinders - Periodic inspection</w:t>
            </w:r>
          </w:p>
        </w:tc>
        <w:tc>
          <w:tcPr>
            <w:tcW w:w="1533" w:type="dxa"/>
          </w:tcPr>
          <w:p w14:paraId="3985FCB5" w14:textId="5D00FDB1" w:rsidR="00633C4D" w:rsidRPr="005F088E" w:rsidRDefault="00633C4D" w:rsidP="00633C4D">
            <w:pPr>
              <w:spacing w:before="120" w:line="240" w:lineRule="auto"/>
              <w:jc w:val="center"/>
              <w:rPr>
                <w:strike/>
                <w:sz w:val="20"/>
                <w:lang w:val="en-GB"/>
              </w:rPr>
            </w:pPr>
            <w:r w:rsidRPr="00A52374">
              <w:rPr>
                <w:bCs/>
                <w:strike/>
                <w:lang w:val="en-GB"/>
              </w:rPr>
              <w:t>Until 31 December 2018</w:t>
            </w:r>
          </w:p>
        </w:tc>
      </w:tr>
      <w:tr w:rsidR="001271AA" w:rsidRPr="00FF4407" w14:paraId="6845701E" w14:textId="77777777" w:rsidTr="00F11959">
        <w:tc>
          <w:tcPr>
            <w:tcW w:w="1726" w:type="dxa"/>
          </w:tcPr>
          <w:p w14:paraId="62F8D408" w14:textId="4FCCF8ED" w:rsidR="001271AA" w:rsidRPr="00832B75" w:rsidRDefault="001271AA" w:rsidP="001271AA">
            <w:pPr>
              <w:spacing w:before="120" w:line="240" w:lineRule="auto"/>
              <w:jc w:val="center"/>
              <w:rPr>
                <w:sz w:val="20"/>
                <w:lang w:val="en-GB"/>
              </w:rPr>
            </w:pPr>
            <w:r w:rsidRPr="00832B75">
              <w:rPr>
                <w:bCs/>
                <w:lang w:val="en-GB"/>
              </w:rPr>
              <w:t>EN 1440:2016 (except Annex C)</w:t>
            </w:r>
          </w:p>
        </w:tc>
        <w:tc>
          <w:tcPr>
            <w:tcW w:w="5954" w:type="dxa"/>
          </w:tcPr>
          <w:p w14:paraId="7EEB1FBA" w14:textId="5AFB754A" w:rsidR="001271AA" w:rsidRPr="00832B75" w:rsidRDefault="001271AA" w:rsidP="001271AA">
            <w:pPr>
              <w:spacing w:before="120" w:line="240" w:lineRule="auto"/>
              <w:jc w:val="center"/>
              <w:rPr>
                <w:strike/>
                <w:sz w:val="20"/>
                <w:lang w:val="en-GB"/>
              </w:rPr>
            </w:pPr>
            <w:r w:rsidRPr="00832B75">
              <w:rPr>
                <w:sz w:val="20"/>
                <w:lang w:val="en-GB"/>
              </w:rPr>
              <w:t>LPG equipment and accessories - Transportable refillable traditional welded and brazed steel Liquefied Petroleum Gas (LPG) cylinders -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tcPr>
          <w:p w14:paraId="1D2D2732" w14:textId="28B41EE0" w:rsidR="001271AA" w:rsidRPr="005F088E" w:rsidRDefault="00417601" w:rsidP="001271AA">
            <w:pPr>
              <w:spacing w:before="120" w:line="240" w:lineRule="auto"/>
              <w:jc w:val="center"/>
              <w:rPr>
                <w:b/>
                <w:sz w:val="20"/>
                <w:lang w:val="en-GB"/>
              </w:rPr>
            </w:pPr>
            <w:r w:rsidRPr="00A52374">
              <w:rPr>
                <w:bCs/>
                <w:strike/>
                <w:lang w:val="en-GB"/>
              </w:rPr>
              <w:t xml:space="preserve">Until further </w:t>
            </w:r>
            <w:r w:rsidRPr="005C123C">
              <w:rPr>
                <w:bCs/>
                <w:strike/>
                <w:lang w:val="en-GB"/>
              </w:rPr>
              <w:t>notice</w:t>
            </w:r>
            <w:r w:rsidRPr="00A52374">
              <w:rPr>
                <w:bCs/>
                <w:lang w:val="en-GB"/>
              </w:rPr>
              <w:t xml:space="preserve"> </w:t>
            </w:r>
            <w:r w:rsidR="001271AA" w:rsidRPr="00A52374">
              <w:rPr>
                <w:b/>
                <w:bCs/>
                <w:lang w:val="en-GB"/>
              </w:rPr>
              <w:t>Until 31 December 2020</w:t>
            </w:r>
          </w:p>
        </w:tc>
      </w:tr>
      <w:tr w:rsidR="001271AA" w:rsidRPr="00A52374" w14:paraId="2B15A887" w14:textId="77777777" w:rsidTr="00F11959">
        <w:tc>
          <w:tcPr>
            <w:tcW w:w="1726" w:type="dxa"/>
          </w:tcPr>
          <w:p w14:paraId="4AEB2FA0" w14:textId="7BDAC13C" w:rsidR="001271AA" w:rsidRPr="00832B75" w:rsidRDefault="001271AA" w:rsidP="001271AA">
            <w:pPr>
              <w:spacing w:before="120" w:line="240" w:lineRule="auto"/>
              <w:jc w:val="center"/>
              <w:rPr>
                <w:b/>
                <w:sz w:val="20"/>
                <w:lang w:val="fr-FR"/>
              </w:rPr>
            </w:pPr>
            <w:r w:rsidRPr="0084463B">
              <w:rPr>
                <w:b/>
                <w:bCs/>
                <w:lang w:val="fr-FR"/>
              </w:rPr>
              <w:t>EN 1440</w:t>
            </w:r>
            <w:r w:rsidR="00417601" w:rsidRPr="0084463B">
              <w:rPr>
                <w:b/>
                <w:bCs/>
                <w:lang w:val="fr-FR"/>
              </w:rPr>
              <w:t> </w:t>
            </w:r>
            <w:r w:rsidRPr="0084463B">
              <w:rPr>
                <w:b/>
                <w:bCs/>
                <w:lang w:val="fr-FR"/>
              </w:rPr>
              <w:t>:2016 +A1 [2018] (except  Annex C)</w:t>
            </w:r>
          </w:p>
        </w:tc>
        <w:tc>
          <w:tcPr>
            <w:tcW w:w="5954" w:type="dxa"/>
          </w:tcPr>
          <w:p w14:paraId="3B8EE936" w14:textId="1037FC0E" w:rsidR="001271AA" w:rsidRPr="005F088E" w:rsidRDefault="001271AA" w:rsidP="001271AA">
            <w:pPr>
              <w:spacing w:before="120" w:line="240" w:lineRule="auto"/>
              <w:jc w:val="center"/>
              <w:rPr>
                <w:b/>
                <w:sz w:val="20"/>
                <w:lang w:val="en-GB"/>
              </w:rPr>
            </w:pPr>
            <w:r w:rsidRPr="005F088E">
              <w:rPr>
                <w:b/>
                <w:sz w:val="20"/>
                <w:lang w:val="en-GB"/>
              </w:rPr>
              <w:t>LPG equipment and accessories -</w:t>
            </w:r>
            <w:r w:rsidR="00417601" w:rsidRPr="005F088E">
              <w:rPr>
                <w:b/>
                <w:sz w:val="20"/>
                <w:lang w:val="en-GB"/>
              </w:rPr>
              <w:t>–</w:t>
            </w:r>
            <w:r w:rsidRPr="005F088E">
              <w:rPr>
                <w:b/>
                <w:sz w:val="20"/>
                <w:lang w:val="en-GB"/>
              </w:rPr>
              <w:t xml:space="preserve"> Transportable refillable traditional welded and brazed steel Liquefied Petroleum Gas (LPG) cylinders -</w:t>
            </w:r>
            <w:r w:rsidR="00417601" w:rsidRPr="005F088E">
              <w:rPr>
                <w:b/>
                <w:sz w:val="20"/>
                <w:lang w:val="en-GB"/>
              </w:rPr>
              <w:t>–</w:t>
            </w:r>
            <w:r w:rsidRPr="005F088E">
              <w:rPr>
                <w:b/>
                <w:sz w:val="20"/>
                <w:lang w:val="en-GB"/>
              </w:rPr>
              <w:t xml:space="preserve">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tcPr>
          <w:p w14:paraId="74959F85" w14:textId="4C9B0197" w:rsidR="001271AA" w:rsidRPr="00A52374" w:rsidRDefault="001271AA" w:rsidP="001271AA">
            <w:pPr>
              <w:spacing w:before="120" w:line="240" w:lineRule="auto"/>
              <w:jc w:val="center"/>
              <w:rPr>
                <w:b/>
                <w:sz w:val="20"/>
                <w:lang w:val="en-GB"/>
              </w:rPr>
            </w:pPr>
            <w:r w:rsidRPr="00A52374">
              <w:rPr>
                <w:b/>
                <w:bCs/>
                <w:lang w:val="en-GB"/>
              </w:rPr>
              <w:t>Mandatorily from 1</w:t>
            </w:r>
            <w:r w:rsidRPr="00A52374">
              <w:rPr>
                <w:b/>
                <w:bCs/>
                <w:vertAlign w:val="superscript"/>
                <w:lang w:val="en-GB"/>
              </w:rPr>
              <w:t>st</w:t>
            </w:r>
            <w:r w:rsidRPr="00A52374">
              <w:rPr>
                <w:b/>
                <w:bCs/>
                <w:lang w:val="en-GB"/>
              </w:rPr>
              <w:t xml:space="preserve"> January 2021</w:t>
            </w:r>
          </w:p>
        </w:tc>
      </w:tr>
      <w:tr w:rsidR="001271AA" w:rsidRPr="00FF4407" w14:paraId="17051C11" w14:textId="77777777" w:rsidTr="00F11959">
        <w:tc>
          <w:tcPr>
            <w:tcW w:w="1726" w:type="dxa"/>
          </w:tcPr>
          <w:p w14:paraId="0F734784" w14:textId="5F13066D" w:rsidR="001271AA" w:rsidRPr="00832B75" w:rsidRDefault="001271AA" w:rsidP="001271AA">
            <w:pPr>
              <w:spacing w:before="120" w:line="240" w:lineRule="auto"/>
              <w:jc w:val="center"/>
              <w:rPr>
                <w:sz w:val="20"/>
                <w:lang w:val="en-GB"/>
              </w:rPr>
            </w:pPr>
            <w:r w:rsidRPr="00832B75">
              <w:rPr>
                <w:bCs/>
                <w:lang w:val="en-GB"/>
              </w:rPr>
              <w:t>EN 16728:2016 (except clause 3.5, Annex F and Annex G)</w:t>
            </w:r>
          </w:p>
        </w:tc>
        <w:tc>
          <w:tcPr>
            <w:tcW w:w="5954" w:type="dxa"/>
          </w:tcPr>
          <w:p w14:paraId="548B3F03" w14:textId="40D579A8" w:rsidR="001271AA" w:rsidRPr="00832B75" w:rsidRDefault="001271AA" w:rsidP="001271AA">
            <w:pPr>
              <w:spacing w:before="120" w:line="240" w:lineRule="auto"/>
              <w:jc w:val="center"/>
              <w:rPr>
                <w:sz w:val="20"/>
                <w:lang w:val="en-GB"/>
              </w:rPr>
            </w:pPr>
            <w:r w:rsidRPr="00832B75">
              <w:rPr>
                <w:sz w:val="20"/>
                <w:lang w:val="en-GB"/>
              </w:rPr>
              <w:t>LPG equipment and accessories -</w:t>
            </w:r>
            <w:r w:rsidR="00417601" w:rsidRPr="005F088E">
              <w:rPr>
                <w:sz w:val="20"/>
                <w:lang w:val="en-GB"/>
              </w:rPr>
              <w:t>–</w:t>
            </w:r>
            <w:r w:rsidRPr="00832B75">
              <w:rPr>
                <w:sz w:val="20"/>
                <w:lang w:val="en-GB"/>
              </w:rPr>
              <w:t xml:space="preserve"> Transportable refillable LPG cylinders other than traditional welded and brazed steel cylinders -</w:t>
            </w:r>
            <w:r w:rsidR="00417601" w:rsidRPr="005F088E">
              <w:rPr>
                <w:sz w:val="20"/>
                <w:lang w:val="en-GB"/>
              </w:rPr>
              <w:t>–</w:t>
            </w:r>
            <w:r w:rsidRPr="00832B75">
              <w:rPr>
                <w:sz w:val="20"/>
                <w:lang w:val="en-GB"/>
              </w:rPr>
              <w:t xml:space="preserve">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tcPr>
          <w:p w14:paraId="7CFD286F" w14:textId="7ED9CCB3" w:rsidR="001271AA" w:rsidRPr="00A52374" w:rsidRDefault="00417601" w:rsidP="001271AA">
            <w:pPr>
              <w:spacing w:before="120" w:line="240" w:lineRule="auto"/>
              <w:jc w:val="center"/>
              <w:rPr>
                <w:b/>
                <w:sz w:val="20"/>
                <w:lang w:val="en-GB"/>
              </w:rPr>
            </w:pPr>
            <w:r w:rsidRPr="00A52374">
              <w:rPr>
                <w:bCs/>
                <w:strike/>
                <w:lang w:val="en-GB"/>
              </w:rPr>
              <w:t xml:space="preserve">Until further </w:t>
            </w:r>
            <w:r w:rsidRPr="005C123C">
              <w:rPr>
                <w:bCs/>
                <w:strike/>
                <w:lang w:val="en-GB"/>
              </w:rPr>
              <w:t xml:space="preserve">notice </w:t>
            </w:r>
            <w:r w:rsidR="001271AA" w:rsidRPr="00A52374">
              <w:rPr>
                <w:b/>
                <w:bCs/>
                <w:lang w:val="en-GB"/>
              </w:rPr>
              <w:t>Until 31 December 2020</w:t>
            </w:r>
          </w:p>
        </w:tc>
      </w:tr>
      <w:tr w:rsidR="001271AA" w:rsidRPr="005F088E" w14:paraId="031E1044" w14:textId="77777777" w:rsidTr="00F11959">
        <w:tc>
          <w:tcPr>
            <w:tcW w:w="1726" w:type="dxa"/>
          </w:tcPr>
          <w:p w14:paraId="7DFA44F1" w14:textId="33629FF3" w:rsidR="001271AA" w:rsidRPr="005F088E" w:rsidRDefault="001271AA" w:rsidP="001271AA">
            <w:pPr>
              <w:spacing w:before="120" w:line="240" w:lineRule="auto"/>
              <w:jc w:val="center"/>
              <w:rPr>
                <w:b/>
                <w:bCs/>
                <w:lang w:val="en-GB"/>
              </w:rPr>
            </w:pPr>
            <w:r w:rsidRPr="005F088E">
              <w:rPr>
                <w:b/>
                <w:bCs/>
                <w:lang w:val="en-GB"/>
              </w:rPr>
              <w:t>EN 16728:2016 +A1 [2018] (except clause 3.5, Annex F and Annex G)</w:t>
            </w:r>
          </w:p>
        </w:tc>
        <w:tc>
          <w:tcPr>
            <w:tcW w:w="5954" w:type="dxa"/>
          </w:tcPr>
          <w:p w14:paraId="0533D1AF" w14:textId="2635B002" w:rsidR="001271AA" w:rsidRPr="005F088E" w:rsidRDefault="001271AA" w:rsidP="001271AA">
            <w:pPr>
              <w:spacing w:before="120" w:line="240" w:lineRule="auto"/>
              <w:jc w:val="center"/>
              <w:rPr>
                <w:b/>
                <w:sz w:val="20"/>
                <w:lang w:val="en-GB"/>
              </w:rPr>
            </w:pPr>
            <w:r w:rsidRPr="005F088E">
              <w:rPr>
                <w:b/>
                <w:sz w:val="20"/>
                <w:lang w:val="en-GB"/>
              </w:rPr>
              <w:t>LPG equipment and accessories - Transportable refillable LPG cylinders other than traditional welded and brazed steel cylinders -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tcPr>
          <w:p w14:paraId="2FFFCB11" w14:textId="76F1FB5B" w:rsidR="001271AA" w:rsidRPr="005F088E" w:rsidRDefault="001271AA" w:rsidP="001271AA">
            <w:pPr>
              <w:spacing w:before="120" w:line="240" w:lineRule="auto"/>
              <w:jc w:val="center"/>
              <w:rPr>
                <w:b/>
                <w:sz w:val="20"/>
                <w:lang w:val="en-GB"/>
              </w:rPr>
            </w:pPr>
            <w:r w:rsidRPr="00A52374">
              <w:rPr>
                <w:b/>
                <w:bCs/>
                <w:lang w:val="en-GB"/>
              </w:rPr>
              <w:t>Mandatorily from 1</w:t>
            </w:r>
            <w:r w:rsidRPr="00A52374">
              <w:rPr>
                <w:b/>
                <w:bCs/>
                <w:vertAlign w:val="superscript"/>
                <w:lang w:val="en-GB"/>
              </w:rPr>
              <w:t>st</w:t>
            </w:r>
            <w:r w:rsidRPr="00A52374">
              <w:rPr>
                <w:b/>
                <w:bCs/>
                <w:lang w:val="en-GB"/>
              </w:rPr>
              <w:t xml:space="preserve"> January 2021</w:t>
            </w:r>
          </w:p>
        </w:tc>
      </w:tr>
    </w:tbl>
    <w:p w14:paraId="36FC1AAE" w14:textId="77777777" w:rsidR="00CB34EF" w:rsidRPr="00D542F4" w:rsidRDefault="00CB34EF" w:rsidP="002350BC">
      <w:pPr>
        <w:tabs>
          <w:tab w:val="left" w:pos="1134"/>
        </w:tabs>
        <w:spacing w:before="120" w:line="240" w:lineRule="auto"/>
        <w:ind w:left="1134"/>
        <w:jc w:val="both"/>
        <w:rPr>
          <w:sz w:val="20"/>
          <w:lang w:val="en-GB"/>
        </w:rPr>
      </w:pPr>
    </w:p>
    <w:p w14:paraId="7E0A7006" w14:textId="77777777" w:rsidR="00276C52" w:rsidRPr="00985026" w:rsidRDefault="00931CD1" w:rsidP="009C671C">
      <w:pPr>
        <w:keepNext/>
        <w:spacing w:before="120" w:line="240" w:lineRule="auto"/>
        <w:ind w:left="567" w:firstLine="141"/>
        <w:jc w:val="both"/>
        <w:rPr>
          <w:b/>
          <w:sz w:val="20"/>
          <w:lang w:val="en-GB"/>
        </w:rPr>
      </w:pPr>
      <w:r w:rsidRPr="00985026">
        <w:rPr>
          <w:b/>
          <w:sz w:val="20"/>
          <w:lang w:val="en-GB"/>
        </w:rPr>
        <w:t xml:space="preserve">5. </w:t>
      </w:r>
      <w:r w:rsidRPr="00985026">
        <w:rPr>
          <w:b/>
          <w:sz w:val="20"/>
          <w:lang w:val="en-GB"/>
        </w:rPr>
        <w:tab/>
        <w:t>General remarks</w:t>
      </w:r>
      <w:r w:rsidR="00941C24" w:rsidRPr="00985026">
        <w:rPr>
          <w:b/>
          <w:sz w:val="20"/>
          <w:lang w:val="en-GB"/>
        </w:rPr>
        <w:tab/>
      </w:r>
      <w:r w:rsidR="00941C24" w:rsidRPr="00985026">
        <w:rPr>
          <w:b/>
          <w:sz w:val="20"/>
          <w:lang w:val="en-GB"/>
        </w:rPr>
        <w:tab/>
      </w:r>
      <w:r w:rsidR="00AC6CD9" w:rsidRPr="00985026">
        <w:rPr>
          <w:b/>
          <w:sz w:val="20"/>
          <w:lang w:val="en-GB"/>
        </w:rPr>
        <w:t xml:space="preserve"> </w:t>
      </w:r>
    </w:p>
    <w:p w14:paraId="7178A0CB" w14:textId="102A1D4B" w:rsidR="00E20AF4" w:rsidRPr="00985026" w:rsidRDefault="00931CD1" w:rsidP="00656451">
      <w:pPr>
        <w:keepNext/>
        <w:spacing w:before="120" w:line="240" w:lineRule="auto"/>
        <w:ind w:left="567" w:firstLine="282"/>
        <w:jc w:val="both"/>
        <w:outlineLvl w:val="0"/>
        <w:rPr>
          <w:b/>
          <w:sz w:val="20"/>
          <w:lang w:val="en-GB"/>
        </w:rPr>
      </w:pPr>
      <w:r w:rsidRPr="00985026">
        <w:rPr>
          <w:b/>
          <w:sz w:val="20"/>
          <w:lang w:val="en-GB"/>
        </w:rPr>
        <w:t>5.</w:t>
      </w:r>
      <w:r w:rsidR="00D470FF" w:rsidRPr="00985026">
        <w:rPr>
          <w:b/>
          <w:sz w:val="20"/>
          <w:lang w:val="en-GB"/>
        </w:rPr>
        <w:t>1</w:t>
      </w:r>
      <w:r w:rsidRPr="00985026">
        <w:rPr>
          <w:b/>
          <w:sz w:val="20"/>
          <w:lang w:val="en-GB"/>
        </w:rPr>
        <w:tab/>
      </w:r>
      <w:r w:rsidR="00941C24" w:rsidRPr="00985026">
        <w:rPr>
          <w:b/>
          <w:sz w:val="20"/>
          <w:lang w:val="en-GB"/>
        </w:rPr>
        <w:t>Standards for which a reference was refused:</w:t>
      </w:r>
    </w:p>
    <w:p w14:paraId="6394B0A1" w14:textId="72702863" w:rsidR="00466AA6" w:rsidRPr="00985026" w:rsidRDefault="001979D2" w:rsidP="009C671C">
      <w:pPr>
        <w:spacing w:before="120" w:line="240" w:lineRule="auto"/>
        <w:ind w:left="851"/>
        <w:jc w:val="both"/>
        <w:rPr>
          <w:sz w:val="20"/>
          <w:lang w:val="en-GB"/>
        </w:rPr>
      </w:pPr>
      <w:r>
        <w:rPr>
          <w:iCs/>
          <w:sz w:val="20"/>
          <w:lang w:val="en-GB"/>
        </w:rPr>
        <w:t>There were no standard</w:t>
      </w:r>
      <w:r w:rsidR="00EF6A75">
        <w:rPr>
          <w:iCs/>
          <w:sz w:val="20"/>
          <w:lang w:val="en-GB"/>
        </w:rPr>
        <w:t>s</w:t>
      </w:r>
      <w:r>
        <w:rPr>
          <w:iCs/>
          <w:sz w:val="20"/>
          <w:lang w:val="en-GB"/>
        </w:rPr>
        <w:t xml:space="preserve"> refused during this session</w:t>
      </w:r>
      <w:r w:rsidR="00EF6A75">
        <w:rPr>
          <w:iCs/>
          <w:sz w:val="20"/>
          <w:lang w:val="en-GB"/>
        </w:rPr>
        <w:t xml:space="preserve"> on the grounds of non-conformity with the RID/ADR</w:t>
      </w:r>
      <w:r>
        <w:rPr>
          <w:iCs/>
          <w:sz w:val="20"/>
          <w:lang w:val="en-GB"/>
        </w:rPr>
        <w:t>.</w:t>
      </w:r>
    </w:p>
    <w:p w14:paraId="03BC7D72" w14:textId="46092F2F" w:rsidR="00A80B30" w:rsidRPr="00985026" w:rsidRDefault="00A80B30" w:rsidP="009C671C">
      <w:pPr>
        <w:spacing w:before="120" w:line="240" w:lineRule="auto"/>
        <w:ind w:left="851"/>
        <w:jc w:val="both"/>
        <w:rPr>
          <w:sz w:val="20"/>
          <w:lang w:val="en-GB"/>
        </w:rPr>
      </w:pPr>
      <w:r w:rsidRPr="00985026">
        <w:rPr>
          <w:sz w:val="20"/>
          <w:lang w:val="en-GB"/>
        </w:rPr>
        <w:t xml:space="preserve">The following standard </w:t>
      </w:r>
      <w:r w:rsidR="00017FB3">
        <w:rPr>
          <w:sz w:val="20"/>
          <w:lang w:val="en-GB"/>
        </w:rPr>
        <w:t>is</w:t>
      </w:r>
      <w:r w:rsidR="00017FB3" w:rsidRPr="00985026">
        <w:rPr>
          <w:sz w:val="20"/>
          <w:lang w:val="en-GB"/>
        </w:rPr>
        <w:t xml:space="preserve"> </w:t>
      </w:r>
      <w:r w:rsidRPr="00985026">
        <w:rPr>
          <w:sz w:val="20"/>
          <w:lang w:val="en-GB"/>
        </w:rPr>
        <w:t xml:space="preserve">not recommended for reference as </w:t>
      </w:r>
      <w:r w:rsidR="00017FB3">
        <w:rPr>
          <w:sz w:val="20"/>
          <w:lang w:val="en-GB"/>
        </w:rPr>
        <w:t>it does not apply to any RID/ADR requirements.</w:t>
      </w:r>
      <w:r w:rsidR="00EF6A75">
        <w:rPr>
          <w:sz w:val="20"/>
          <w:lang w:val="en-GB"/>
        </w:rPr>
        <w:t xml:space="preserve"> </w:t>
      </w:r>
    </w:p>
    <w:p w14:paraId="4964A201" w14:textId="3FF235AD" w:rsidR="00B41369" w:rsidRDefault="00B41369" w:rsidP="007238D3">
      <w:pPr>
        <w:spacing w:before="120" w:line="240" w:lineRule="auto"/>
        <w:ind w:left="1140"/>
        <w:jc w:val="both"/>
        <w:rPr>
          <w:sz w:val="20"/>
          <w:lang w:val="en-GB"/>
        </w:rPr>
      </w:pPr>
      <w:r w:rsidRPr="00985026">
        <w:rPr>
          <w:sz w:val="20"/>
          <w:lang w:val="en-GB"/>
        </w:rPr>
        <w:t>prEN ISO</w:t>
      </w:r>
      <w:r w:rsidR="00681553">
        <w:rPr>
          <w:sz w:val="20"/>
          <w:lang w:val="en-GB"/>
        </w:rPr>
        <w:t xml:space="preserve"> 21012: </w:t>
      </w:r>
      <w:r w:rsidR="001979D2" w:rsidRPr="001979D2">
        <w:rPr>
          <w:sz w:val="20"/>
          <w:lang w:val="en-GB"/>
        </w:rPr>
        <w:t>2017</w:t>
      </w:r>
      <w:r w:rsidR="009860DB">
        <w:rPr>
          <w:sz w:val="20"/>
          <w:lang w:val="en-GB"/>
        </w:rPr>
        <w:t xml:space="preserve"> “</w:t>
      </w:r>
      <w:r w:rsidR="001979D2" w:rsidRPr="001979D2">
        <w:rPr>
          <w:sz w:val="20"/>
          <w:lang w:val="en-GB"/>
        </w:rPr>
        <w:t>Cryogenic vessels – Hoses</w:t>
      </w:r>
      <w:r w:rsidR="009860DB">
        <w:rPr>
          <w:sz w:val="20"/>
          <w:lang w:val="en-GB"/>
        </w:rPr>
        <w:t>”</w:t>
      </w:r>
    </w:p>
    <w:p w14:paraId="35F2840A" w14:textId="3034FB66" w:rsidR="00017FB3" w:rsidRPr="00941E2A" w:rsidRDefault="000C17EC" w:rsidP="00832B75">
      <w:pPr>
        <w:spacing w:before="120" w:line="240" w:lineRule="auto"/>
        <w:ind w:left="851"/>
        <w:jc w:val="both"/>
        <w:rPr>
          <w:sz w:val="20"/>
          <w:lang w:val="en-GB"/>
        </w:rPr>
      </w:pPr>
      <w:r w:rsidRPr="00941E2A">
        <w:rPr>
          <w:sz w:val="20"/>
          <w:lang w:val="en-GB"/>
        </w:rPr>
        <w:t>Also, because of the differing</w:t>
      </w:r>
      <w:r w:rsidR="00017FB3" w:rsidRPr="00941E2A">
        <w:rPr>
          <w:sz w:val="20"/>
          <w:lang w:val="en-GB"/>
        </w:rPr>
        <w:t xml:space="preserve"> practices </w:t>
      </w:r>
      <w:r w:rsidR="00671549" w:rsidRPr="00941E2A">
        <w:rPr>
          <w:sz w:val="20"/>
          <w:lang w:val="en-GB"/>
        </w:rPr>
        <w:t>and the reasons</w:t>
      </w:r>
      <w:r w:rsidR="00017FB3" w:rsidRPr="00941E2A">
        <w:rPr>
          <w:sz w:val="20"/>
          <w:lang w:val="en-GB"/>
        </w:rPr>
        <w:t xml:space="preserve"> noted in paragraphs 25 to </w:t>
      </w:r>
      <w:r w:rsidR="00671549" w:rsidRPr="00941E2A">
        <w:rPr>
          <w:sz w:val="20"/>
          <w:lang w:val="en-GB"/>
        </w:rPr>
        <w:t>27 of the report of the Joint Meeting working group on tanks (INF.46)</w:t>
      </w:r>
      <w:r w:rsidRPr="00941E2A">
        <w:rPr>
          <w:sz w:val="20"/>
          <w:lang w:val="en-GB"/>
        </w:rPr>
        <w:t xml:space="preserve"> it was agreed not to propose a reference to the following standard:</w:t>
      </w:r>
    </w:p>
    <w:p w14:paraId="4ECE9B83" w14:textId="7CC1727A" w:rsidR="000C17EC" w:rsidRPr="00941E2A" w:rsidRDefault="000C17EC" w:rsidP="00832B75">
      <w:pPr>
        <w:spacing w:before="120" w:line="240" w:lineRule="auto"/>
        <w:ind w:left="1134"/>
        <w:jc w:val="both"/>
        <w:rPr>
          <w:sz w:val="20"/>
          <w:lang w:val="en-GB"/>
        </w:rPr>
      </w:pPr>
      <w:r w:rsidRPr="00941E2A">
        <w:rPr>
          <w:noProof/>
          <w:spacing w:val="-3"/>
          <w:sz w:val="20"/>
          <w:lang w:val="en-GB"/>
        </w:rPr>
        <w:t>prEN 14596:</w:t>
      </w:r>
      <w:r w:rsidR="009860DB">
        <w:rPr>
          <w:noProof/>
          <w:spacing w:val="-3"/>
          <w:sz w:val="20"/>
          <w:lang w:val="en-GB"/>
        </w:rPr>
        <w:t xml:space="preserve"> </w:t>
      </w:r>
      <w:r w:rsidRPr="00941E2A">
        <w:rPr>
          <w:noProof/>
          <w:spacing w:val="-3"/>
          <w:sz w:val="20"/>
          <w:lang w:val="en-GB"/>
        </w:rPr>
        <w:t xml:space="preserve">2017 </w:t>
      </w:r>
      <w:r w:rsidR="009860DB">
        <w:rPr>
          <w:noProof/>
          <w:spacing w:val="-3"/>
          <w:sz w:val="20"/>
          <w:lang w:val="en-GB"/>
        </w:rPr>
        <w:t>“</w:t>
      </w:r>
      <w:r w:rsidRPr="00941E2A">
        <w:rPr>
          <w:noProof/>
          <w:sz w:val="20"/>
          <w:lang w:val="en-GB"/>
        </w:rPr>
        <w:t>Tanks for transport of dangerous goods - Service equipment for tanks - Emergency pressure relief valve</w:t>
      </w:r>
      <w:r w:rsidR="009860DB">
        <w:rPr>
          <w:noProof/>
          <w:sz w:val="20"/>
          <w:lang w:val="en-GB"/>
        </w:rPr>
        <w:t>”</w:t>
      </w:r>
    </w:p>
    <w:p w14:paraId="2FA70834" w14:textId="77777777" w:rsidR="00017FB3" w:rsidRDefault="00017FB3" w:rsidP="007238D3">
      <w:pPr>
        <w:spacing w:before="120" w:line="240" w:lineRule="auto"/>
        <w:ind w:left="1140"/>
        <w:jc w:val="both"/>
        <w:rPr>
          <w:sz w:val="20"/>
          <w:lang w:val="en-GB"/>
        </w:rPr>
      </w:pPr>
    </w:p>
    <w:p w14:paraId="147A5595" w14:textId="77777777" w:rsidR="00EF6A75" w:rsidRPr="00985026" w:rsidRDefault="00EF6A75" w:rsidP="007238D3">
      <w:pPr>
        <w:spacing w:before="120" w:line="240" w:lineRule="auto"/>
        <w:ind w:left="1140"/>
        <w:jc w:val="both"/>
        <w:rPr>
          <w:sz w:val="20"/>
          <w:lang w:val="en-GB"/>
        </w:rPr>
      </w:pPr>
    </w:p>
    <w:p w14:paraId="4E702090" w14:textId="77777777" w:rsidR="00323FB5" w:rsidRPr="00006871" w:rsidRDefault="00323FB5" w:rsidP="007238D3">
      <w:pPr>
        <w:spacing w:before="120" w:line="240" w:lineRule="auto"/>
        <w:ind w:left="1140"/>
        <w:jc w:val="both"/>
        <w:rPr>
          <w:sz w:val="20"/>
          <w:lang w:val="en-US"/>
        </w:rPr>
      </w:pPr>
    </w:p>
    <w:p w14:paraId="70929827" w14:textId="77777777" w:rsidR="00456846" w:rsidRPr="00F92D0B" w:rsidRDefault="00456846" w:rsidP="00456846">
      <w:pPr>
        <w:tabs>
          <w:tab w:val="left" w:pos="1134"/>
        </w:tabs>
        <w:spacing w:before="60" w:line="240" w:lineRule="auto"/>
        <w:jc w:val="center"/>
        <w:rPr>
          <w:sz w:val="20"/>
          <w:u w:val="single"/>
          <w:lang w:val="en-US"/>
        </w:rPr>
      </w:pPr>
      <w:r w:rsidRPr="00672C7A">
        <w:rPr>
          <w:sz w:val="20"/>
          <w:lang w:val="en-GB"/>
        </w:rPr>
        <w:t>-------------------------</w:t>
      </w:r>
    </w:p>
    <w:sectPr w:rsidR="00456846" w:rsidRPr="00F92D0B" w:rsidSect="00672C7A">
      <w:headerReference w:type="even" r:id="rId8"/>
      <w:footerReference w:type="even" r:id="rId9"/>
      <w:footerReference w:type="default" r:id="rId10"/>
      <w:footerReference w:type="first" r:id="rId11"/>
      <w:pgSz w:w="11906" w:h="16838" w:code="9"/>
      <w:pgMar w:top="1701" w:right="2125"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8EB3B" w14:textId="77777777" w:rsidR="006C615D" w:rsidRDefault="006C615D"/>
  </w:endnote>
  <w:endnote w:type="continuationSeparator" w:id="0">
    <w:p w14:paraId="6C05075C" w14:textId="77777777" w:rsidR="006C615D" w:rsidRDefault="006C615D"/>
  </w:endnote>
  <w:endnote w:type="continuationNotice" w:id="1">
    <w:p w14:paraId="2B0A445C" w14:textId="77777777" w:rsidR="006C615D" w:rsidRDefault="006C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AD6C" w14:textId="77777777" w:rsidR="009A15CB" w:rsidRDefault="009A15CB"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4407">
      <w:rPr>
        <w:rStyle w:val="PageNumber"/>
        <w:noProof/>
      </w:rPr>
      <w:t>4</w:t>
    </w:r>
    <w:r>
      <w:rPr>
        <w:rStyle w:val="PageNumber"/>
      </w:rPr>
      <w:fldChar w:fldCharType="end"/>
    </w:r>
  </w:p>
  <w:p w14:paraId="3DA6F2C8" w14:textId="77777777" w:rsidR="009A15CB" w:rsidRDefault="009A15CB" w:rsidP="004A10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526A" w14:textId="77777777" w:rsidR="009A15CB" w:rsidRDefault="009A15CB" w:rsidP="007D28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4407">
      <w:rPr>
        <w:rStyle w:val="PageNumber"/>
        <w:noProof/>
      </w:rPr>
      <w:t>3</w:t>
    </w:r>
    <w:r>
      <w:rPr>
        <w:rStyle w:val="PageNumber"/>
      </w:rPr>
      <w:fldChar w:fldCharType="end"/>
    </w:r>
  </w:p>
  <w:p w14:paraId="04315B31" w14:textId="77777777" w:rsidR="009A15CB" w:rsidRDefault="009A15CB" w:rsidP="004A10B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76640"/>
      <w:docPartObj>
        <w:docPartGallery w:val="Page Numbers (Bottom of Page)"/>
        <w:docPartUnique/>
      </w:docPartObj>
    </w:sdtPr>
    <w:sdtEndPr>
      <w:rPr>
        <w:noProof/>
      </w:rPr>
    </w:sdtEndPr>
    <w:sdtContent>
      <w:p w14:paraId="3595DF24" w14:textId="3F5C45A8" w:rsidR="009A15CB" w:rsidRDefault="009A15CB">
        <w:pPr>
          <w:pStyle w:val="Footer"/>
          <w:jc w:val="right"/>
        </w:pPr>
        <w:r>
          <w:fldChar w:fldCharType="begin"/>
        </w:r>
        <w:r>
          <w:instrText xml:space="preserve"> PAGE   \* MERGEFORMAT </w:instrText>
        </w:r>
        <w:r>
          <w:fldChar w:fldCharType="separate"/>
        </w:r>
        <w:r w:rsidR="00FF4407">
          <w:rPr>
            <w:noProof/>
          </w:rPr>
          <w:t>1</w:t>
        </w:r>
        <w:r>
          <w:rPr>
            <w:noProof/>
          </w:rPr>
          <w:fldChar w:fldCharType="end"/>
        </w:r>
      </w:p>
    </w:sdtContent>
  </w:sdt>
  <w:p w14:paraId="16B5266D" w14:textId="77777777" w:rsidR="009A15CB" w:rsidRDefault="009A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DDE9" w14:textId="77777777" w:rsidR="006C615D" w:rsidRPr="000B175B" w:rsidRDefault="006C615D" w:rsidP="000B175B">
      <w:pPr>
        <w:tabs>
          <w:tab w:val="right" w:pos="2155"/>
        </w:tabs>
        <w:spacing w:after="80"/>
        <w:ind w:left="680"/>
        <w:rPr>
          <w:u w:val="single"/>
        </w:rPr>
      </w:pPr>
      <w:r>
        <w:rPr>
          <w:u w:val="single"/>
        </w:rPr>
        <w:tab/>
      </w:r>
    </w:p>
  </w:footnote>
  <w:footnote w:type="continuationSeparator" w:id="0">
    <w:p w14:paraId="3ED8FBB7" w14:textId="77777777" w:rsidR="006C615D" w:rsidRPr="00FC68B7" w:rsidRDefault="006C615D" w:rsidP="00FC68B7">
      <w:pPr>
        <w:tabs>
          <w:tab w:val="left" w:pos="2155"/>
        </w:tabs>
        <w:spacing w:after="80"/>
        <w:ind w:left="680"/>
        <w:rPr>
          <w:u w:val="single"/>
        </w:rPr>
      </w:pPr>
      <w:r>
        <w:rPr>
          <w:u w:val="single"/>
        </w:rPr>
        <w:tab/>
      </w:r>
    </w:p>
  </w:footnote>
  <w:footnote w:type="continuationNotice" w:id="1">
    <w:p w14:paraId="404C4DA9" w14:textId="77777777" w:rsidR="006C615D" w:rsidRDefault="006C6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4F1C" w14:textId="77777777" w:rsidR="009A15CB" w:rsidRPr="00B3700B" w:rsidRDefault="009A15CB" w:rsidP="00302C3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E423DA"/>
    <w:multiLevelType w:val="hybridMultilevel"/>
    <w:tmpl w:val="46660B76"/>
    <w:lvl w:ilvl="0" w:tplc="9008FA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6E281B"/>
    <w:multiLevelType w:val="hybridMultilevel"/>
    <w:tmpl w:val="82FA330A"/>
    <w:lvl w:ilvl="0" w:tplc="9008FA9E">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4E30ADA"/>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6E253C9"/>
    <w:multiLevelType w:val="hybridMultilevel"/>
    <w:tmpl w:val="872C0448"/>
    <w:lvl w:ilvl="0" w:tplc="98407FAA">
      <w:numFmt w:val="bullet"/>
      <w:lvlText w:val="-"/>
      <w:lvlJc w:val="left"/>
      <w:pPr>
        <w:ind w:left="720" w:hanging="360"/>
      </w:pPr>
      <w:rPr>
        <w:rFonts w:ascii="Calibri" w:eastAsia="Calibri" w:hAnsi="Calibri" w:cs="Times New Roman" w:hint="default"/>
      </w:rPr>
    </w:lvl>
    <w:lvl w:ilvl="1" w:tplc="26B4140E" w:tentative="1">
      <w:start w:val="1"/>
      <w:numFmt w:val="bullet"/>
      <w:lvlText w:val="o"/>
      <w:lvlJc w:val="left"/>
      <w:pPr>
        <w:ind w:left="1440" w:hanging="360"/>
      </w:pPr>
      <w:rPr>
        <w:rFonts w:ascii="Courier New" w:hAnsi="Courier New" w:cs="Courier New" w:hint="default"/>
      </w:rPr>
    </w:lvl>
    <w:lvl w:ilvl="2" w:tplc="9ABE026E" w:tentative="1">
      <w:start w:val="1"/>
      <w:numFmt w:val="bullet"/>
      <w:lvlText w:val=""/>
      <w:lvlJc w:val="left"/>
      <w:pPr>
        <w:ind w:left="2160" w:hanging="360"/>
      </w:pPr>
      <w:rPr>
        <w:rFonts w:ascii="Wingdings" w:hAnsi="Wingdings" w:hint="default"/>
      </w:rPr>
    </w:lvl>
    <w:lvl w:ilvl="3" w:tplc="934C3712" w:tentative="1">
      <w:start w:val="1"/>
      <w:numFmt w:val="bullet"/>
      <w:lvlText w:val=""/>
      <w:lvlJc w:val="left"/>
      <w:pPr>
        <w:ind w:left="2880" w:hanging="360"/>
      </w:pPr>
      <w:rPr>
        <w:rFonts w:ascii="Symbol" w:hAnsi="Symbol" w:hint="default"/>
      </w:rPr>
    </w:lvl>
    <w:lvl w:ilvl="4" w:tplc="FBEAF39E" w:tentative="1">
      <w:start w:val="1"/>
      <w:numFmt w:val="bullet"/>
      <w:lvlText w:val="o"/>
      <w:lvlJc w:val="left"/>
      <w:pPr>
        <w:ind w:left="3600" w:hanging="360"/>
      </w:pPr>
      <w:rPr>
        <w:rFonts w:ascii="Courier New" w:hAnsi="Courier New" w:cs="Courier New" w:hint="default"/>
      </w:rPr>
    </w:lvl>
    <w:lvl w:ilvl="5" w:tplc="A6EE6DD0" w:tentative="1">
      <w:start w:val="1"/>
      <w:numFmt w:val="bullet"/>
      <w:lvlText w:val=""/>
      <w:lvlJc w:val="left"/>
      <w:pPr>
        <w:ind w:left="4320" w:hanging="360"/>
      </w:pPr>
      <w:rPr>
        <w:rFonts w:ascii="Wingdings" w:hAnsi="Wingdings" w:hint="default"/>
      </w:rPr>
    </w:lvl>
    <w:lvl w:ilvl="6" w:tplc="5B8A5514" w:tentative="1">
      <w:start w:val="1"/>
      <w:numFmt w:val="bullet"/>
      <w:lvlText w:val=""/>
      <w:lvlJc w:val="left"/>
      <w:pPr>
        <w:ind w:left="5040" w:hanging="360"/>
      </w:pPr>
      <w:rPr>
        <w:rFonts w:ascii="Symbol" w:hAnsi="Symbol" w:hint="default"/>
      </w:rPr>
    </w:lvl>
    <w:lvl w:ilvl="7" w:tplc="7206F468" w:tentative="1">
      <w:start w:val="1"/>
      <w:numFmt w:val="bullet"/>
      <w:lvlText w:val="o"/>
      <w:lvlJc w:val="left"/>
      <w:pPr>
        <w:ind w:left="5760" w:hanging="360"/>
      </w:pPr>
      <w:rPr>
        <w:rFonts w:ascii="Courier New" w:hAnsi="Courier New" w:cs="Courier New" w:hint="default"/>
      </w:rPr>
    </w:lvl>
    <w:lvl w:ilvl="8" w:tplc="ED30D9D6"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7E2A"/>
    <w:multiLevelType w:val="hybridMultilevel"/>
    <w:tmpl w:val="3BFEC884"/>
    <w:lvl w:ilvl="0" w:tplc="51BE3E38">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 w15:restartNumberingAfterBreak="0">
    <w:nsid w:val="41870AF4"/>
    <w:multiLevelType w:val="hybridMultilevel"/>
    <w:tmpl w:val="BFBAC884"/>
    <w:lvl w:ilvl="0" w:tplc="CAF47B66">
      <w:start w:val="1"/>
      <w:numFmt w:val="decimal"/>
      <w:lvlText w:val="%1."/>
      <w:lvlJc w:val="left"/>
      <w:pPr>
        <w:ind w:left="1080" w:hanging="360"/>
      </w:pPr>
    </w:lvl>
    <w:lvl w:ilvl="1" w:tplc="6ED8F436" w:tentative="1">
      <w:start w:val="1"/>
      <w:numFmt w:val="lowerLetter"/>
      <w:lvlText w:val="%2."/>
      <w:lvlJc w:val="left"/>
      <w:pPr>
        <w:ind w:left="1800" w:hanging="360"/>
      </w:pPr>
    </w:lvl>
    <w:lvl w:ilvl="2" w:tplc="812E691C" w:tentative="1">
      <w:start w:val="1"/>
      <w:numFmt w:val="lowerRoman"/>
      <w:lvlText w:val="%3."/>
      <w:lvlJc w:val="right"/>
      <w:pPr>
        <w:ind w:left="2520" w:hanging="180"/>
      </w:pPr>
    </w:lvl>
    <w:lvl w:ilvl="3" w:tplc="EC38D0A4" w:tentative="1">
      <w:start w:val="1"/>
      <w:numFmt w:val="decimal"/>
      <w:lvlText w:val="%4."/>
      <w:lvlJc w:val="left"/>
      <w:pPr>
        <w:ind w:left="3240" w:hanging="360"/>
      </w:pPr>
    </w:lvl>
    <w:lvl w:ilvl="4" w:tplc="A3EE5C9C" w:tentative="1">
      <w:start w:val="1"/>
      <w:numFmt w:val="lowerLetter"/>
      <w:lvlText w:val="%5."/>
      <w:lvlJc w:val="left"/>
      <w:pPr>
        <w:ind w:left="3960" w:hanging="360"/>
      </w:pPr>
    </w:lvl>
    <w:lvl w:ilvl="5" w:tplc="4BA8EEF8" w:tentative="1">
      <w:start w:val="1"/>
      <w:numFmt w:val="lowerRoman"/>
      <w:lvlText w:val="%6."/>
      <w:lvlJc w:val="right"/>
      <w:pPr>
        <w:ind w:left="4680" w:hanging="180"/>
      </w:pPr>
    </w:lvl>
    <w:lvl w:ilvl="6" w:tplc="4EF211CE" w:tentative="1">
      <w:start w:val="1"/>
      <w:numFmt w:val="decimal"/>
      <w:lvlText w:val="%7."/>
      <w:lvlJc w:val="left"/>
      <w:pPr>
        <w:ind w:left="5400" w:hanging="360"/>
      </w:pPr>
    </w:lvl>
    <w:lvl w:ilvl="7" w:tplc="6096E26E" w:tentative="1">
      <w:start w:val="1"/>
      <w:numFmt w:val="lowerLetter"/>
      <w:lvlText w:val="%8."/>
      <w:lvlJc w:val="left"/>
      <w:pPr>
        <w:ind w:left="6120" w:hanging="360"/>
      </w:pPr>
    </w:lvl>
    <w:lvl w:ilvl="8" w:tplc="1DF0DA58" w:tentative="1">
      <w:start w:val="1"/>
      <w:numFmt w:val="lowerRoman"/>
      <w:lvlText w:val="%9."/>
      <w:lvlJc w:val="right"/>
      <w:pPr>
        <w:ind w:left="6840" w:hanging="180"/>
      </w:pPr>
    </w:lvl>
  </w:abstractNum>
  <w:abstractNum w:abstractNumId="8" w15:restartNumberingAfterBreak="0">
    <w:nsid w:val="51F018E1"/>
    <w:multiLevelType w:val="hybridMultilevel"/>
    <w:tmpl w:val="320AFABA"/>
    <w:lvl w:ilvl="0" w:tplc="BC0A6488">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55C36D0B"/>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6DF6805"/>
    <w:multiLevelType w:val="hybridMultilevel"/>
    <w:tmpl w:val="69B84D24"/>
    <w:lvl w:ilvl="0" w:tplc="F0BA92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7F812A1"/>
    <w:multiLevelType w:val="hybridMultilevel"/>
    <w:tmpl w:val="9BC67BBC"/>
    <w:lvl w:ilvl="0" w:tplc="C3DA0FE0">
      <w:start w:val="1"/>
      <w:numFmt w:val="bullet"/>
      <w:lvlText w:val=""/>
      <w:lvlJc w:val="left"/>
      <w:pPr>
        <w:ind w:left="1080" w:hanging="360"/>
      </w:pPr>
      <w:rPr>
        <w:rFonts w:ascii="Symbol" w:hAnsi="Symbol" w:hint="default"/>
      </w:rPr>
    </w:lvl>
    <w:lvl w:ilvl="1" w:tplc="8B38673C" w:tentative="1">
      <w:start w:val="1"/>
      <w:numFmt w:val="bullet"/>
      <w:lvlText w:val="o"/>
      <w:lvlJc w:val="left"/>
      <w:pPr>
        <w:ind w:left="1800" w:hanging="360"/>
      </w:pPr>
      <w:rPr>
        <w:rFonts w:ascii="Courier New" w:hAnsi="Courier New" w:cs="Courier New" w:hint="default"/>
      </w:rPr>
    </w:lvl>
    <w:lvl w:ilvl="2" w:tplc="C1848C1C" w:tentative="1">
      <w:start w:val="1"/>
      <w:numFmt w:val="bullet"/>
      <w:lvlText w:val=""/>
      <w:lvlJc w:val="left"/>
      <w:pPr>
        <w:ind w:left="2520" w:hanging="360"/>
      </w:pPr>
      <w:rPr>
        <w:rFonts w:ascii="Wingdings" w:hAnsi="Wingdings" w:hint="default"/>
      </w:rPr>
    </w:lvl>
    <w:lvl w:ilvl="3" w:tplc="78C6AE16" w:tentative="1">
      <w:start w:val="1"/>
      <w:numFmt w:val="bullet"/>
      <w:lvlText w:val=""/>
      <w:lvlJc w:val="left"/>
      <w:pPr>
        <w:ind w:left="3240" w:hanging="360"/>
      </w:pPr>
      <w:rPr>
        <w:rFonts w:ascii="Symbol" w:hAnsi="Symbol" w:hint="default"/>
      </w:rPr>
    </w:lvl>
    <w:lvl w:ilvl="4" w:tplc="05108F66" w:tentative="1">
      <w:start w:val="1"/>
      <w:numFmt w:val="bullet"/>
      <w:lvlText w:val="o"/>
      <w:lvlJc w:val="left"/>
      <w:pPr>
        <w:ind w:left="3960" w:hanging="360"/>
      </w:pPr>
      <w:rPr>
        <w:rFonts w:ascii="Courier New" w:hAnsi="Courier New" w:cs="Courier New" w:hint="default"/>
      </w:rPr>
    </w:lvl>
    <w:lvl w:ilvl="5" w:tplc="D84696B8" w:tentative="1">
      <w:start w:val="1"/>
      <w:numFmt w:val="bullet"/>
      <w:lvlText w:val=""/>
      <w:lvlJc w:val="left"/>
      <w:pPr>
        <w:ind w:left="4680" w:hanging="360"/>
      </w:pPr>
      <w:rPr>
        <w:rFonts w:ascii="Wingdings" w:hAnsi="Wingdings" w:hint="default"/>
      </w:rPr>
    </w:lvl>
    <w:lvl w:ilvl="6" w:tplc="BE5C6708" w:tentative="1">
      <w:start w:val="1"/>
      <w:numFmt w:val="bullet"/>
      <w:lvlText w:val=""/>
      <w:lvlJc w:val="left"/>
      <w:pPr>
        <w:ind w:left="5400" w:hanging="360"/>
      </w:pPr>
      <w:rPr>
        <w:rFonts w:ascii="Symbol" w:hAnsi="Symbol" w:hint="default"/>
      </w:rPr>
    </w:lvl>
    <w:lvl w:ilvl="7" w:tplc="26EEE62A" w:tentative="1">
      <w:start w:val="1"/>
      <w:numFmt w:val="bullet"/>
      <w:lvlText w:val="o"/>
      <w:lvlJc w:val="left"/>
      <w:pPr>
        <w:ind w:left="6120" w:hanging="360"/>
      </w:pPr>
      <w:rPr>
        <w:rFonts w:ascii="Courier New" w:hAnsi="Courier New" w:cs="Courier New" w:hint="default"/>
      </w:rPr>
    </w:lvl>
    <w:lvl w:ilvl="8" w:tplc="A0F0B158" w:tentative="1">
      <w:start w:val="1"/>
      <w:numFmt w:val="bullet"/>
      <w:lvlText w:val=""/>
      <w:lvlJc w:val="left"/>
      <w:pPr>
        <w:ind w:left="6840" w:hanging="360"/>
      </w:pPr>
      <w:rPr>
        <w:rFonts w:ascii="Wingdings" w:hAnsi="Wingdings" w:hint="default"/>
      </w:rPr>
    </w:lvl>
  </w:abstractNum>
  <w:abstractNum w:abstractNumId="12" w15:restartNumberingAfterBreak="0">
    <w:nsid w:val="5C1F5ABE"/>
    <w:multiLevelType w:val="hybridMultilevel"/>
    <w:tmpl w:val="A1107138"/>
    <w:lvl w:ilvl="0" w:tplc="89D66A9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5925DC1"/>
    <w:multiLevelType w:val="hybridMultilevel"/>
    <w:tmpl w:val="FAA66F24"/>
    <w:lvl w:ilvl="0" w:tplc="04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A272EF"/>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0F00CF"/>
    <w:multiLevelType w:val="multilevel"/>
    <w:tmpl w:val="6B4E13F4"/>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C8043ED"/>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1AD511A"/>
    <w:multiLevelType w:val="hybridMultilevel"/>
    <w:tmpl w:val="2C366490"/>
    <w:lvl w:ilvl="0" w:tplc="B0DC853E">
      <w:start w:val="6"/>
      <w:numFmt w:val="bullet"/>
      <w:lvlText w:val="-"/>
      <w:lvlJc w:val="left"/>
      <w:pPr>
        <w:ind w:left="786" w:hanging="360"/>
      </w:pPr>
      <w:rPr>
        <w:rFonts w:ascii="Times New Roman" w:eastAsia="Batang"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5E223DA"/>
    <w:multiLevelType w:val="hybridMultilevel"/>
    <w:tmpl w:val="5B7ACB42"/>
    <w:lvl w:ilvl="0" w:tplc="129AF09A">
      <w:start w:val="1"/>
      <w:numFmt w:val="bullet"/>
      <w:pStyle w:val="Bullet2G"/>
      <w:lvlText w:val="•"/>
      <w:lvlJc w:val="left"/>
      <w:pPr>
        <w:tabs>
          <w:tab w:val="num" w:pos="2268"/>
        </w:tabs>
        <w:ind w:left="2268" w:hanging="170"/>
      </w:pPr>
      <w:rPr>
        <w:rFonts w:ascii="Times New Roman" w:hAnsi="Times New Roman" w:cs="Times New Roman" w:hint="default"/>
      </w:rPr>
    </w:lvl>
    <w:lvl w:ilvl="1" w:tplc="0988EF78" w:tentative="1">
      <w:start w:val="1"/>
      <w:numFmt w:val="bullet"/>
      <w:lvlText w:val="o"/>
      <w:lvlJc w:val="left"/>
      <w:pPr>
        <w:tabs>
          <w:tab w:val="num" w:pos="1440"/>
        </w:tabs>
        <w:ind w:left="1440" w:hanging="360"/>
      </w:pPr>
      <w:rPr>
        <w:rFonts w:ascii="Courier New" w:hAnsi="Courier New" w:cs="Courier New" w:hint="default"/>
      </w:rPr>
    </w:lvl>
    <w:lvl w:ilvl="2" w:tplc="55C01A22" w:tentative="1">
      <w:start w:val="1"/>
      <w:numFmt w:val="bullet"/>
      <w:lvlText w:val=""/>
      <w:lvlJc w:val="left"/>
      <w:pPr>
        <w:tabs>
          <w:tab w:val="num" w:pos="2160"/>
        </w:tabs>
        <w:ind w:left="2160" w:hanging="360"/>
      </w:pPr>
      <w:rPr>
        <w:rFonts w:ascii="Wingdings" w:hAnsi="Wingdings" w:hint="default"/>
      </w:rPr>
    </w:lvl>
    <w:lvl w:ilvl="3" w:tplc="F2F65ED8" w:tentative="1">
      <w:start w:val="1"/>
      <w:numFmt w:val="bullet"/>
      <w:lvlText w:val=""/>
      <w:lvlJc w:val="left"/>
      <w:pPr>
        <w:tabs>
          <w:tab w:val="num" w:pos="2880"/>
        </w:tabs>
        <w:ind w:left="2880" w:hanging="360"/>
      </w:pPr>
      <w:rPr>
        <w:rFonts w:ascii="Symbol" w:hAnsi="Symbol" w:hint="default"/>
      </w:rPr>
    </w:lvl>
    <w:lvl w:ilvl="4" w:tplc="0656626E" w:tentative="1">
      <w:start w:val="1"/>
      <w:numFmt w:val="bullet"/>
      <w:lvlText w:val="o"/>
      <w:lvlJc w:val="left"/>
      <w:pPr>
        <w:tabs>
          <w:tab w:val="num" w:pos="3600"/>
        </w:tabs>
        <w:ind w:left="3600" w:hanging="360"/>
      </w:pPr>
      <w:rPr>
        <w:rFonts w:ascii="Courier New" w:hAnsi="Courier New" w:cs="Courier New" w:hint="default"/>
      </w:rPr>
    </w:lvl>
    <w:lvl w:ilvl="5" w:tplc="9CAE4D6C" w:tentative="1">
      <w:start w:val="1"/>
      <w:numFmt w:val="bullet"/>
      <w:lvlText w:val=""/>
      <w:lvlJc w:val="left"/>
      <w:pPr>
        <w:tabs>
          <w:tab w:val="num" w:pos="4320"/>
        </w:tabs>
        <w:ind w:left="4320" w:hanging="360"/>
      </w:pPr>
      <w:rPr>
        <w:rFonts w:ascii="Wingdings" w:hAnsi="Wingdings" w:hint="default"/>
      </w:rPr>
    </w:lvl>
    <w:lvl w:ilvl="6" w:tplc="921CDF6E" w:tentative="1">
      <w:start w:val="1"/>
      <w:numFmt w:val="bullet"/>
      <w:lvlText w:val=""/>
      <w:lvlJc w:val="left"/>
      <w:pPr>
        <w:tabs>
          <w:tab w:val="num" w:pos="5040"/>
        </w:tabs>
        <w:ind w:left="5040" w:hanging="360"/>
      </w:pPr>
      <w:rPr>
        <w:rFonts w:ascii="Symbol" w:hAnsi="Symbol" w:hint="default"/>
      </w:rPr>
    </w:lvl>
    <w:lvl w:ilvl="7" w:tplc="1D80F9A2" w:tentative="1">
      <w:start w:val="1"/>
      <w:numFmt w:val="bullet"/>
      <w:lvlText w:val="o"/>
      <w:lvlJc w:val="left"/>
      <w:pPr>
        <w:tabs>
          <w:tab w:val="num" w:pos="5760"/>
        </w:tabs>
        <w:ind w:left="5760" w:hanging="360"/>
      </w:pPr>
      <w:rPr>
        <w:rFonts w:ascii="Courier New" w:hAnsi="Courier New" w:cs="Courier New" w:hint="default"/>
      </w:rPr>
    </w:lvl>
    <w:lvl w:ilvl="8" w:tplc="5A76F5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004BE"/>
    <w:multiLevelType w:val="multilevel"/>
    <w:tmpl w:val="68F85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8"/>
  </w:num>
  <w:num w:numId="3">
    <w:abstractNumId w:val="0"/>
  </w:num>
  <w:num w:numId="4">
    <w:abstractNumId w:val="8"/>
  </w:num>
  <w:num w:numId="5">
    <w:abstractNumId w:val="2"/>
  </w:num>
  <w:num w:numId="6">
    <w:abstractNumId w:val="16"/>
  </w:num>
  <w:num w:numId="7">
    <w:abstractNumId w:val="19"/>
  </w:num>
  <w:num w:numId="8">
    <w:abstractNumId w:val="14"/>
  </w:num>
  <w:num w:numId="9">
    <w:abstractNumId w:val="4"/>
  </w:num>
  <w:num w:numId="10">
    <w:abstractNumId w:val="3"/>
  </w:num>
  <w:num w:numId="11">
    <w:abstractNumId w:val="9"/>
  </w:num>
  <w:num w:numId="12">
    <w:abstractNumId w:val="7"/>
  </w:num>
  <w:num w:numId="13">
    <w:abstractNumId w:val="15"/>
  </w:num>
  <w:num w:numId="14">
    <w:abstractNumId w:val="1"/>
  </w:num>
  <w:num w:numId="15">
    <w:abstractNumId w:val="11"/>
  </w:num>
  <w:num w:numId="16">
    <w:abstractNumId w:val="13"/>
  </w:num>
  <w:num w:numId="17">
    <w:abstractNumId w:val="17"/>
  </w:num>
  <w:num w:numId="18">
    <w:abstractNumId w:val="5"/>
  </w:num>
  <w:num w:numId="19">
    <w:abstractNumId w:val="12"/>
  </w:num>
  <w:num w:numId="20">
    <w:abstractNumId w:val="6"/>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fr-BE"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D7"/>
    <w:rsid w:val="00000D63"/>
    <w:rsid w:val="00002A7D"/>
    <w:rsid w:val="00002CCC"/>
    <w:rsid w:val="0000373B"/>
    <w:rsid w:val="000038A8"/>
    <w:rsid w:val="00004A2C"/>
    <w:rsid w:val="00004CB4"/>
    <w:rsid w:val="00006790"/>
    <w:rsid w:val="00006871"/>
    <w:rsid w:val="00007D8F"/>
    <w:rsid w:val="00010787"/>
    <w:rsid w:val="00017FB3"/>
    <w:rsid w:val="00020092"/>
    <w:rsid w:val="00021E7D"/>
    <w:rsid w:val="0002594A"/>
    <w:rsid w:val="00026A3D"/>
    <w:rsid w:val="000273AF"/>
    <w:rsid w:val="00027624"/>
    <w:rsid w:val="00035989"/>
    <w:rsid w:val="000413DB"/>
    <w:rsid w:val="000432C5"/>
    <w:rsid w:val="00044F11"/>
    <w:rsid w:val="00050F6B"/>
    <w:rsid w:val="00051190"/>
    <w:rsid w:val="0005149B"/>
    <w:rsid w:val="000536F6"/>
    <w:rsid w:val="00054DF2"/>
    <w:rsid w:val="00060675"/>
    <w:rsid w:val="00066C34"/>
    <w:rsid w:val="000678CD"/>
    <w:rsid w:val="00070FAD"/>
    <w:rsid w:val="00072C8C"/>
    <w:rsid w:val="00075498"/>
    <w:rsid w:val="00080653"/>
    <w:rsid w:val="00081CE0"/>
    <w:rsid w:val="00081E5B"/>
    <w:rsid w:val="000835A6"/>
    <w:rsid w:val="00084D30"/>
    <w:rsid w:val="000855D3"/>
    <w:rsid w:val="00090320"/>
    <w:rsid w:val="000907C7"/>
    <w:rsid w:val="00091148"/>
    <w:rsid w:val="000931C0"/>
    <w:rsid w:val="000937A1"/>
    <w:rsid w:val="00094D05"/>
    <w:rsid w:val="000A2E09"/>
    <w:rsid w:val="000A4DF9"/>
    <w:rsid w:val="000A6BF7"/>
    <w:rsid w:val="000B175B"/>
    <w:rsid w:val="000B3653"/>
    <w:rsid w:val="000B3A0F"/>
    <w:rsid w:val="000B41FA"/>
    <w:rsid w:val="000B6ED6"/>
    <w:rsid w:val="000B7556"/>
    <w:rsid w:val="000C128D"/>
    <w:rsid w:val="000C17EC"/>
    <w:rsid w:val="000C1841"/>
    <w:rsid w:val="000C2D54"/>
    <w:rsid w:val="000C5BEC"/>
    <w:rsid w:val="000D5116"/>
    <w:rsid w:val="000D549D"/>
    <w:rsid w:val="000E0415"/>
    <w:rsid w:val="000E5858"/>
    <w:rsid w:val="000E5F3D"/>
    <w:rsid w:val="000E7EB0"/>
    <w:rsid w:val="000F59C4"/>
    <w:rsid w:val="000F7464"/>
    <w:rsid w:val="000F7715"/>
    <w:rsid w:val="000F7EF2"/>
    <w:rsid w:val="00103E99"/>
    <w:rsid w:val="00104B11"/>
    <w:rsid w:val="00113F80"/>
    <w:rsid w:val="001178CE"/>
    <w:rsid w:val="00120024"/>
    <w:rsid w:val="00121ADB"/>
    <w:rsid w:val="00124DC5"/>
    <w:rsid w:val="001271AA"/>
    <w:rsid w:val="00127E0B"/>
    <w:rsid w:val="00132B1A"/>
    <w:rsid w:val="001337C3"/>
    <w:rsid w:val="00144C7B"/>
    <w:rsid w:val="00145248"/>
    <w:rsid w:val="00150700"/>
    <w:rsid w:val="00150847"/>
    <w:rsid w:val="00151A29"/>
    <w:rsid w:val="00156B99"/>
    <w:rsid w:val="0016382D"/>
    <w:rsid w:val="00166124"/>
    <w:rsid w:val="001663D5"/>
    <w:rsid w:val="00167F20"/>
    <w:rsid w:val="001713C6"/>
    <w:rsid w:val="001737FE"/>
    <w:rsid w:val="00184DDA"/>
    <w:rsid w:val="001900CD"/>
    <w:rsid w:val="0019444B"/>
    <w:rsid w:val="001979D2"/>
    <w:rsid w:val="001A0452"/>
    <w:rsid w:val="001A10E3"/>
    <w:rsid w:val="001A2B1F"/>
    <w:rsid w:val="001A3354"/>
    <w:rsid w:val="001A3481"/>
    <w:rsid w:val="001B4B04"/>
    <w:rsid w:val="001B5875"/>
    <w:rsid w:val="001B6DAA"/>
    <w:rsid w:val="001C4B9C"/>
    <w:rsid w:val="001C524E"/>
    <w:rsid w:val="001C5F9A"/>
    <w:rsid w:val="001C6663"/>
    <w:rsid w:val="001C7895"/>
    <w:rsid w:val="001D15C4"/>
    <w:rsid w:val="001D26DF"/>
    <w:rsid w:val="001D312D"/>
    <w:rsid w:val="001E0E58"/>
    <w:rsid w:val="001E11F0"/>
    <w:rsid w:val="001E64C6"/>
    <w:rsid w:val="001E7312"/>
    <w:rsid w:val="001F0165"/>
    <w:rsid w:val="001F1599"/>
    <w:rsid w:val="001F1961"/>
    <w:rsid w:val="001F19C4"/>
    <w:rsid w:val="002043F0"/>
    <w:rsid w:val="002060B9"/>
    <w:rsid w:val="00211E0B"/>
    <w:rsid w:val="00213C96"/>
    <w:rsid w:val="0022772A"/>
    <w:rsid w:val="00227BB4"/>
    <w:rsid w:val="00232575"/>
    <w:rsid w:val="002350BC"/>
    <w:rsid w:val="00235FE4"/>
    <w:rsid w:val="00243F6F"/>
    <w:rsid w:val="002458B1"/>
    <w:rsid w:val="00246528"/>
    <w:rsid w:val="00247258"/>
    <w:rsid w:val="00257CAC"/>
    <w:rsid w:val="00261DB2"/>
    <w:rsid w:val="00263A1D"/>
    <w:rsid w:val="002642D3"/>
    <w:rsid w:val="00265A29"/>
    <w:rsid w:val="00270949"/>
    <w:rsid w:val="00276054"/>
    <w:rsid w:val="00276C52"/>
    <w:rsid w:val="00282EF5"/>
    <w:rsid w:val="002962FF"/>
    <w:rsid w:val="002974E9"/>
    <w:rsid w:val="002A214F"/>
    <w:rsid w:val="002A22E4"/>
    <w:rsid w:val="002A7F94"/>
    <w:rsid w:val="002B01C4"/>
    <w:rsid w:val="002B109A"/>
    <w:rsid w:val="002B622B"/>
    <w:rsid w:val="002B6C36"/>
    <w:rsid w:val="002B71BF"/>
    <w:rsid w:val="002C1973"/>
    <w:rsid w:val="002C57D6"/>
    <w:rsid w:val="002C6D45"/>
    <w:rsid w:val="002C6F09"/>
    <w:rsid w:val="002D1997"/>
    <w:rsid w:val="002D4CF0"/>
    <w:rsid w:val="002D6E53"/>
    <w:rsid w:val="002E26CB"/>
    <w:rsid w:val="002E6E7A"/>
    <w:rsid w:val="002F046D"/>
    <w:rsid w:val="002F1BBE"/>
    <w:rsid w:val="002F27EE"/>
    <w:rsid w:val="002F38CF"/>
    <w:rsid w:val="003007E7"/>
    <w:rsid w:val="00301764"/>
    <w:rsid w:val="00302B3E"/>
    <w:rsid w:val="00302C39"/>
    <w:rsid w:val="0030478E"/>
    <w:rsid w:val="003104EE"/>
    <w:rsid w:val="00312A36"/>
    <w:rsid w:val="0031382C"/>
    <w:rsid w:val="003229D8"/>
    <w:rsid w:val="00323AD2"/>
    <w:rsid w:val="00323FB5"/>
    <w:rsid w:val="00324148"/>
    <w:rsid w:val="003267B9"/>
    <w:rsid w:val="0032773F"/>
    <w:rsid w:val="003317BA"/>
    <w:rsid w:val="00334EF2"/>
    <w:rsid w:val="00336C97"/>
    <w:rsid w:val="00337302"/>
    <w:rsid w:val="00337D65"/>
    <w:rsid w:val="00337F88"/>
    <w:rsid w:val="00342432"/>
    <w:rsid w:val="0034380C"/>
    <w:rsid w:val="003445F1"/>
    <w:rsid w:val="0035265C"/>
    <w:rsid w:val="00352A7A"/>
    <w:rsid w:val="00352D4B"/>
    <w:rsid w:val="0035454F"/>
    <w:rsid w:val="00354724"/>
    <w:rsid w:val="00354CED"/>
    <w:rsid w:val="0035638C"/>
    <w:rsid w:val="003569B4"/>
    <w:rsid w:val="00360AB2"/>
    <w:rsid w:val="00366F20"/>
    <w:rsid w:val="00370928"/>
    <w:rsid w:val="003818AF"/>
    <w:rsid w:val="00382AB1"/>
    <w:rsid w:val="00382F1C"/>
    <w:rsid w:val="0038333F"/>
    <w:rsid w:val="00383AD3"/>
    <w:rsid w:val="003851D7"/>
    <w:rsid w:val="00387213"/>
    <w:rsid w:val="00394500"/>
    <w:rsid w:val="00397E95"/>
    <w:rsid w:val="003A1CBD"/>
    <w:rsid w:val="003A1DBE"/>
    <w:rsid w:val="003A46BB"/>
    <w:rsid w:val="003A4EC7"/>
    <w:rsid w:val="003A6D65"/>
    <w:rsid w:val="003A7295"/>
    <w:rsid w:val="003A7536"/>
    <w:rsid w:val="003B1C53"/>
    <w:rsid w:val="003B1F60"/>
    <w:rsid w:val="003B21C7"/>
    <w:rsid w:val="003B3BA0"/>
    <w:rsid w:val="003B40B4"/>
    <w:rsid w:val="003C168B"/>
    <w:rsid w:val="003C2CC4"/>
    <w:rsid w:val="003C3F43"/>
    <w:rsid w:val="003C7026"/>
    <w:rsid w:val="003D0048"/>
    <w:rsid w:val="003D136E"/>
    <w:rsid w:val="003D4B23"/>
    <w:rsid w:val="003D5173"/>
    <w:rsid w:val="003D572F"/>
    <w:rsid w:val="003D58A1"/>
    <w:rsid w:val="003D6B88"/>
    <w:rsid w:val="003E278A"/>
    <w:rsid w:val="003E2FA1"/>
    <w:rsid w:val="003E4BEC"/>
    <w:rsid w:val="003E65FF"/>
    <w:rsid w:val="003E6842"/>
    <w:rsid w:val="003E6954"/>
    <w:rsid w:val="003F11D9"/>
    <w:rsid w:val="003F5C16"/>
    <w:rsid w:val="0040184F"/>
    <w:rsid w:val="0040314D"/>
    <w:rsid w:val="004032CF"/>
    <w:rsid w:val="004061B7"/>
    <w:rsid w:val="0040624F"/>
    <w:rsid w:val="004112E1"/>
    <w:rsid w:val="00412408"/>
    <w:rsid w:val="004128AC"/>
    <w:rsid w:val="00413520"/>
    <w:rsid w:val="00414F7A"/>
    <w:rsid w:val="00417601"/>
    <w:rsid w:val="004217DB"/>
    <w:rsid w:val="00431D4D"/>
    <w:rsid w:val="004325CB"/>
    <w:rsid w:val="00435419"/>
    <w:rsid w:val="00436591"/>
    <w:rsid w:val="00437B94"/>
    <w:rsid w:val="00440A07"/>
    <w:rsid w:val="004424C0"/>
    <w:rsid w:val="00446D25"/>
    <w:rsid w:val="0045052B"/>
    <w:rsid w:val="00451C1C"/>
    <w:rsid w:val="00451E6A"/>
    <w:rsid w:val="004535F0"/>
    <w:rsid w:val="00455996"/>
    <w:rsid w:val="00456846"/>
    <w:rsid w:val="00460982"/>
    <w:rsid w:val="004621F7"/>
    <w:rsid w:val="00462880"/>
    <w:rsid w:val="0046352F"/>
    <w:rsid w:val="004652B3"/>
    <w:rsid w:val="00466314"/>
    <w:rsid w:val="00466AA6"/>
    <w:rsid w:val="00466BB7"/>
    <w:rsid w:val="0047298C"/>
    <w:rsid w:val="00473EDD"/>
    <w:rsid w:val="0047490A"/>
    <w:rsid w:val="00474DA3"/>
    <w:rsid w:val="00476F24"/>
    <w:rsid w:val="004770EA"/>
    <w:rsid w:val="0047768D"/>
    <w:rsid w:val="00484490"/>
    <w:rsid w:val="00486404"/>
    <w:rsid w:val="004909E7"/>
    <w:rsid w:val="00491DE6"/>
    <w:rsid w:val="00492E11"/>
    <w:rsid w:val="00494147"/>
    <w:rsid w:val="004965CD"/>
    <w:rsid w:val="004A0676"/>
    <w:rsid w:val="004A10B1"/>
    <w:rsid w:val="004A150C"/>
    <w:rsid w:val="004A5511"/>
    <w:rsid w:val="004B2983"/>
    <w:rsid w:val="004B45B0"/>
    <w:rsid w:val="004B6AC1"/>
    <w:rsid w:val="004B6F47"/>
    <w:rsid w:val="004B7C31"/>
    <w:rsid w:val="004C55B0"/>
    <w:rsid w:val="004C6BE4"/>
    <w:rsid w:val="004D098B"/>
    <w:rsid w:val="004D762B"/>
    <w:rsid w:val="004D76DD"/>
    <w:rsid w:val="004D7F3B"/>
    <w:rsid w:val="004E05C3"/>
    <w:rsid w:val="004E4179"/>
    <w:rsid w:val="004F04E2"/>
    <w:rsid w:val="004F404D"/>
    <w:rsid w:val="004F6BA0"/>
    <w:rsid w:val="0050044F"/>
    <w:rsid w:val="00501BEC"/>
    <w:rsid w:val="00501BFE"/>
    <w:rsid w:val="005024DE"/>
    <w:rsid w:val="0050378D"/>
    <w:rsid w:val="00503A12"/>
    <w:rsid w:val="00503BEA"/>
    <w:rsid w:val="00506648"/>
    <w:rsid w:val="00523D25"/>
    <w:rsid w:val="00525FCD"/>
    <w:rsid w:val="0053028C"/>
    <w:rsid w:val="005324F2"/>
    <w:rsid w:val="00533616"/>
    <w:rsid w:val="00535ABA"/>
    <w:rsid w:val="005371A0"/>
    <w:rsid w:val="0053768B"/>
    <w:rsid w:val="005403B2"/>
    <w:rsid w:val="005420F2"/>
    <w:rsid w:val="0054285C"/>
    <w:rsid w:val="00542A53"/>
    <w:rsid w:val="00546972"/>
    <w:rsid w:val="00547A88"/>
    <w:rsid w:val="00550D72"/>
    <w:rsid w:val="005611D5"/>
    <w:rsid w:val="005616BD"/>
    <w:rsid w:val="00564BF4"/>
    <w:rsid w:val="00564E0A"/>
    <w:rsid w:val="00572C34"/>
    <w:rsid w:val="00575A65"/>
    <w:rsid w:val="00581837"/>
    <w:rsid w:val="00582962"/>
    <w:rsid w:val="00584173"/>
    <w:rsid w:val="00584485"/>
    <w:rsid w:val="00595520"/>
    <w:rsid w:val="005966E6"/>
    <w:rsid w:val="005A29AC"/>
    <w:rsid w:val="005A3917"/>
    <w:rsid w:val="005A44B9"/>
    <w:rsid w:val="005B0B19"/>
    <w:rsid w:val="005B1057"/>
    <w:rsid w:val="005B1BA0"/>
    <w:rsid w:val="005B2350"/>
    <w:rsid w:val="005B3DB3"/>
    <w:rsid w:val="005B6BCA"/>
    <w:rsid w:val="005C123C"/>
    <w:rsid w:val="005D15CA"/>
    <w:rsid w:val="005D163F"/>
    <w:rsid w:val="005D390C"/>
    <w:rsid w:val="005D70F2"/>
    <w:rsid w:val="005E0335"/>
    <w:rsid w:val="005E0821"/>
    <w:rsid w:val="005E1F8B"/>
    <w:rsid w:val="005E225C"/>
    <w:rsid w:val="005E3539"/>
    <w:rsid w:val="005E4D19"/>
    <w:rsid w:val="005F088E"/>
    <w:rsid w:val="005F08BD"/>
    <w:rsid w:val="005F2E76"/>
    <w:rsid w:val="005F3066"/>
    <w:rsid w:val="005F3DC5"/>
    <w:rsid w:val="005F3E61"/>
    <w:rsid w:val="005F5151"/>
    <w:rsid w:val="005F51F6"/>
    <w:rsid w:val="00600C18"/>
    <w:rsid w:val="00600D2D"/>
    <w:rsid w:val="00601303"/>
    <w:rsid w:val="00604D4C"/>
    <w:rsid w:val="00604DDD"/>
    <w:rsid w:val="00611263"/>
    <w:rsid w:val="006115CC"/>
    <w:rsid w:val="0061180A"/>
    <w:rsid w:val="00611FC4"/>
    <w:rsid w:val="00614EB9"/>
    <w:rsid w:val="006165BF"/>
    <w:rsid w:val="006176FB"/>
    <w:rsid w:val="00624585"/>
    <w:rsid w:val="006246EE"/>
    <w:rsid w:val="0062628D"/>
    <w:rsid w:val="00630FCB"/>
    <w:rsid w:val="006322D1"/>
    <w:rsid w:val="00632F10"/>
    <w:rsid w:val="00633676"/>
    <w:rsid w:val="00633C4D"/>
    <w:rsid w:val="006344D8"/>
    <w:rsid w:val="00634AB7"/>
    <w:rsid w:val="0064017F"/>
    <w:rsid w:val="00640B26"/>
    <w:rsid w:val="00642502"/>
    <w:rsid w:val="00642D3F"/>
    <w:rsid w:val="006542F7"/>
    <w:rsid w:val="00654A47"/>
    <w:rsid w:val="00654CB4"/>
    <w:rsid w:val="00656451"/>
    <w:rsid w:val="006664AD"/>
    <w:rsid w:val="00667D6B"/>
    <w:rsid w:val="00667DA4"/>
    <w:rsid w:val="00671549"/>
    <w:rsid w:val="00672C7A"/>
    <w:rsid w:val="006730F2"/>
    <w:rsid w:val="00675E12"/>
    <w:rsid w:val="00676934"/>
    <w:rsid w:val="006770B2"/>
    <w:rsid w:val="00680114"/>
    <w:rsid w:val="00681553"/>
    <w:rsid w:val="00690030"/>
    <w:rsid w:val="00693A10"/>
    <w:rsid w:val="006940E1"/>
    <w:rsid w:val="00696C10"/>
    <w:rsid w:val="006A0BD9"/>
    <w:rsid w:val="006A3C72"/>
    <w:rsid w:val="006A7392"/>
    <w:rsid w:val="006B03A1"/>
    <w:rsid w:val="006B60A1"/>
    <w:rsid w:val="006B63E8"/>
    <w:rsid w:val="006B67D9"/>
    <w:rsid w:val="006C31F3"/>
    <w:rsid w:val="006C4B75"/>
    <w:rsid w:val="006C5535"/>
    <w:rsid w:val="006C615D"/>
    <w:rsid w:val="006D0589"/>
    <w:rsid w:val="006D408C"/>
    <w:rsid w:val="006E564B"/>
    <w:rsid w:val="006E70C5"/>
    <w:rsid w:val="006E7154"/>
    <w:rsid w:val="006E746F"/>
    <w:rsid w:val="006F3E58"/>
    <w:rsid w:val="007003CD"/>
    <w:rsid w:val="007012A8"/>
    <w:rsid w:val="00702B36"/>
    <w:rsid w:val="00702C62"/>
    <w:rsid w:val="00704376"/>
    <w:rsid w:val="0070701E"/>
    <w:rsid w:val="0070702F"/>
    <w:rsid w:val="00710581"/>
    <w:rsid w:val="00721E5D"/>
    <w:rsid w:val="00722662"/>
    <w:rsid w:val="007237BA"/>
    <w:rsid w:val="007238D3"/>
    <w:rsid w:val="007254C8"/>
    <w:rsid w:val="0072560B"/>
    <w:rsid w:val="0072632A"/>
    <w:rsid w:val="0073506C"/>
    <w:rsid w:val="007358E8"/>
    <w:rsid w:val="00736ECE"/>
    <w:rsid w:val="007446E8"/>
    <w:rsid w:val="0074533B"/>
    <w:rsid w:val="007461BB"/>
    <w:rsid w:val="00751573"/>
    <w:rsid w:val="00753F15"/>
    <w:rsid w:val="007542E7"/>
    <w:rsid w:val="00756132"/>
    <w:rsid w:val="00756C48"/>
    <w:rsid w:val="007627AA"/>
    <w:rsid w:val="0076347E"/>
    <w:rsid w:val="00763D42"/>
    <w:rsid w:val="0076432E"/>
    <w:rsid w:val="007643BC"/>
    <w:rsid w:val="00766E74"/>
    <w:rsid w:val="0076786A"/>
    <w:rsid w:val="0077044D"/>
    <w:rsid w:val="00770DF8"/>
    <w:rsid w:val="007713EC"/>
    <w:rsid w:val="0078317F"/>
    <w:rsid w:val="007959FE"/>
    <w:rsid w:val="00797BAA"/>
    <w:rsid w:val="007A0631"/>
    <w:rsid w:val="007A0CF1"/>
    <w:rsid w:val="007A2946"/>
    <w:rsid w:val="007A300C"/>
    <w:rsid w:val="007A3197"/>
    <w:rsid w:val="007A6CC4"/>
    <w:rsid w:val="007A7CC0"/>
    <w:rsid w:val="007B089E"/>
    <w:rsid w:val="007B1B46"/>
    <w:rsid w:val="007B46A6"/>
    <w:rsid w:val="007B4949"/>
    <w:rsid w:val="007B6A61"/>
    <w:rsid w:val="007B6BA5"/>
    <w:rsid w:val="007C0261"/>
    <w:rsid w:val="007C3390"/>
    <w:rsid w:val="007C42D8"/>
    <w:rsid w:val="007C4F4B"/>
    <w:rsid w:val="007C68C8"/>
    <w:rsid w:val="007C6ACB"/>
    <w:rsid w:val="007C7431"/>
    <w:rsid w:val="007C7486"/>
    <w:rsid w:val="007D1386"/>
    <w:rsid w:val="007D28D3"/>
    <w:rsid w:val="007D3314"/>
    <w:rsid w:val="007D4C68"/>
    <w:rsid w:val="007D7362"/>
    <w:rsid w:val="007E042F"/>
    <w:rsid w:val="007E3A86"/>
    <w:rsid w:val="007E4914"/>
    <w:rsid w:val="007E7DFD"/>
    <w:rsid w:val="007F2B90"/>
    <w:rsid w:val="007F2F9B"/>
    <w:rsid w:val="007F4527"/>
    <w:rsid w:val="007F5CE2"/>
    <w:rsid w:val="007F6611"/>
    <w:rsid w:val="0080041B"/>
    <w:rsid w:val="0080091E"/>
    <w:rsid w:val="008047A6"/>
    <w:rsid w:val="00810BAC"/>
    <w:rsid w:val="008118EB"/>
    <w:rsid w:val="00811D13"/>
    <w:rsid w:val="008151E0"/>
    <w:rsid w:val="008170E5"/>
    <w:rsid w:val="008175E9"/>
    <w:rsid w:val="00820597"/>
    <w:rsid w:val="0082331B"/>
    <w:rsid w:val="008242D7"/>
    <w:rsid w:val="00825578"/>
    <w:rsid w:val="0082577B"/>
    <w:rsid w:val="0082591E"/>
    <w:rsid w:val="008261C9"/>
    <w:rsid w:val="008274D0"/>
    <w:rsid w:val="00832B75"/>
    <w:rsid w:val="00832FC3"/>
    <w:rsid w:val="00833280"/>
    <w:rsid w:val="00834DD1"/>
    <w:rsid w:val="00836EE8"/>
    <w:rsid w:val="00837A06"/>
    <w:rsid w:val="00841AB3"/>
    <w:rsid w:val="0084463B"/>
    <w:rsid w:val="00846F9A"/>
    <w:rsid w:val="00851569"/>
    <w:rsid w:val="00851DCE"/>
    <w:rsid w:val="00851EB7"/>
    <w:rsid w:val="00853771"/>
    <w:rsid w:val="008558E7"/>
    <w:rsid w:val="00855BEC"/>
    <w:rsid w:val="008625A8"/>
    <w:rsid w:val="00866893"/>
    <w:rsid w:val="00866F02"/>
    <w:rsid w:val="00867D18"/>
    <w:rsid w:val="00871F9A"/>
    <w:rsid w:val="00871FD5"/>
    <w:rsid w:val="00872743"/>
    <w:rsid w:val="008732DB"/>
    <w:rsid w:val="00876B8E"/>
    <w:rsid w:val="008772BB"/>
    <w:rsid w:val="0088172E"/>
    <w:rsid w:val="008818FE"/>
    <w:rsid w:val="00881EFA"/>
    <w:rsid w:val="008827F4"/>
    <w:rsid w:val="0088382F"/>
    <w:rsid w:val="00883E28"/>
    <w:rsid w:val="00884D3A"/>
    <w:rsid w:val="00885CB7"/>
    <w:rsid w:val="00887EB5"/>
    <w:rsid w:val="00887F5F"/>
    <w:rsid w:val="008979B1"/>
    <w:rsid w:val="008A00F6"/>
    <w:rsid w:val="008A16AC"/>
    <w:rsid w:val="008A4A6B"/>
    <w:rsid w:val="008A4C82"/>
    <w:rsid w:val="008A6B25"/>
    <w:rsid w:val="008A6C4F"/>
    <w:rsid w:val="008B389E"/>
    <w:rsid w:val="008B7917"/>
    <w:rsid w:val="008B7E23"/>
    <w:rsid w:val="008C1002"/>
    <w:rsid w:val="008C1A12"/>
    <w:rsid w:val="008C1B25"/>
    <w:rsid w:val="008C5BCB"/>
    <w:rsid w:val="008D045E"/>
    <w:rsid w:val="008D3F25"/>
    <w:rsid w:val="008D4D82"/>
    <w:rsid w:val="008D721F"/>
    <w:rsid w:val="008D7822"/>
    <w:rsid w:val="008E0E09"/>
    <w:rsid w:val="008E0E46"/>
    <w:rsid w:val="008E361E"/>
    <w:rsid w:val="008E398A"/>
    <w:rsid w:val="008E7116"/>
    <w:rsid w:val="008F143B"/>
    <w:rsid w:val="008F25F9"/>
    <w:rsid w:val="008F2A09"/>
    <w:rsid w:val="008F3882"/>
    <w:rsid w:val="008F3C40"/>
    <w:rsid w:val="008F4B7C"/>
    <w:rsid w:val="008F6591"/>
    <w:rsid w:val="00900EBF"/>
    <w:rsid w:val="009119F6"/>
    <w:rsid w:val="00914DC3"/>
    <w:rsid w:val="0091519E"/>
    <w:rsid w:val="00921DE4"/>
    <w:rsid w:val="009235C8"/>
    <w:rsid w:val="0092519A"/>
    <w:rsid w:val="00926E47"/>
    <w:rsid w:val="00930264"/>
    <w:rsid w:val="00930C9A"/>
    <w:rsid w:val="009316B4"/>
    <w:rsid w:val="00931CD1"/>
    <w:rsid w:val="009343EC"/>
    <w:rsid w:val="00935854"/>
    <w:rsid w:val="009414FF"/>
    <w:rsid w:val="00941C24"/>
    <w:rsid w:val="00941E2A"/>
    <w:rsid w:val="0094638E"/>
    <w:rsid w:val="00947162"/>
    <w:rsid w:val="00952C0F"/>
    <w:rsid w:val="00953163"/>
    <w:rsid w:val="009601FF"/>
    <w:rsid w:val="00960D5D"/>
    <w:rsid w:val="009610D0"/>
    <w:rsid w:val="0096375C"/>
    <w:rsid w:val="00965213"/>
    <w:rsid w:val="009662E6"/>
    <w:rsid w:val="0096704D"/>
    <w:rsid w:val="00967B66"/>
    <w:rsid w:val="0097095E"/>
    <w:rsid w:val="00971AE6"/>
    <w:rsid w:val="009722FB"/>
    <w:rsid w:val="00980F57"/>
    <w:rsid w:val="00985026"/>
    <w:rsid w:val="0098592B"/>
    <w:rsid w:val="00985FC4"/>
    <w:rsid w:val="009860DB"/>
    <w:rsid w:val="0098792D"/>
    <w:rsid w:val="00987E3B"/>
    <w:rsid w:val="00990766"/>
    <w:rsid w:val="00991261"/>
    <w:rsid w:val="00992C68"/>
    <w:rsid w:val="009964C4"/>
    <w:rsid w:val="00997E61"/>
    <w:rsid w:val="009A0D42"/>
    <w:rsid w:val="009A15CB"/>
    <w:rsid w:val="009A1AE8"/>
    <w:rsid w:val="009A7B81"/>
    <w:rsid w:val="009B1DAE"/>
    <w:rsid w:val="009B25A3"/>
    <w:rsid w:val="009B4DA2"/>
    <w:rsid w:val="009B6947"/>
    <w:rsid w:val="009C0B0C"/>
    <w:rsid w:val="009C1BAA"/>
    <w:rsid w:val="009C275B"/>
    <w:rsid w:val="009C667E"/>
    <w:rsid w:val="009C671C"/>
    <w:rsid w:val="009D01C0"/>
    <w:rsid w:val="009D0E25"/>
    <w:rsid w:val="009D6A08"/>
    <w:rsid w:val="009E09C4"/>
    <w:rsid w:val="009E0A16"/>
    <w:rsid w:val="009E7970"/>
    <w:rsid w:val="009F1226"/>
    <w:rsid w:val="009F2EAC"/>
    <w:rsid w:val="009F36AE"/>
    <w:rsid w:val="009F57E3"/>
    <w:rsid w:val="00A052C5"/>
    <w:rsid w:val="00A07442"/>
    <w:rsid w:val="00A07FA5"/>
    <w:rsid w:val="00A10F4F"/>
    <w:rsid w:val="00A11067"/>
    <w:rsid w:val="00A1352D"/>
    <w:rsid w:val="00A14EF1"/>
    <w:rsid w:val="00A15285"/>
    <w:rsid w:val="00A1704A"/>
    <w:rsid w:val="00A17967"/>
    <w:rsid w:val="00A17F67"/>
    <w:rsid w:val="00A22B34"/>
    <w:rsid w:val="00A23498"/>
    <w:rsid w:val="00A23E9E"/>
    <w:rsid w:val="00A26EEF"/>
    <w:rsid w:val="00A30DFB"/>
    <w:rsid w:val="00A362B7"/>
    <w:rsid w:val="00A40B97"/>
    <w:rsid w:val="00A41C61"/>
    <w:rsid w:val="00A425EB"/>
    <w:rsid w:val="00A43E0B"/>
    <w:rsid w:val="00A44A02"/>
    <w:rsid w:val="00A4556B"/>
    <w:rsid w:val="00A45CB7"/>
    <w:rsid w:val="00A47439"/>
    <w:rsid w:val="00A474BD"/>
    <w:rsid w:val="00A50130"/>
    <w:rsid w:val="00A5165A"/>
    <w:rsid w:val="00A518E3"/>
    <w:rsid w:val="00A52374"/>
    <w:rsid w:val="00A55E11"/>
    <w:rsid w:val="00A62B4F"/>
    <w:rsid w:val="00A64DDD"/>
    <w:rsid w:val="00A6565B"/>
    <w:rsid w:val="00A67854"/>
    <w:rsid w:val="00A7192B"/>
    <w:rsid w:val="00A722CC"/>
    <w:rsid w:val="00A72F22"/>
    <w:rsid w:val="00A733BC"/>
    <w:rsid w:val="00A748A6"/>
    <w:rsid w:val="00A749C1"/>
    <w:rsid w:val="00A76A69"/>
    <w:rsid w:val="00A77D0C"/>
    <w:rsid w:val="00A8040D"/>
    <w:rsid w:val="00A80B30"/>
    <w:rsid w:val="00A824E7"/>
    <w:rsid w:val="00A879A4"/>
    <w:rsid w:val="00A92262"/>
    <w:rsid w:val="00A96696"/>
    <w:rsid w:val="00AA0FF8"/>
    <w:rsid w:val="00AA370B"/>
    <w:rsid w:val="00AA653A"/>
    <w:rsid w:val="00AA761D"/>
    <w:rsid w:val="00AB1D21"/>
    <w:rsid w:val="00AB62AD"/>
    <w:rsid w:val="00AB74ED"/>
    <w:rsid w:val="00AC07D3"/>
    <w:rsid w:val="00AC0F2C"/>
    <w:rsid w:val="00AC502A"/>
    <w:rsid w:val="00AC5AFE"/>
    <w:rsid w:val="00AC5B16"/>
    <w:rsid w:val="00AC6CD9"/>
    <w:rsid w:val="00AD4AEB"/>
    <w:rsid w:val="00AD4DF9"/>
    <w:rsid w:val="00AE447E"/>
    <w:rsid w:val="00AE593C"/>
    <w:rsid w:val="00AE7BC0"/>
    <w:rsid w:val="00AF2122"/>
    <w:rsid w:val="00AF2917"/>
    <w:rsid w:val="00AF3A98"/>
    <w:rsid w:val="00AF4FB8"/>
    <w:rsid w:val="00AF58C1"/>
    <w:rsid w:val="00B03E68"/>
    <w:rsid w:val="00B05B60"/>
    <w:rsid w:val="00B06643"/>
    <w:rsid w:val="00B06B1D"/>
    <w:rsid w:val="00B06E6C"/>
    <w:rsid w:val="00B135A9"/>
    <w:rsid w:val="00B15055"/>
    <w:rsid w:val="00B1765D"/>
    <w:rsid w:val="00B17FC5"/>
    <w:rsid w:val="00B20D0A"/>
    <w:rsid w:val="00B252FC"/>
    <w:rsid w:val="00B25982"/>
    <w:rsid w:val="00B30179"/>
    <w:rsid w:val="00B30EC2"/>
    <w:rsid w:val="00B33A59"/>
    <w:rsid w:val="00B33ECF"/>
    <w:rsid w:val="00B351EA"/>
    <w:rsid w:val="00B358F2"/>
    <w:rsid w:val="00B36CE1"/>
    <w:rsid w:val="00B3700B"/>
    <w:rsid w:val="00B37B15"/>
    <w:rsid w:val="00B40A2F"/>
    <w:rsid w:val="00B41093"/>
    <w:rsid w:val="00B41369"/>
    <w:rsid w:val="00B418C1"/>
    <w:rsid w:val="00B4482F"/>
    <w:rsid w:val="00B44875"/>
    <w:rsid w:val="00B45C02"/>
    <w:rsid w:val="00B53E48"/>
    <w:rsid w:val="00B562DB"/>
    <w:rsid w:val="00B662CA"/>
    <w:rsid w:val="00B72A1E"/>
    <w:rsid w:val="00B75748"/>
    <w:rsid w:val="00B80129"/>
    <w:rsid w:val="00B81E12"/>
    <w:rsid w:val="00B82ABC"/>
    <w:rsid w:val="00B83D34"/>
    <w:rsid w:val="00B87883"/>
    <w:rsid w:val="00B92592"/>
    <w:rsid w:val="00B92C19"/>
    <w:rsid w:val="00BA17D7"/>
    <w:rsid w:val="00BA339B"/>
    <w:rsid w:val="00BA49B1"/>
    <w:rsid w:val="00BA789A"/>
    <w:rsid w:val="00BB336F"/>
    <w:rsid w:val="00BC0CEA"/>
    <w:rsid w:val="00BC19B7"/>
    <w:rsid w:val="00BC1E7E"/>
    <w:rsid w:val="00BC2E45"/>
    <w:rsid w:val="00BC2EF2"/>
    <w:rsid w:val="00BC74E9"/>
    <w:rsid w:val="00BD5075"/>
    <w:rsid w:val="00BD5223"/>
    <w:rsid w:val="00BE36A9"/>
    <w:rsid w:val="00BE57E4"/>
    <w:rsid w:val="00BE618E"/>
    <w:rsid w:val="00BE6A2A"/>
    <w:rsid w:val="00BE7BEC"/>
    <w:rsid w:val="00BF03D0"/>
    <w:rsid w:val="00BF0A5A"/>
    <w:rsid w:val="00BF0E63"/>
    <w:rsid w:val="00BF12A3"/>
    <w:rsid w:val="00BF16D7"/>
    <w:rsid w:val="00BF2373"/>
    <w:rsid w:val="00C002F6"/>
    <w:rsid w:val="00C038B3"/>
    <w:rsid w:val="00C044E2"/>
    <w:rsid w:val="00C048CB"/>
    <w:rsid w:val="00C0510D"/>
    <w:rsid w:val="00C063E1"/>
    <w:rsid w:val="00C066F3"/>
    <w:rsid w:val="00C06865"/>
    <w:rsid w:val="00C07CA9"/>
    <w:rsid w:val="00C10783"/>
    <w:rsid w:val="00C11D58"/>
    <w:rsid w:val="00C15D43"/>
    <w:rsid w:val="00C20A7C"/>
    <w:rsid w:val="00C212D7"/>
    <w:rsid w:val="00C300DB"/>
    <w:rsid w:val="00C31D7A"/>
    <w:rsid w:val="00C33A49"/>
    <w:rsid w:val="00C366A9"/>
    <w:rsid w:val="00C40C81"/>
    <w:rsid w:val="00C44BB0"/>
    <w:rsid w:val="00C45293"/>
    <w:rsid w:val="00C45BBB"/>
    <w:rsid w:val="00C463DD"/>
    <w:rsid w:val="00C51E62"/>
    <w:rsid w:val="00C52FA8"/>
    <w:rsid w:val="00C55D60"/>
    <w:rsid w:val="00C566E1"/>
    <w:rsid w:val="00C579E9"/>
    <w:rsid w:val="00C6013F"/>
    <w:rsid w:val="00C601FC"/>
    <w:rsid w:val="00C62BD5"/>
    <w:rsid w:val="00C70809"/>
    <w:rsid w:val="00C7087B"/>
    <w:rsid w:val="00C73DCA"/>
    <w:rsid w:val="00C745C3"/>
    <w:rsid w:val="00C805A7"/>
    <w:rsid w:val="00C854A0"/>
    <w:rsid w:val="00C87DE6"/>
    <w:rsid w:val="00C94E07"/>
    <w:rsid w:val="00C96EF8"/>
    <w:rsid w:val="00C96F8B"/>
    <w:rsid w:val="00CA1DEC"/>
    <w:rsid w:val="00CA2221"/>
    <w:rsid w:val="00CA24A4"/>
    <w:rsid w:val="00CA2D5A"/>
    <w:rsid w:val="00CA3137"/>
    <w:rsid w:val="00CA5ECF"/>
    <w:rsid w:val="00CB348D"/>
    <w:rsid w:val="00CB34BE"/>
    <w:rsid w:val="00CB34EF"/>
    <w:rsid w:val="00CB763D"/>
    <w:rsid w:val="00CB7F81"/>
    <w:rsid w:val="00CC3786"/>
    <w:rsid w:val="00CC7FA2"/>
    <w:rsid w:val="00CD0CCA"/>
    <w:rsid w:val="00CD32AC"/>
    <w:rsid w:val="00CD46F5"/>
    <w:rsid w:val="00CD6889"/>
    <w:rsid w:val="00CD6C29"/>
    <w:rsid w:val="00CD6D46"/>
    <w:rsid w:val="00CE43F2"/>
    <w:rsid w:val="00CE4A8F"/>
    <w:rsid w:val="00CE52ED"/>
    <w:rsid w:val="00CE5678"/>
    <w:rsid w:val="00CF071D"/>
    <w:rsid w:val="00CF116C"/>
    <w:rsid w:val="00CF5355"/>
    <w:rsid w:val="00CF6713"/>
    <w:rsid w:val="00CF6CF6"/>
    <w:rsid w:val="00D002BC"/>
    <w:rsid w:val="00D01223"/>
    <w:rsid w:val="00D015A4"/>
    <w:rsid w:val="00D03452"/>
    <w:rsid w:val="00D10992"/>
    <w:rsid w:val="00D13230"/>
    <w:rsid w:val="00D15B04"/>
    <w:rsid w:val="00D2031B"/>
    <w:rsid w:val="00D20C7E"/>
    <w:rsid w:val="00D23C99"/>
    <w:rsid w:val="00D23EAC"/>
    <w:rsid w:val="00D25EC1"/>
    <w:rsid w:val="00D25FE2"/>
    <w:rsid w:val="00D26910"/>
    <w:rsid w:val="00D37DA9"/>
    <w:rsid w:val="00D406A7"/>
    <w:rsid w:val="00D4154E"/>
    <w:rsid w:val="00D42852"/>
    <w:rsid w:val="00D43252"/>
    <w:rsid w:val="00D44D86"/>
    <w:rsid w:val="00D470FF"/>
    <w:rsid w:val="00D50B7D"/>
    <w:rsid w:val="00D52012"/>
    <w:rsid w:val="00D52BFC"/>
    <w:rsid w:val="00D537C8"/>
    <w:rsid w:val="00D53878"/>
    <w:rsid w:val="00D542F4"/>
    <w:rsid w:val="00D55DEB"/>
    <w:rsid w:val="00D6104D"/>
    <w:rsid w:val="00D610FD"/>
    <w:rsid w:val="00D615AD"/>
    <w:rsid w:val="00D634A8"/>
    <w:rsid w:val="00D64AF4"/>
    <w:rsid w:val="00D66085"/>
    <w:rsid w:val="00D67056"/>
    <w:rsid w:val="00D674CE"/>
    <w:rsid w:val="00D67989"/>
    <w:rsid w:val="00D700C8"/>
    <w:rsid w:val="00D704E5"/>
    <w:rsid w:val="00D72727"/>
    <w:rsid w:val="00D731DD"/>
    <w:rsid w:val="00D76D6C"/>
    <w:rsid w:val="00D85957"/>
    <w:rsid w:val="00D90131"/>
    <w:rsid w:val="00D92801"/>
    <w:rsid w:val="00D978C6"/>
    <w:rsid w:val="00DA0956"/>
    <w:rsid w:val="00DA357F"/>
    <w:rsid w:val="00DA3E12"/>
    <w:rsid w:val="00DA60F2"/>
    <w:rsid w:val="00DA6421"/>
    <w:rsid w:val="00DB03B1"/>
    <w:rsid w:val="00DB0DB4"/>
    <w:rsid w:val="00DB33B2"/>
    <w:rsid w:val="00DB66FA"/>
    <w:rsid w:val="00DB7D90"/>
    <w:rsid w:val="00DC18AD"/>
    <w:rsid w:val="00DC2BF7"/>
    <w:rsid w:val="00DC3FE0"/>
    <w:rsid w:val="00DC4ADC"/>
    <w:rsid w:val="00DD03E4"/>
    <w:rsid w:val="00DD3245"/>
    <w:rsid w:val="00DD34DD"/>
    <w:rsid w:val="00DD5B43"/>
    <w:rsid w:val="00DE0451"/>
    <w:rsid w:val="00DE0CB9"/>
    <w:rsid w:val="00DE274B"/>
    <w:rsid w:val="00DE4BEA"/>
    <w:rsid w:val="00DE5105"/>
    <w:rsid w:val="00DF1A1E"/>
    <w:rsid w:val="00DF1CD2"/>
    <w:rsid w:val="00DF338A"/>
    <w:rsid w:val="00DF6A82"/>
    <w:rsid w:val="00DF6BE5"/>
    <w:rsid w:val="00DF7CAE"/>
    <w:rsid w:val="00E000F4"/>
    <w:rsid w:val="00E02011"/>
    <w:rsid w:val="00E03063"/>
    <w:rsid w:val="00E048B1"/>
    <w:rsid w:val="00E07907"/>
    <w:rsid w:val="00E100EA"/>
    <w:rsid w:val="00E13089"/>
    <w:rsid w:val="00E1392D"/>
    <w:rsid w:val="00E17645"/>
    <w:rsid w:val="00E1773B"/>
    <w:rsid w:val="00E20AF4"/>
    <w:rsid w:val="00E22894"/>
    <w:rsid w:val="00E23970"/>
    <w:rsid w:val="00E423C0"/>
    <w:rsid w:val="00E42D05"/>
    <w:rsid w:val="00E4345C"/>
    <w:rsid w:val="00E45732"/>
    <w:rsid w:val="00E55B5C"/>
    <w:rsid w:val="00E56858"/>
    <w:rsid w:val="00E6414C"/>
    <w:rsid w:val="00E6431F"/>
    <w:rsid w:val="00E66B8A"/>
    <w:rsid w:val="00E66DA2"/>
    <w:rsid w:val="00E7260F"/>
    <w:rsid w:val="00E742FA"/>
    <w:rsid w:val="00E76448"/>
    <w:rsid w:val="00E809AE"/>
    <w:rsid w:val="00E82C50"/>
    <w:rsid w:val="00E86772"/>
    <w:rsid w:val="00E8702D"/>
    <w:rsid w:val="00E87A68"/>
    <w:rsid w:val="00E916A9"/>
    <w:rsid w:val="00E916DE"/>
    <w:rsid w:val="00E92833"/>
    <w:rsid w:val="00E961AF"/>
    <w:rsid w:val="00E96630"/>
    <w:rsid w:val="00EA1E24"/>
    <w:rsid w:val="00EA1F8A"/>
    <w:rsid w:val="00EA3A71"/>
    <w:rsid w:val="00EA7439"/>
    <w:rsid w:val="00EB0CB0"/>
    <w:rsid w:val="00EB3610"/>
    <w:rsid w:val="00EB76C8"/>
    <w:rsid w:val="00EC0FC9"/>
    <w:rsid w:val="00EC22F4"/>
    <w:rsid w:val="00EC5662"/>
    <w:rsid w:val="00EC5713"/>
    <w:rsid w:val="00ED18DC"/>
    <w:rsid w:val="00ED40F1"/>
    <w:rsid w:val="00ED6201"/>
    <w:rsid w:val="00ED7A2A"/>
    <w:rsid w:val="00EE082F"/>
    <w:rsid w:val="00EE11A9"/>
    <w:rsid w:val="00EE17C0"/>
    <w:rsid w:val="00EE1831"/>
    <w:rsid w:val="00EE4832"/>
    <w:rsid w:val="00EF1C28"/>
    <w:rsid w:val="00EF1D7F"/>
    <w:rsid w:val="00EF4426"/>
    <w:rsid w:val="00EF4F78"/>
    <w:rsid w:val="00EF6A75"/>
    <w:rsid w:val="00F0137E"/>
    <w:rsid w:val="00F015EB"/>
    <w:rsid w:val="00F04FA0"/>
    <w:rsid w:val="00F11959"/>
    <w:rsid w:val="00F13A45"/>
    <w:rsid w:val="00F15C6B"/>
    <w:rsid w:val="00F17680"/>
    <w:rsid w:val="00F21786"/>
    <w:rsid w:val="00F228BF"/>
    <w:rsid w:val="00F26B72"/>
    <w:rsid w:val="00F33694"/>
    <w:rsid w:val="00F3485A"/>
    <w:rsid w:val="00F3742B"/>
    <w:rsid w:val="00F41FDB"/>
    <w:rsid w:val="00F42BC9"/>
    <w:rsid w:val="00F43786"/>
    <w:rsid w:val="00F463E9"/>
    <w:rsid w:val="00F4743F"/>
    <w:rsid w:val="00F5337D"/>
    <w:rsid w:val="00F539FC"/>
    <w:rsid w:val="00F56D63"/>
    <w:rsid w:val="00F609A9"/>
    <w:rsid w:val="00F60A78"/>
    <w:rsid w:val="00F7081D"/>
    <w:rsid w:val="00F73034"/>
    <w:rsid w:val="00F73F1E"/>
    <w:rsid w:val="00F80C99"/>
    <w:rsid w:val="00F84167"/>
    <w:rsid w:val="00F847AB"/>
    <w:rsid w:val="00F867EC"/>
    <w:rsid w:val="00F8702E"/>
    <w:rsid w:val="00F91B2B"/>
    <w:rsid w:val="00F92D0B"/>
    <w:rsid w:val="00F951B3"/>
    <w:rsid w:val="00FA3DC8"/>
    <w:rsid w:val="00FA6054"/>
    <w:rsid w:val="00FA6DB8"/>
    <w:rsid w:val="00FB09DD"/>
    <w:rsid w:val="00FB14A0"/>
    <w:rsid w:val="00FB50CE"/>
    <w:rsid w:val="00FB7073"/>
    <w:rsid w:val="00FC03CD"/>
    <w:rsid w:val="00FC051D"/>
    <w:rsid w:val="00FC0646"/>
    <w:rsid w:val="00FC0826"/>
    <w:rsid w:val="00FC44EB"/>
    <w:rsid w:val="00FC68B7"/>
    <w:rsid w:val="00FD0EA9"/>
    <w:rsid w:val="00FD60F9"/>
    <w:rsid w:val="00FD6213"/>
    <w:rsid w:val="00FE3A71"/>
    <w:rsid w:val="00FE3C3C"/>
    <w:rsid w:val="00FE5302"/>
    <w:rsid w:val="00FE593F"/>
    <w:rsid w:val="00FE6985"/>
    <w:rsid w:val="00FF17D4"/>
    <w:rsid w:val="00FF2520"/>
    <w:rsid w:val="00FF4407"/>
    <w:rsid w:val="00FF4971"/>
    <w:rsid w:val="00FF5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DD91C1"/>
  <w15:docId w15:val="{A862CDC8-FD4B-4C17-9E16-2977BA81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E"/>
    <w:pPr>
      <w:spacing w:line="260" w:lineRule="atLeast"/>
    </w:pPr>
    <w:rPr>
      <w:rFonts w:eastAsia="Batang"/>
      <w:sz w:val="21"/>
      <w:lang w:val="nl-NL"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A1DEC"/>
    <w:pPr>
      <w:spacing w:line="240" w:lineRule="auto"/>
      <w:outlineLvl w:val="1"/>
    </w:pPr>
  </w:style>
  <w:style w:type="paragraph" w:styleId="Heading3">
    <w:name w:val="heading 3"/>
    <w:basedOn w:val="Normal"/>
    <w:next w:val="Normal"/>
    <w:qFormat/>
    <w:rsid w:val="00CA1DEC"/>
    <w:pPr>
      <w:spacing w:line="240" w:lineRule="auto"/>
      <w:outlineLvl w:val="2"/>
    </w:pPr>
  </w:style>
  <w:style w:type="paragraph" w:styleId="Heading4">
    <w:name w:val="heading 4"/>
    <w:basedOn w:val="Normal"/>
    <w:next w:val="Normal"/>
    <w:qFormat/>
    <w:rsid w:val="00CA1DEC"/>
    <w:pPr>
      <w:spacing w:line="240" w:lineRule="auto"/>
      <w:outlineLvl w:val="3"/>
    </w:pPr>
  </w:style>
  <w:style w:type="paragraph" w:styleId="Heading5">
    <w:name w:val="heading 5"/>
    <w:basedOn w:val="Normal"/>
    <w:next w:val="Normal"/>
    <w:qFormat/>
    <w:rsid w:val="00CA1DEC"/>
    <w:pPr>
      <w:spacing w:line="240" w:lineRule="auto"/>
      <w:outlineLvl w:val="4"/>
    </w:pPr>
  </w:style>
  <w:style w:type="paragraph" w:styleId="Heading6">
    <w:name w:val="heading 6"/>
    <w:basedOn w:val="Normal"/>
    <w:next w:val="Normal"/>
    <w:qFormat/>
    <w:rsid w:val="00CA1DEC"/>
    <w:pPr>
      <w:spacing w:line="240" w:lineRule="auto"/>
      <w:outlineLvl w:val="5"/>
    </w:pPr>
  </w:style>
  <w:style w:type="paragraph" w:styleId="Heading7">
    <w:name w:val="heading 7"/>
    <w:basedOn w:val="Normal"/>
    <w:next w:val="Normal"/>
    <w:qFormat/>
    <w:rsid w:val="00CA1DEC"/>
    <w:pPr>
      <w:spacing w:line="240" w:lineRule="auto"/>
      <w:outlineLvl w:val="6"/>
    </w:pPr>
  </w:style>
  <w:style w:type="paragraph" w:styleId="Heading8">
    <w:name w:val="heading 8"/>
    <w:basedOn w:val="Normal"/>
    <w:next w:val="Normal"/>
    <w:qFormat/>
    <w:rsid w:val="00CA1DEC"/>
    <w:pPr>
      <w:spacing w:line="240" w:lineRule="auto"/>
      <w:outlineLvl w:val="7"/>
    </w:pPr>
  </w:style>
  <w:style w:type="paragraph" w:styleId="Heading9">
    <w:name w:val="heading 9"/>
    <w:basedOn w:val="Normal"/>
    <w:next w:val="Normal"/>
    <w:qFormat/>
    <w:rsid w:val="00CA1D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1DEC"/>
    <w:pPr>
      <w:spacing w:after="120"/>
      <w:ind w:left="1134" w:right="1134"/>
      <w:jc w:val="both"/>
    </w:pPr>
  </w:style>
  <w:style w:type="paragraph" w:customStyle="1" w:styleId="HMG">
    <w:name w:val="_ H __M_G"/>
    <w:basedOn w:val="Normal"/>
    <w:next w:val="Normal"/>
    <w:rsid w:val="00CA1D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A1DEC"/>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rsid w:val="00CA1D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A1D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A1D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Caption">
    <w:name w:val="caption"/>
    <w:basedOn w:val="Normal"/>
    <w:next w:val="Normal"/>
    <w:qFormat/>
    <w:rsid w:val="00BA17D7"/>
    <w:pPr>
      <w:jc w:val="both"/>
    </w:pPr>
    <w:rPr>
      <w:b/>
      <w:sz w:val="24"/>
      <w:lang w:val="en-GB"/>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customStyle="1" w:styleId="Style1">
    <w:name w:val="Style1"/>
    <w:basedOn w:val="Normal"/>
    <w:rsid w:val="00BA17D7"/>
    <w:pPr>
      <w:widowControl w:val="0"/>
      <w:spacing w:line="240" w:lineRule="auto"/>
      <w:jc w:val="both"/>
    </w:pPr>
    <w:rPr>
      <w:rFonts w:eastAsia="Times New Roman"/>
      <w:snapToGrid w:val="0"/>
      <w:sz w:val="24"/>
      <w:lang w:val="en-US"/>
    </w:rPr>
  </w:style>
  <w:style w:type="character" w:customStyle="1" w:styleId="SingleTxtGChar">
    <w:name w:val="_ Single Txt_G Char"/>
    <w:link w:val="SingleTxtG"/>
    <w:rsid w:val="004B2983"/>
    <w:rPr>
      <w:rFonts w:eastAsia="Batang"/>
      <w:sz w:val="21"/>
      <w:lang w:val="nl-NL"/>
    </w:rPr>
  </w:style>
  <w:style w:type="character" w:customStyle="1" w:styleId="HeaderChar">
    <w:name w:val="Header Char"/>
    <w:aliases w:val="6_G Char"/>
    <w:link w:val="Header"/>
    <w:locked/>
    <w:rsid w:val="0088382F"/>
    <w:rPr>
      <w:rFonts w:eastAsia="Batang"/>
      <w:b/>
      <w:sz w:val="18"/>
      <w:lang w:val="nl-NL" w:eastAsia="en-US" w:bidi="ar-SA"/>
    </w:rPr>
  </w:style>
  <w:style w:type="character" w:customStyle="1" w:styleId="H23GChar">
    <w:name w:val="_ H_2/3_G Char"/>
    <w:link w:val="H23G"/>
    <w:rsid w:val="00382AB1"/>
    <w:rPr>
      <w:rFonts w:eastAsia="Batang"/>
      <w:b/>
      <w:sz w:val="21"/>
      <w:lang w:val="nl-NL" w:eastAsia="en-US" w:bidi="ar-SA"/>
    </w:rPr>
  </w:style>
  <w:style w:type="character" w:customStyle="1" w:styleId="H4GChar">
    <w:name w:val="_ H_4_G Char"/>
    <w:link w:val="H4G"/>
    <w:rsid w:val="00382AB1"/>
    <w:rPr>
      <w:rFonts w:eastAsia="Batang"/>
      <w:i/>
      <w:sz w:val="21"/>
      <w:lang w:val="nl-NL" w:eastAsia="en-US" w:bidi="ar-SA"/>
    </w:rPr>
  </w:style>
  <w:style w:type="character" w:styleId="CommentReference">
    <w:name w:val="annotation reference"/>
    <w:semiHidden/>
    <w:rsid w:val="00B3700B"/>
    <w:rPr>
      <w:rFonts w:ascii="Arial" w:hAnsi="Arial"/>
      <w:sz w:val="16"/>
    </w:rPr>
  </w:style>
  <w:style w:type="paragraph" w:styleId="CommentText">
    <w:name w:val="annotation text"/>
    <w:basedOn w:val="Normal"/>
    <w:link w:val="CommentTextChar"/>
    <w:semiHidden/>
    <w:rsid w:val="00B3700B"/>
    <w:pPr>
      <w:tabs>
        <w:tab w:val="left" w:pos="425"/>
        <w:tab w:val="left" w:pos="851"/>
        <w:tab w:val="left" w:pos="1276"/>
      </w:tabs>
      <w:spacing w:line="240" w:lineRule="auto"/>
      <w:jc w:val="both"/>
    </w:pPr>
    <w:rPr>
      <w:rFonts w:ascii="Arial" w:eastAsia="Times New Roman" w:hAnsi="Arial"/>
      <w:color w:val="000000"/>
      <w:sz w:val="18"/>
      <w:lang w:val="de-DE" w:eastAsia="de-DE"/>
    </w:rPr>
  </w:style>
  <w:style w:type="paragraph" w:styleId="Title">
    <w:name w:val="Title"/>
    <w:basedOn w:val="Normal"/>
    <w:qFormat/>
    <w:rsid w:val="00B3700B"/>
    <w:pPr>
      <w:spacing w:line="240" w:lineRule="auto"/>
      <w:jc w:val="center"/>
    </w:pPr>
    <w:rPr>
      <w:rFonts w:ascii="Arial" w:eastAsia="Times New Roman" w:hAnsi="Arial"/>
      <w:b/>
      <w:sz w:val="22"/>
      <w:lang w:val="en-GB" w:eastAsia="de-DE"/>
    </w:rPr>
  </w:style>
  <w:style w:type="paragraph" w:customStyle="1" w:styleId="NoteHead">
    <w:name w:val="NoteHead"/>
    <w:basedOn w:val="Normal"/>
    <w:next w:val="Normal"/>
    <w:rsid w:val="00B3700B"/>
    <w:pPr>
      <w:spacing w:before="720" w:after="720" w:line="240" w:lineRule="auto"/>
      <w:jc w:val="center"/>
    </w:pPr>
    <w:rPr>
      <w:rFonts w:eastAsia="Times New Roman"/>
      <w:b/>
      <w:smallCaps/>
      <w:sz w:val="24"/>
      <w:lang w:val="en-GB"/>
    </w:rPr>
  </w:style>
  <w:style w:type="character" w:customStyle="1" w:styleId="HChGChar">
    <w:name w:val="_ H _Ch_G Char"/>
    <w:link w:val="HChG"/>
    <w:rsid w:val="00B3700B"/>
    <w:rPr>
      <w:rFonts w:eastAsia="Batang"/>
      <w:b/>
      <w:sz w:val="28"/>
      <w:lang w:val="nl-NL" w:eastAsia="en-US" w:bidi="ar-SA"/>
    </w:rPr>
  </w:style>
  <w:style w:type="character" w:customStyle="1" w:styleId="standardsqueryform-key1">
    <w:name w:val="standardsqueryform-key1"/>
    <w:rsid w:val="00887F5F"/>
    <w:rPr>
      <w:rFonts w:ascii="Verdana" w:hAnsi="Verdana" w:hint="default"/>
      <w:color w:val="696969"/>
      <w:sz w:val="18"/>
      <w:szCs w:val="18"/>
    </w:rPr>
  </w:style>
  <w:style w:type="paragraph" w:styleId="BalloonText">
    <w:name w:val="Balloon Text"/>
    <w:basedOn w:val="Normal"/>
    <w:link w:val="BalloonTextChar"/>
    <w:rsid w:val="003445F1"/>
    <w:pPr>
      <w:spacing w:line="240" w:lineRule="auto"/>
    </w:pPr>
    <w:rPr>
      <w:rFonts w:ascii="Tahoma" w:hAnsi="Tahoma" w:cs="Tahoma"/>
      <w:sz w:val="16"/>
      <w:szCs w:val="16"/>
    </w:rPr>
  </w:style>
  <w:style w:type="character" w:customStyle="1" w:styleId="BalloonTextChar">
    <w:name w:val="Balloon Text Char"/>
    <w:link w:val="BalloonText"/>
    <w:rsid w:val="003445F1"/>
    <w:rPr>
      <w:rFonts w:ascii="Tahoma" w:eastAsia="Batang" w:hAnsi="Tahoma" w:cs="Tahoma"/>
      <w:sz w:val="16"/>
      <w:szCs w:val="16"/>
      <w:lang w:val="nl-NL" w:eastAsia="en-US"/>
    </w:rPr>
  </w:style>
  <w:style w:type="character" w:customStyle="1" w:styleId="H1GChar">
    <w:name w:val="_ H_1_G Char"/>
    <w:link w:val="H1G"/>
    <w:locked/>
    <w:rsid w:val="00A1352D"/>
    <w:rPr>
      <w:rFonts w:eastAsia="Batang"/>
      <w:b/>
      <w:sz w:val="24"/>
      <w:lang w:val="nl-NL" w:eastAsia="en-US"/>
    </w:rPr>
  </w:style>
  <w:style w:type="paragraph" w:styleId="CommentSubject">
    <w:name w:val="annotation subject"/>
    <w:basedOn w:val="CommentText"/>
    <w:next w:val="CommentText"/>
    <w:link w:val="CommentSubjectChar"/>
    <w:semiHidden/>
    <w:unhideWhenUsed/>
    <w:rsid w:val="00FB09DD"/>
    <w:pPr>
      <w:tabs>
        <w:tab w:val="clear" w:pos="425"/>
        <w:tab w:val="clear" w:pos="851"/>
        <w:tab w:val="clear" w:pos="1276"/>
      </w:tabs>
      <w:spacing w:line="260" w:lineRule="atLeast"/>
      <w:jc w:val="left"/>
    </w:pPr>
    <w:rPr>
      <w:rFonts w:ascii="Times New Roman" w:eastAsia="Batang" w:hAnsi="Times New Roman"/>
      <w:b/>
      <w:bCs/>
      <w:color w:val="auto"/>
      <w:sz w:val="20"/>
      <w:lang w:val="nl-NL" w:eastAsia="en-US"/>
    </w:rPr>
  </w:style>
  <w:style w:type="character" w:customStyle="1" w:styleId="CommentTextChar">
    <w:name w:val="Comment Text Char"/>
    <w:basedOn w:val="DefaultParagraphFont"/>
    <w:link w:val="CommentText"/>
    <w:semiHidden/>
    <w:rsid w:val="00FB09DD"/>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FB09DD"/>
    <w:rPr>
      <w:rFonts w:ascii="Arial" w:eastAsia="Batang" w:hAnsi="Arial"/>
      <w:b/>
      <w:bCs/>
      <w:color w:val="000000"/>
      <w:sz w:val="18"/>
      <w:lang w:val="nl-NL" w:eastAsia="en-US"/>
    </w:rPr>
  </w:style>
  <w:style w:type="character" w:customStyle="1" w:styleId="FooterChar">
    <w:name w:val="Footer Char"/>
    <w:aliases w:val="3_G Char"/>
    <w:basedOn w:val="DefaultParagraphFont"/>
    <w:link w:val="Footer"/>
    <w:uiPriority w:val="99"/>
    <w:rsid w:val="008B7917"/>
    <w:rPr>
      <w:rFonts w:eastAsia="Batang"/>
      <w:sz w:val="16"/>
      <w:lang w:val="nl-NL" w:eastAsia="en-US"/>
    </w:rPr>
  </w:style>
  <w:style w:type="paragraph" w:styleId="ListParagraph">
    <w:name w:val="List Paragraph"/>
    <w:basedOn w:val="Normal"/>
    <w:uiPriority w:val="34"/>
    <w:qFormat/>
    <w:rsid w:val="00EC5662"/>
    <w:pPr>
      <w:ind w:left="720"/>
      <w:contextualSpacing/>
    </w:pPr>
  </w:style>
  <w:style w:type="paragraph" w:customStyle="1" w:styleId="Default">
    <w:name w:val="Default"/>
    <w:rsid w:val="007E7DFD"/>
    <w:pPr>
      <w:autoSpaceDE w:val="0"/>
      <w:autoSpaceDN w:val="0"/>
      <w:adjustRightInd w:val="0"/>
    </w:pPr>
    <w:rPr>
      <w:color w:val="000000"/>
      <w:sz w:val="24"/>
      <w:szCs w:val="24"/>
    </w:rPr>
  </w:style>
  <w:style w:type="paragraph" w:styleId="Revision">
    <w:name w:val="Revision"/>
    <w:hidden/>
    <w:uiPriority w:val="99"/>
    <w:semiHidden/>
    <w:rsid w:val="00656451"/>
    <w:rPr>
      <w:rFonts w:eastAsia="Batang"/>
      <w:sz w:val="21"/>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8110">
      <w:bodyDiv w:val="1"/>
      <w:marLeft w:val="0"/>
      <w:marRight w:val="0"/>
      <w:marTop w:val="0"/>
      <w:marBottom w:val="0"/>
      <w:divBdr>
        <w:top w:val="none" w:sz="0" w:space="0" w:color="auto"/>
        <w:left w:val="none" w:sz="0" w:space="0" w:color="auto"/>
        <w:bottom w:val="none" w:sz="0" w:space="0" w:color="auto"/>
        <w:right w:val="none" w:sz="0" w:space="0" w:color="auto"/>
      </w:divBdr>
    </w:div>
    <w:div w:id="1264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29E6-ECEF-4FA7-AA33-AEA0B84B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8459</Characters>
  <Application>Microsoft Office Word</Application>
  <DocSecurity>4</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Manager/>
  <Company>UNECE</Company>
  <LinksUpToDate>false</LinksUpToDate>
  <CharactersWithSpaces>9924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CCMC</cp:lastModifiedBy>
  <cp:revision>2</cp:revision>
  <cp:lastPrinted>2012-03-12T11:56:00Z</cp:lastPrinted>
  <dcterms:created xsi:type="dcterms:W3CDTF">2017-09-26T15:29:00Z</dcterms:created>
  <dcterms:modified xsi:type="dcterms:W3CDTF">2017-09-26T15:29:00Z</dcterms:modified>
  <cp:category/>
</cp:coreProperties>
</file>