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0338FC">
            <w:pPr>
              <w:suppressAutoHyphens w:val="0"/>
              <w:spacing w:after="20"/>
              <w:jc w:val="right"/>
              <w:rPr>
                <w:b/>
                <w:sz w:val="24"/>
                <w:szCs w:val="24"/>
              </w:rPr>
            </w:pPr>
            <w:r w:rsidRPr="00507993">
              <w:rPr>
                <w:b/>
                <w:sz w:val="24"/>
                <w:szCs w:val="24"/>
              </w:rPr>
              <w:t>INF.</w:t>
            </w:r>
            <w:r w:rsidR="000338FC">
              <w:rPr>
                <w:b/>
                <w:sz w:val="24"/>
                <w:szCs w:val="24"/>
              </w:rPr>
              <w:t>43</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0338FC">
        <w:rPr>
          <w:b/>
        </w:rPr>
        <w:t>20 September</w:t>
      </w:r>
      <w:r w:rsidR="00CE4B11">
        <w:rPr>
          <w:b/>
        </w:rPr>
        <w:t xml:space="preserve"> 2017</w:t>
      </w:r>
    </w:p>
    <w:p w:rsidR="009D2A5B" w:rsidRDefault="005501AB" w:rsidP="00BB7CD1">
      <w:r>
        <w:t>Geneva</w:t>
      </w:r>
      <w:r w:rsidR="00BB7CD1">
        <w:t xml:space="preserve">, </w:t>
      </w:r>
      <w:r w:rsidR="00D65303">
        <w:t>1</w:t>
      </w:r>
      <w:r>
        <w:t>9</w:t>
      </w:r>
      <w:r w:rsidR="003B311A">
        <w:t>-</w:t>
      </w:r>
      <w:r>
        <w:t>29</w:t>
      </w:r>
      <w:r w:rsidR="00F66565">
        <w:t xml:space="preserve"> </w:t>
      </w:r>
      <w:r>
        <w:t>September</w:t>
      </w:r>
      <w:r w:rsidR="00BB7CD1">
        <w:t xml:space="preserve"> 201</w:t>
      </w:r>
      <w:r w:rsidR="00A47A60">
        <w:t>7</w:t>
      </w:r>
    </w:p>
    <w:p w:rsidR="00AE4840" w:rsidRPr="00A55B4D" w:rsidRDefault="00AE4840" w:rsidP="00AE4840">
      <w:r w:rsidRPr="00A55B4D">
        <w:t xml:space="preserve">Item </w:t>
      </w:r>
      <w:r w:rsidR="00702485">
        <w:t>10</w:t>
      </w:r>
      <w:r w:rsidR="005501AB">
        <w:t xml:space="preserve"> </w:t>
      </w:r>
      <w:r w:rsidRPr="00A55B4D">
        <w:t>of the provisional agenda</w:t>
      </w:r>
    </w:p>
    <w:p w:rsidR="00BB7CD1" w:rsidRPr="00BB7CD1" w:rsidRDefault="00702485" w:rsidP="00AE4840">
      <w:pPr>
        <w:rPr>
          <w:b/>
        </w:rPr>
      </w:pPr>
      <w:r>
        <w:rPr>
          <w:b/>
        </w:rPr>
        <w:t>Future work</w:t>
      </w:r>
    </w:p>
    <w:p w:rsidR="00702485" w:rsidRDefault="009B1518" w:rsidP="000338FC">
      <w:pPr>
        <w:pStyle w:val="HChG"/>
      </w:pPr>
      <w:r>
        <w:tab/>
      </w:r>
      <w:r>
        <w:tab/>
      </w:r>
      <w:r w:rsidR="00702485" w:rsidRPr="006A13CC">
        <w:rPr>
          <w:lang w:val="en-GB"/>
        </w:rPr>
        <w:t xml:space="preserve">ADR - </w:t>
      </w:r>
      <w:r w:rsidR="00CA56B7">
        <w:rPr>
          <w:lang w:val="en-GB"/>
        </w:rPr>
        <w:t xml:space="preserve">Comments on the </w:t>
      </w:r>
      <w:r w:rsidR="00702485">
        <w:rPr>
          <w:lang w:val="en-GB"/>
        </w:rPr>
        <w:t xml:space="preserve">notification </w:t>
      </w:r>
      <w:r w:rsidR="00702485" w:rsidRPr="00E76C27">
        <w:t>C.N.345.2017.TREATIES of 3 July 2017 (Proposals of amendments to Annexes A and B, as amended)</w:t>
      </w:r>
    </w:p>
    <w:p w:rsidR="00894B0D" w:rsidRPr="00D467F3" w:rsidRDefault="00E01D68" w:rsidP="000338FC">
      <w:pPr>
        <w:pStyle w:val="H1G"/>
      </w:pPr>
      <w:r>
        <w:rPr>
          <w:lang w:val="x-none"/>
        </w:rPr>
        <w:tab/>
      </w:r>
      <w:r>
        <w:rPr>
          <w:lang w:val="x-none"/>
        </w:rPr>
        <w:tab/>
      </w:r>
      <w:r w:rsidR="00D4024F">
        <w:t>Transmitted by the European</w:t>
      </w:r>
      <w:r w:rsidR="00C11A5B">
        <w:t xml:space="preserve"> </w:t>
      </w:r>
      <w:r w:rsidR="00DB37B2">
        <w:t xml:space="preserve">Commission </w:t>
      </w:r>
    </w:p>
    <w:p w:rsidR="00C11A5B" w:rsidRDefault="000338FC" w:rsidP="000338FC">
      <w:pPr>
        <w:pStyle w:val="SingleTxtG"/>
      </w:pPr>
      <w:r>
        <w:tab/>
      </w:r>
      <w:r>
        <w:rPr>
          <w:lang w:val="fr-CH"/>
        </w:rPr>
        <w:t>1.</w:t>
      </w:r>
      <w:r>
        <w:rPr>
          <w:lang w:val="fr-CH"/>
        </w:rPr>
        <w:tab/>
      </w:r>
      <w:r w:rsidR="00D4024F" w:rsidRPr="006A13CC">
        <w:t>At the 102</w:t>
      </w:r>
      <w:r w:rsidR="00D4024F" w:rsidRPr="006A13CC">
        <w:rPr>
          <w:vertAlign w:val="superscript"/>
        </w:rPr>
        <w:t>nd</w:t>
      </w:r>
      <w:r w:rsidR="00D4024F" w:rsidRPr="006A13CC">
        <w:t xml:space="preserve"> session of the Working Party on Transport of Dangerous Goods (WP.15) held in Geneva from 8 to 11 May 2017, a series of corrections to the ADR were adopted. After the meeting and at the moment of publication of the report</w:t>
      </w:r>
      <w:r w:rsidR="00D4024F" w:rsidRPr="00D4024F">
        <w:rPr>
          <w:vertAlign w:val="superscript"/>
        </w:rPr>
        <w:footnoteReference w:id="2"/>
      </w:r>
      <w:r w:rsidR="00D4024F" w:rsidRPr="006A13CC">
        <w:t xml:space="preserve"> of the WP.15 on UNECE website, the set of corrections adopted was divided in two parts: </w:t>
      </w:r>
    </w:p>
    <w:p w:rsidR="00C11A5B" w:rsidRDefault="000338FC" w:rsidP="000338FC">
      <w:pPr>
        <w:pStyle w:val="SingleTxtG"/>
      </w:pPr>
      <w:r>
        <w:rPr>
          <w:lang w:val="fr-CH"/>
        </w:rPr>
        <w:tab/>
      </w:r>
      <w:r>
        <w:rPr>
          <w:lang w:val="fr-CH"/>
        </w:rPr>
        <w:tab/>
        <w:t>a.</w:t>
      </w:r>
      <w:r>
        <w:rPr>
          <w:lang w:val="fr-CH"/>
        </w:rPr>
        <w:tab/>
      </w:r>
      <w:r w:rsidR="00D4024F" w:rsidRPr="006A13CC">
        <w:t>Annex II – Corrections to the annexes A and B to ADR</w:t>
      </w:r>
      <w:r w:rsidR="00C11A5B">
        <w:t>,</w:t>
      </w:r>
      <w:r w:rsidR="00D4024F" w:rsidRPr="006A13CC">
        <w:t xml:space="preserve"> and</w:t>
      </w:r>
    </w:p>
    <w:p w:rsidR="00D4024F" w:rsidRDefault="000338FC" w:rsidP="000338FC">
      <w:pPr>
        <w:pStyle w:val="SingleTxtG"/>
      </w:pPr>
      <w:r>
        <w:rPr>
          <w:lang w:val="fr-CH"/>
        </w:rPr>
        <w:tab/>
      </w:r>
      <w:r>
        <w:rPr>
          <w:lang w:val="fr-CH"/>
        </w:rPr>
        <w:tab/>
      </w:r>
      <w:bookmarkStart w:id="0" w:name="_GoBack"/>
      <w:bookmarkEnd w:id="0"/>
      <w:r>
        <w:rPr>
          <w:lang w:val="fr-CH"/>
        </w:rPr>
        <w:t>b.</w:t>
      </w:r>
      <w:r>
        <w:rPr>
          <w:lang w:val="fr-CH"/>
        </w:rPr>
        <w:tab/>
      </w:r>
      <w:r w:rsidR="00D4024F" w:rsidRPr="006A13CC">
        <w:t>Annex III – Draft amendments to annexes A and B of ADR</w:t>
      </w:r>
      <w:r w:rsidR="00C11A5B">
        <w:t xml:space="preserve"> </w:t>
      </w:r>
      <w:r w:rsidR="00D4024F" w:rsidRPr="00C11A5B">
        <w:t>adopted by the working party for entry into force as soon as possible.</w:t>
      </w:r>
    </w:p>
    <w:p w:rsidR="00D4024F" w:rsidRPr="00C11A5B" w:rsidRDefault="000338FC" w:rsidP="000338FC">
      <w:pPr>
        <w:pStyle w:val="SingleTxtG"/>
      </w:pPr>
      <w:r>
        <w:rPr>
          <w:lang w:val="fr-CH"/>
        </w:rPr>
        <w:t>2.</w:t>
      </w:r>
      <w:r>
        <w:rPr>
          <w:lang w:val="fr-CH"/>
        </w:rPr>
        <w:tab/>
      </w:r>
      <w:r w:rsidR="00D4024F" w:rsidRPr="00C11A5B">
        <w:t>Annex III of the Report of the session</w:t>
      </w:r>
      <w:r w:rsidR="00D4024F" w:rsidRPr="00D4024F">
        <w:rPr>
          <w:vertAlign w:val="superscript"/>
        </w:rPr>
        <w:footnoteReference w:id="3"/>
      </w:r>
      <w:r w:rsidR="00D4024F" w:rsidRPr="00C11A5B">
        <w:t xml:space="preserve"> adds what follows:</w:t>
      </w:r>
    </w:p>
    <w:p w:rsidR="00D4024F" w:rsidRPr="000338FC" w:rsidRDefault="00D4024F" w:rsidP="000338FC">
      <w:pPr>
        <w:suppressAutoHyphens w:val="0"/>
        <w:spacing w:before="240" w:after="240" w:line="240" w:lineRule="auto"/>
        <w:ind w:left="1134" w:right="1134"/>
        <w:jc w:val="both"/>
        <w:rPr>
          <w:i/>
          <w:iCs/>
        </w:rPr>
      </w:pPr>
      <w:r w:rsidRPr="000338FC">
        <w:t>"</w:t>
      </w:r>
      <w:r w:rsidRPr="000338FC">
        <w:rPr>
          <w:b/>
          <w:bCs/>
          <w:i/>
          <w:iCs/>
        </w:rPr>
        <w:t xml:space="preserve">Note by the secretariat: </w:t>
      </w:r>
      <w:r w:rsidRPr="000338FC">
        <w:rPr>
          <w:i/>
          <w:iCs/>
        </w:rPr>
        <w:t xml:space="preserve">The draft amendments below were adopted by the Working Party as corrections. However, following the adoption of the report, the Treaty Section of the United Nations Office of Legal Affairs has been consulted and has expressed the view that most of the proposed corrections </w:t>
      </w:r>
      <w:r w:rsidRPr="000338FC">
        <w:rPr>
          <w:b/>
          <w:i/>
          <w:iCs/>
          <w:u w:val="single"/>
        </w:rPr>
        <w:t>did not meet the criteria for corrections of errors</w:t>
      </w:r>
      <w:r w:rsidRPr="000338FC">
        <w:rPr>
          <w:i/>
          <w:iCs/>
        </w:rPr>
        <w:t xml:space="preserve"> or of a lack of concordance in the original of a multilateral treaty, as set out in the Summary of practice of the Secretary-General as depositary of multilateral treaties, </w:t>
      </w:r>
      <w:r w:rsidRPr="000338FC">
        <w:rPr>
          <w:b/>
          <w:i/>
          <w:iCs/>
          <w:u w:val="single"/>
        </w:rPr>
        <w:t>and should be treated as amendments</w:t>
      </w:r>
      <w:r w:rsidRPr="000338FC">
        <w:rPr>
          <w:i/>
          <w:iCs/>
        </w:rPr>
        <w:t xml:space="preserve">. As a consequence, the Chairman of the Working Party has informed the secretariat that Portugal would submit </w:t>
      </w:r>
      <w:r w:rsidRPr="000338FC">
        <w:rPr>
          <w:b/>
          <w:i/>
          <w:iCs/>
          <w:u w:val="single"/>
        </w:rPr>
        <w:t>a proposal of amendments</w:t>
      </w:r>
      <w:r w:rsidRPr="000338FC">
        <w:rPr>
          <w:i/>
          <w:iCs/>
        </w:rPr>
        <w:t xml:space="preserve"> in accordance with the procedure of Article 14 (3) of the ADR.</w:t>
      </w:r>
      <w:proofErr w:type="gramStart"/>
      <w:r w:rsidRPr="000338FC">
        <w:rPr>
          <w:i/>
          <w:iCs/>
        </w:rPr>
        <w:t>".</w:t>
      </w:r>
      <w:proofErr w:type="gramEnd"/>
    </w:p>
    <w:p w:rsidR="00D4024F" w:rsidRDefault="000338FC" w:rsidP="000338FC">
      <w:pPr>
        <w:pStyle w:val="SingleTxtG"/>
        <w:rPr>
          <w:iCs/>
        </w:rPr>
      </w:pPr>
      <w:r>
        <w:rPr>
          <w:iCs/>
          <w:lang w:val="fr-CH"/>
        </w:rPr>
        <w:t>3.</w:t>
      </w:r>
      <w:r>
        <w:rPr>
          <w:iCs/>
          <w:lang w:val="fr-CH"/>
        </w:rPr>
        <w:tab/>
      </w:r>
      <w:r w:rsidR="00D4024F" w:rsidRPr="006A13CC">
        <w:rPr>
          <w:iCs/>
        </w:rPr>
        <w:t xml:space="preserve">The </w:t>
      </w:r>
      <w:r w:rsidR="00D4024F" w:rsidRPr="006A13CC">
        <w:t xml:space="preserve">new set of amendments to the ADR was notified by the Secretary General of the United Nations in C.N.345.2017.TREATIES of 3 July 2017 (Proposals of amendments to Annexes </w:t>
      </w:r>
      <w:r w:rsidR="00D4024F" w:rsidRPr="006A13CC">
        <w:lastRenderedPageBreak/>
        <w:t>A and B, as amended)</w:t>
      </w:r>
      <w:r w:rsidR="00D4024F" w:rsidRPr="00D4024F">
        <w:rPr>
          <w:vertAlign w:val="superscript"/>
        </w:rPr>
        <w:footnoteReference w:id="4"/>
      </w:r>
      <w:r w:rsidR="00D4024F" w:rsidRPr="006A13CC">
        <w:t>.</w:t>
      </w:r>
      <w:r w:rsidR="00D4024F" w:rsidRPr="006A13CC">
        <w:rPr>
          <w:b/>
        </w:rPr>
        <w:t xml:space="preserve"> </w:t>
      </w:r>
      <w:r w:rsidR="00D4024F" w:rsidRPr="006A13CC">
        <w:t>The amendments</w:t>
      </w:r>
      <w:r w:rsidR="00D4024F" w:rsidRPr="006A13CC">
        <w:rPr>
          <w:b/>
        </w:rPr>
        <w:t xml:space="preserve"> </w:t>
      </w:r>
      <w:r w:rsidR="00D4024F" w:rsidRPr="006A13CC">
        <w:t>are</w:t>
      </w:r>
      <w:r w:rsidR="00D4024F" w:rsidRPr="006A13CC">
        <w:rPr>
          <w:b/>
        </w:rPr>
        <w:t xml:space="preserve"> </w:t>
      </w:r>
      <w:r w:rsidR="00D4024F" w:rsidRPr="006A13CC">
        <w:t>deemed to be accepted on 3 October 2017, and to enter into force on 3 January 2018.</w:t>
      </w:r>
      <w:r w:rsidR="00D4024F" w:rsidRPr="006A13CC">
        <w:rPr>
          <w:iCs/>
        </w:rPr>
        <w:t xml:space="preserve"> </w:t>
      </w:r>
    </w:p>
    <w:p w:rsidR="00C11A5B" w:rsidRDefault="000338FC" w:rsidP="000338FC">
      <w:pPr>
        <w:pStyle w:val="SingleTxtG"/>
      </w:pPr>
      <w:r>
        <w:rPr>
          <w:lang w:val="fr-CH"/>
        </w:rPr>
        <w:t>4.</w:t>
      </w:r>
      <w:r>
        <w:rPr>
          <w:lang w:val="fr-CH"/>
        </w:rPr>
        <w:tab/>
      </w:r>
      <w:r w:rsidR="00C11A5B">
        <w:t>T</w:t>
      </w:r>
      <w:r w:rsidR="006C5899">
        <w:t xml:space="preserve">he entry into force of amendments </w:t>
      </w:r>
      <w:r w:rsidR="007D7850">
        <w:t>to</w:t>
      </w:r>
      <w:r w:rsidR="006C5899">
        <w:t xml:space="preserve"> ADR </w:t>
      </w:r>
      <w:r w:rsidR="00C11A5B">
        <w:t xml:space="preserve">in between the usual biennial cycle of adaptation </w:t>
      </w:r>
      <w:r w:rsidR="00702485">
        <w:t xml:space="preserve">represents an undesirable practice and </w:t>
      </w:r>
      <w:r w:rsidR="00C11A5B">
        <w:t>should be avoided, due to the legal implications it entails.</w:t>
      </w:r>
    </w:p>
    <w:p w:rsidR="00C11A5B" w:rsidRDefault="000338FC" w:rsidP="000338FC">
      <w:pPr>
        <w:pStyle w:val="SingleTxtG"/>
      </w:pPr>
      <w:r>
        <w:rPr>
          <w:iCs/>
          <w:lang w:val="fr-CH"/>
        </w:rPr>
        <w:t>5.</w:t>
      </w:r>
      <w:r>
        <w:rPr>
          <w:iCs/>
          <w:lang w:val="fr-CH"/>
        </w:rPr>
        <w:tab/>
      </w:r>
      <w:r w:rsidR="00C11A5B">
        <w:rPr>
          <w:iCs/>
        </w:rPr>
        <w:t xml:space="preserve">In this respect the notification </w:t>
      </w:r>
      <w:r w:rsidR="00C11A5B" w:rsidRPr="00753960">
        <w:t>C.N.</w:t>
      </w:r>
      <w:proofErr w:type="gramStart"/>
      <w:r w:rsidR="00C11A5B" w:rsidRPr="00753960">
        <w:t>345.2017.TREATIES</w:t>
      </w:r>
      <w:proofErr w:type="gramEnd"/>
      <w:r w:rsidR="00C11A5B" w:rsidRPr="00753960">
        <w:t xml:space="preserve"> of 3 July 2017</w:t>
      </w:r>
      <w:r w:rsidR="00C11A5B">
        <w:t xml:space="preserve"> should be withdrawn before it will be deemed accepted on 3 October 2017.</w:t>
      </w:r>
    </w:p>
    <w:p w:rsidR="000338FC" w:rsidRPr="000338FC" w:rsidRDefault="000338FC" w:rsidP="000338FC">
      <w:pPr>
        <w:pStyle w:val="SingleTxtG"/>
        <w:spacing w:before="240" w:after="0"/>
        <w:jc w:val="center"/>
        <w:rPr>
          <w:iCs/>
          <w:u w:val="single"/>
        </w:rPr>
      </w:pPr>
      <w:r>
        <w:rPr>
          <w:u w:val="single"/>
        </w:rPr>
        <w:tab/>
      </w:r>
      <w:r>
        <w:rPr>
          <w:u w:val="single"/>
        </w:rPr>
        <w:tab/>
      </w:r>
      <w:r>
        <w:rPr>
          <w:u w:val="single"/>
        </w:rPr>
        <w:tab/>
      </w:r>
    </w:p>
    <w:sectPr w:rsidR="000338FC" w:rsidRPr="000338FC"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36" w:rsidRDefault="003C6A36"/>
  </w:endnote>
  <w:endnote w:type="continuationSeparator" w:id="0">
    <w:p w:rsidR="003C6A36" w:rsidRDefault="003C6A36"/>
  </w:endnote>
  <w:endnote w:type="continuationNotice" w:id="1">
    <w:p w:rsidR="003C6A36" w:rsidRDefault="003C6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0338FC">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D4024F">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36" w:rsidRPr="000B175B" w:rsidRDefault="003C6A36" w:rsidP="000B175B">
      <w:pPr>
        <w:tabs>
          <w:tab w:val="right" w:pos="2155"/>
        </w:tabs>
        <w:spacing w:after="80"/>
        <w:ind w:left="680"/>
        <w:rPr>
          <w:u w:val="single"/>
        </w:rPr>
      </w:pPr>
      <w:r>
        <w:rPr>
          <w:u w:val="single"/>
        </w:rPr>
        <w:tab/>
      </w:r>
    </w:p>
  </w:footnote>
  <w:footnote w:type="continuationSeparator" w:id="0">
    <w:p w:rsidR="003C6A36" w:rsidRPr="00FC68B7" w:rsidRDefault="003C6A36" w:rsidP="00FC68B7">
      <w:pPr>
        <w:tabs>
          <w:tab w:val="left" w:pos="2155"/>
        </w:tabs>
        <w:spacing w:after="80"/>
        <w:ind w:left="680"/>
        <w:rPr>
          <w:u w:val="single"/>
        </w:rPr>
      </w:pPr>
      <w:r>
        <w:rPr>
          <w:u w:val="single"/>
        </w:rPr>
        <w:tab/>
      </w:r>
    </w:p>
  </w:footnote>
  <w:footnote w:type="continuationNotice" w:id="1">
    <w:p w:rsidR="003C6A36" w:rsidRDefault="003C6A36"/>
  </w:footnote>
  <w:footnote w:id="2">
    <w:p w:rsidR="00D4024F" w:rsidRDefault="00D4024F" w:rsidP="000338FC">
      <w:pPr>
        <w:pStyle w:val="FootnoteText"/>
        <w:ind w:firstLine="0"/>
        <w:rPr>
          <w:lang w:val="pl-PL"/>
        </w:rPr>
      </w:pPr>
      <w:r>
        <w:rPr>
          <w:rStyle w:val="FootnoteReference"/>
        </w:rPr>
        <w:footnoteRef/>
      </w:r>
      <w:r w:rsidRPr="00C550EC">
        <w:rPr>
          <w:lang w:val="pl-PL"/>
        </w:rPr>
        <w:t xml:space="preserve"> </w:t>
      </w:r>
      <w:hyperlink r:id="rId1" w:history="1">
        <w:r w:rsidR="00D57CFB" w:rsidRPr="00F634DA">
          <w:rPr>
            <w:rStyle w:val="Hyperlink"/>
            <w:lang w:val="pl-PL"/>
          </w:rPr>
          <w:t>http://www.unece.org/fileadmin/DAM/trans/doc/2017/dgwp15/ECE-TRANS-WP15-237e.pdf</w:t>
        </w:r>
      </w:hyperlink>
    </w:p>
    <w:p w:rsidR="00D57CFB" w:rsidRPr="00C550EC" w:rsidRDefault="00D57CFB" w:rsidP="000338FC">
      <w:pPr>
        <w:pStyle w:val="FootnoteText"/>
        <w:ind w:firstLine="0"/>
        <w:rPr>
          <w:lang w:val="pl-PL"/>
        </w:rPr>
      </w:pPr>
    </w:p>
  </w:footnote>
  <w:footnote w:id="3">
    <w:p w:rsidR="00D4024F" w:rsidRPr="00C550EC" w:rsidRDefault="00D4024F" w:rsidP="000338FC">
      <w:pPr>
        <w:pStyle w:val="FootnoteText"/>
        <w:tabs>
          <w:tab w:val="clear" w:pos="1021"/>
        </w:tabs>
        <w:ind w:firstLine="0"/>
      </w:pPr>
      <w:r>
        <w:rPr>
          <w:rStyle w:val="FootnoteReference"/>
        </w:rPr>
        <w:footnoteRef/>
      </w:r>
      <w:r w:rsidRPr="00C550EC">
        <w:t xml:space="preserve"> </w:t>
      </w:r>
      <w:r w:rsidRPr="00C550EC">
        <w:t xml:space="preserve">See </w:t>
      </w:r>
      <w:r w:rsidRPr="00F65855">
        <w:rPr>
          <w:iCs/>
          <w:szCs w:val="24"/>
        </w:rPr>
        <w:t xml:space="preserve">pages 26 and 27 </w:t>
      </w:r>
      <w:hyperlink r:id="rId2" w:history="1">
        <w:r w:rsidRPr="00C550EC">
          <w:rPr>
            <w:rStyle w:val="Hyperlink"/>
          </w:rPr>
          <w:t>http://www.unece.org/fileadmin/DAM/trans/doc/2017/dgwp15/ECE-TRANS-WP15-237e.pdf</w:t>
        </w:r>
      </w:hyperlink>
    </w:p>
  </w:footnote>
  <w:footnote w:id="4">
    <w:p w:rsidR="00D4024F" w:rsidRPr="006F1D5F" w:rsidRDefault="00D4024F" w:rsidP="000338FC">
      <w:pPr>
        <w:pStyle w:val="FootnoteText"/>
        <w:ind w:firstLine="0"/>
      </w:pPr>
      <w:r>
        <w:rPr>
          <w:rStyle w:val="FootnoteReference"/>
        </w:rPr>
        <w:footnoteRef/>
      </w:r>
      <w:r w:rsidRPr="006F1D5F">
        <w:t xml:space="preserve"> </w:t>
      </w:r>
      <w:hyperlink r:id="rId3" w:history="1">
        <w:r w:rsidRPr="006F1D5F">
          <w:rPr>
            <w:rStyle w:val="Hyperlink"/>
          </w:rPr>
          <w:t>http://www.unece.org/fileadmin/DAM/trans/danger/publi/adr/depnoti/CN-345-2017e.pdf</w:t>
        </w:r>
      </w:hyperlink>
      <w:r w:rsidRPr="006F1D5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0338FC">
      <w:rPr>
        <w:lang w:val="fr-CH"/>
      </w:rPr>
      <w:t>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proofErr w:type="spellStart"/>
    <w:r>
      <w:rPr>
        <w:lang w:val="fr-CH"/>
      </w:rPr>
      <w:t>INF.</w:t>
    </w:r>
    <w:r w:rsidR="00F4342B">
      <w:rPr>
        <w:lang w:val="fr-CH"/>
      </w:rPr>
      <w:t>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47123"/>
    <w:multiLevelType w:val="hybridMultilevel"/>
    <w:tmpl w:val="2F7CEE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1" w15:restartNumberingAfterBreak="0">
    <w:nsid w:val="47793582"/>
    <w:multiLevelType w:val="hybridMultilevel"/>
    <w:tmpl w:val="D9460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7"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2"/>
  </w:num>
  <w:num w:numId="15">
    <w:abstractNumId w:val="13"/>
  </w:num>
  <w:num w:numId="16">
    <w:abstractNumId w:val="12"/>
  </w:num>
  <w:num w:numId="17">
    <w:abstractNumId w:val="24"/>
  </w:num>
  <w:num w:numId="18">
    <w:abstractNumId w:val="14"/>
  </w:num>
  <w:num w:numId="19">
    <w:abstractNumId w:val="25"/>
  </w:num>
  <w:num w:numId="20">
    <w:abstractNumId w:val="19"/>
  </w:num>
  <w:num w:numId="21">
    <w:abstractNumId w:val="23"/>
  </w:num>
  <w:num w:numId="22">
    <w:abstractNumId w:val="11"/>
  </w:num>
  <w:num w:numId="23">
    <w:abstractNumId w:val="18"/>
  </w:num>
  <w:num w:numId="24">
    <w:abstractNumId w:val="26"/>
  </w:num>
  <w:num w:numId="25">
    <w:abstractNumId w:val="20"/>
  </w:num>
  <w:num w:numId="26">
    <w:abstractNumId w:val="27"/>
  </w:num>
  <w:num w:numId="27">
    <w:abstractNumId w:val="16"/>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4DB3"/>
    <w:rsid w:val="000338FC"/>
    <w:rsid w:val="00037F90"/>
    <w:rsid w:val="00046B1F"/>
    <w:rsid w:val="00050F6B"/>
    <w:rsid w:val="00051F9B"/>
    <w:rsid w:val="00057E97"/>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2C03"/>
    <w:rsid w:val="000C2D2E"/>
    <w:rsid w:val="000C4D51"/>
    <w:rsid w:val="000C7794"/>
    <w:rsid w:val="000C7F79"/>
    <w:rsid w:val="000E0415"/>
    <w:rsid w:val="000E2B1D"/>
    <w:rsid w:val="000E2EBA"/>
    <w:rsid w:val="0010391C"/>
    <w:rsid w:val="00104CDA"/>
    <w:rsid w:val="001103AA"/>
    <w:rsid w:val="0011666B"/>
    <w:rsid w:val="00121E05"/>
    <w:rsid w:val="00125117"/>
    <w:rsid w:val="00127D3C"/>
    <w:rsid w:val="00127FE1"/>
    <w:rsid w:val="00144909"/>
    <w:rsid w:val="00155068"/>
    <w:rsid w:val="00165F3A"/>
    <w:rsid w:val="001845AD"/>
    <w:rsid w:val="001A57BD"/>
    <w:rsid w:val="001A6E55"/>
    <w:rsid w:val="001B053F"/>
    <w:rsid w:val="001B13A5"/>
    <w:rsid w:val="001B4B04"/>
    <w:rsid w:val="001C6663"/>
    <w:rsid w:val="001C7895"/>
    <w:rsid w:val="001D0239"/>
    <w:rsid w:val="001D0C8C"/>
    <w:rsid w:val="001D1419"/>
    <w:rsid w:val="001D26DF"/>
    <w:rsid w:val="001D3A03"/>
    <w:rsid w:val="001D4759"/>
    <w:rsid w:val="001D7981"/>
    <w:rsid w:val="001E0B9E"/>
    <w:rsid w:val="001E7B67"/>
    <w:rsid w:val="001F7435"/>
    <w:rsid w:val="00202DA8"/>
    <w:rsid w:val="00203753"/>
    <w:rsid w:val="002102FF"/>
    <w:rsid w:val="0021114C"/>
    <w:rsid w:val="0021157B"/>
    <w:rsid w:val="00211E0B"/>
    <w:rsid w:val="002336E0"/>
    <w:rsid w:val="00237690"/>
    <w:rsid w:val="0024023A"/>
    <w:rsid w:val="00243217"/>
    <w:rsid w:val="002446AE"/>
    <w:rsid w:val="00247CC2"/>
    <w:rsid w:val="00252290"/>
    <w:rsid w:val="002614B5"/>
    <w:rsid w:val="0026532A"/>
    <w:rsid w:val="00267F5F"/>
    <w:rsid w:val="002736A6"/>
    <w:rsid w:val="00286B4D"/>
    <w:rsid w:val="00292A77"/>
    <w:rsid w:val="00293582"/>
    <w:rsid w:val="002A3C85"/>
    <w:rsid w:val="002A603B"/>
    <w:rsid w:val="002C1737"/>
    <w:rsid w:val="002D4643"/>
    <w:rsid w:val="002D4B6C"/>
    <w:rsid w:val="002F175C"/>
    <w:rsid w:val="002F41D4"/>
    <w:rsid w:val="00302E18"/>
    <w:rsid w:val="003050A4"/>
    <w:rsid w:val="0030606F"/>
    <w:rsid w:val="003117F6"/>
    <w:rsid w:val="003229D8"/>
    <w:rsid w:val="003358CF"/>
    <w:rsid w:val="00340169"/>
    <w:rsid w:val="00344BD8"/>
    <w:rsid w:val="00345184"/>
    <w:rsid w:val="0034693C"/>
    <w:rsid w:val="00352709"/>
    <w:rsid w:val="003571EA"/>
    <w:rsid w:val="00371178"/>
    <w:rsid w:val="003A6810"/>
    <w:rsid w:val="003B311A"/>
    <w:rsid w:val="003B36D1"/>
    <w:rsid w:val="003C2CC4"/>
    <w:rsid w:val="003C6A36"/>
    <w:rsid w:val="003C7C2C"/>
    <w:rsid w:val="003D4B23"/>
    <w:rsid w:val="003D50F4"/>
    <w:rsid w:val="003F6429"/>
    <w:rsid w:val="00400297"/>
    <w:rsid w:val="00410C89"/>
    <w:rsid w:val="00422E03"/>
    <w:rsid w:val="004266AC"/>
    <w:rsid w:val="00426B9B"/>
    <w:rsid w:val="004321F2"/>
    <w:rsid w:val="004325CB"/>
    <w:rsid w:val="004356D2"/>
    <w:rsid w:val="00442A83"/>
    <w:rsid w:val="004460EA"/>
    <w:rsid w:val="00453EF0"/>
    <w:rsid w:val="0045495B"/>
    <w:rsid w:val="00455F93"/>
    <w:rsid w:val="00464C81"/>
    <w:rsid w:val="0048397A"/>
    <w:rsid w:val="00483F1B"/>
    <w:rsid w:val="004861B3"/>
    <w:rsid w:val="00495210"/>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6AB3"/>
    <w:rsid w:val="0052775E"/>
    <w:rsid w:val="005420F2"/>
    <w:rsid w:val="00543B68"/>
    <w:rsid w:val="005463C7"/>
    <w:rsid w:val="00546993"/>
    <w:rsid w:val="005501AB"/>
    <w:rsid w:val="005628B6"/>
    <w:rsid w:val="0058164C"/>
    <w:rsid w:val="005835AD"/>
    <w:rsid w:val="005909B3"/>
    <w:rsid w:val="005916BA"/>
    <w:rsid w:val="005932E2"/>
    <w:rsid w:val="0059363D"/>
    <w:rsid w:val="005B0833"/>
    <w:rsid w:val="005B1E3B"/>
    <w:rsid w:val="005B3DB3"/>
    <w:rsid w:val="005B4E13"/>
    <w:rsid w:val="005C2DE1"/>
    <w:rsid w:val="005C68F0"/>
    <w:rsid w:val="005D2A29"/>
    <w:rsid w:val="005D7FB9"/>
    <w:rsid w:val="005E6A77"/>
    <w:rsid w:val="005F7B75"/>
    <w:rsid w:val="006001EE"/>
    <w:rsid w:val="00605042"/>
    <w:rsid w:val="00611FC4"/>
    <w:rsid w:val="00615757"/>
    <w:rsid w:val="006176FB"/>
    <w:rsid w:val="00630BAF"/>
    <w:rsid w:val="0063658A"/>
    <w:rsid w:val="00640B26"/>
    <w:rsid w:val="006477AB"/>
    <w:rsid w:val="00652CFC"/>
    <w:rsid w:val="00652D0A"/>
    <w:rsid w:val="00656145"/>
    <w:rsid w:val="006623D5"/>
    <w:rsid w:val="00662BB6"/>
    <w:rsid w:val="00667F8F"/>
    <w:rsid w:val="006741F1"/>
    <w:rsid w:val="00684C21"/>
    <w:rsid w:val="0069377E"/>
    <w:rsid w:val="006A13CC"/>
    <w:rsid w:val="006A2530"/>
    <w:rsid w:val="006B1C12"/>
    <w:rsid w:val="006C3589"/>
    <w:rsid w:val="006C5899"/>
    <w:rsid w:val="006D37AF"/>
    <w:rsid w:val="006D51D0"/>
    <w:rsid w:val="006D63B3"/>
    <w:rsid w:val="006E564B"/>
    <w:rsid w:val="006E7191"/>
    <w:rsid w:val="00702485"/>
    <w:rsid w:val="00703577"/>
    <w:rsid w:val="00705894"/>
    <w:rsid w:val="007124BE"/>
    <w:rsid w:val="0072632A"/>
    <w:rsid w:val="007327D5"/>
    <w:rsid w:val="007351B4"/>
    <w:rsid w:val="007417F8"/>
    <w:rsid w:val="00760A73"/>
    <w:rsid w:val="007611CF"/>
    <w:rsid w:val="00761787"/>
    <w:rsid w:val="007629C8"/>
    <w:rsid w:val="00764668"/>
    <w:rsid w:val="0077047D"/>
    <w:rsid w:val="007724D8"/>
    <w:rsid w:val="00776430"/>
    <w:rsid w:val="00783A95"/>
    <w:rsid w:val="00797575"/>
    <w:rsid w:val="007A0948"/>
    <w:rsid w:val="007B22C2"/>
    <w:rsid w:val="007B6BA5"/>
    <w:rsid w:val="007C2E47"/>
    <w:rsid w:val="007C3390"/>
    <w:rsid w:val="007C40E4"/>
    <w:rsid w:val="007C4F4B"/>
    <w:rsid w:val="007D7850"/>
    <w:rsid w:val="007E01E9"/>
    <w:rsid w:val="007E63F3"/>
    <w:rsid w:val="007E7E99"/>
    <w:rsid w:val="007F1F2D"/>
    <w:rsid w:val="007F6611"/>
    <w:rsid w:val="007F7106"/>
    <w:rsid w:val="007F7A86"/>
    <w:rsid w:val="00807E1D"/>
    <w:rsid w:val="008116D7"/>
    <w:rsid w:val="00811920"/>
    <w:rsid w:val="00815AD0"/>
    <w:rsid w:val="008242D7"/>
    <w:rsid w:val="008257B1"/>
    <w:rsid w:val="00826C3D"/>
    <w:rsid w:val="008433F2"/>
    <w:rsid w:val="00843767"/>
    <w:rsid w:val="00854501"/>
    <w:rsid w:val="00856952"/>
    <w:rsid w:val="00863760"/>
    <w:rsid w:val="008679D9"/>
    <w:rsid w:val="00871389"/>
    <w:rsid w:val="00873798"/>
    <w:rsid w:val="00880848"/>
    <w:rsid w:val="00883999"/>
    <w:rsid w:val="008850EA"/>
    <w:rsid w:val="00886118"/>
    <w:rsid w:val="00887652"/>
    <w:rsid w:val="008878DE"/>
    <w:rsid w:val="00894B0D"/>
    <w:rsid w:val="008979B1"/>
    <w:rsid w:val="008A6B25"/>
    <w:rsid w:val="008A6C4F"/>
    <w:rsid w:val="008A7B69"/>
    <w:rsid w:val="008B2335"/>
    <w:rsid w:val="008C7DAF"/>
    <w:rsid w:val="008C7F9C"/>
    <w:rsid w:val="008E0678"/>
    <w:rsid w:val="008E0DAA"/>
    <w:rsid w:val="008E187A"/>
    <w:rsid w:val="008E4D3A"/>
    <w:rsid w:val="008E6A1C"/>
    <w:rsid w:val="00917AC0"/>
    <w:rsid w:val="009223CA"/>
    <w:rsid w:val="0092392E"/>
    <w:rsid w:val="009269ED"/>
    <w:rsid w:val="00933585"/>
    <w:rsid w:val="00940F93"/>
    <w:rsid w:val="0094558F"/>
    <w:rsid w:val="00961690"/>
    <w:rsid w:val="009760F3"/>
    <w:rsid w:val="0098203C"/>
    <w:rsid w:val="0098722E"/>
    <w:rsid w:val="009A0E8D"/>
    <w:rsid w:val="009A5F63"/>
    <w:rsid w:val="009A6FEF"/>
    <w:rsid w:val="009B1518"/>
    <w:rsid w:val="009B26E7"/>
    <w:rsid w:val="009B7DC9"/>
    <w:rsid w:val="009C454F"/>
    <w:rsid w:val="009D2A5B"/>
    <w:rsid w:val="009E1D8E"/>
    <w:rsid w:val="009E1DAC"/>
    <w:rsid w:val="009E4A07"/>
    <w:rsid w:val="00A00A3F"/>
    <w:rsid w:val="00A01489"/>
    <w:rsid w:val="00A120E8"/>
    <w:rsid w:val="00A3009E"/>
    <w:rsid w:val="00A3026E"/>
    <w:rsid w:val="00A338F1"/>
    <w:rsid w:val="00A37932"/>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207A"/>
    <w:rsid w:val="00B36690"/>
    <w:rsid w:val="00B421C1"/>
    <w:rsid w:val="00B52BC7"/>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A4044"/>
    <w:rsid w:val="00BA55A7"/>
    <w:rsid w:val="00BB7CD1"/>
    <w:rsid w:val="00BB7FE9"/>
    <w:rsid w:val="00BC3FA0"/>
    <w:rsid w:val="00BC74E9"/>
    <w:rsid w:val="00BC7C0D"/>
    <w:rsid w:val="00BD55A0"/>
    <w:rsid w:val="00BD6C9F"/>
    <w:rsid w:val="00BF15A1"/>
    <w:rsid w:val="00BF68A8"/>
    <w:rsid w:val="00C01CD0"/>
    <w:rsid w:val="00C06BD0"/>
    <w:rsid w:val="00C10FE6"/>
    <w:rsid w:val="00C11A03"/>
    <w:rsid w:val="00C11A5B"/>
    <w:rsid w:val="00C22C0C"/>
    <w:rsid w:val="00C43DF8"/>
    <w:rsid w:val="00C4527F"/>
    <w:rsid w:val="00C463DD"/>
    <w:rsid w:val="00C467C9"/>
    <w:rsid w:val="00C4724C"/>
    <w:rsid w:val="00C50425"/>
    <w:rsid w:val="00C629A0"/>
    <w:rsid w:val="00C64629"/>
    <w:rsid w:val="00C73056"/>
    <w:rsid w:val="00C745C3"/>
    <w:rsid w:val="00C7629A"/>
    <w:rsid w:val="00C87367"/>
    <w:rsid w:val="00C87FD7"/>
    <w:rsid w:val="00CA56B7"/>
    <w:rsid w:val="00CB3E03"/>
    <w:rsid w:val="00CD3CA4"/>
    <w:rsid w:val="00CD57D2"/>
    <w:rsid w:val="00CE4A8F"/>
    <w:rsid w:val="00CE4B11"/>
    <w:rsid w:val="00CE69D8"/>
    <w:rsid w:val="00D00610"/>
    <w:rsid w:val="00D2031B"/>
    <w:rsid w:val="00D25FE2"/>
    <w:rsid w:val="00D263A7"/>
    <w:rsid w:val="00D4024F"/>
    <w:rsid w:val="00D41103"/>
    <w:rsid w:val="00D43252"/>
    <w:rsid w:val="00D467F3"/>
    <w:rsid w:val="00D473CD"/>
    <w:rsid w:val="00D47EEA"/>
    <w:rsid w:val="00D47F6B"/>
    <w:rsid w:val="00D54567"/>
    <w:rsid w:val="00D550D4"/>
    <w:rsid w:val="00D57CFB"/>
    <w:rsid w:val="00D61EEC"/>
    <w:rsid w:val="00D65303"/>
    <w:rsid w:val="00D729FB"/>
    <w:rsid w:val="00D773DF"/>
    <w:rsid w:val="00D77995"/>
    <w:rsid w:val="00D80773"/>
    <w:rsid w:val="00D87235"/>
    <w:rsid w:val="00D876F8"/>
    <w:rsid w:val="00D9255F"/>
    <w:rsid w:val="00D95303"/>
    <w:rsid w:val="00D978C6"/>
    <w:rsid w:val="00DA3C1C"/>
    <w:rsid w:val="00DB37B2"/>
    <w:rsid w:val="00DB6CA5"/>
    <w:rsid w:val="00DC2362"/>
    <w:rsid w:val="00DC634C"/>
    <w:rsid w:val="00E01D68"/>
    <w:rsid w:val="00E046DF"/>
    <w:rsid w:val="00E12674"/>
    <w:rsid w:val="00E15557"/>
    <w:rsid w:val="00E27346"/>
    <w:rsid w:val="00E665A8"/>
    <w:rsid w:val="00E71BC8"/>
    <w:rsid w:val="00E7260F"/>
    <w:rsid w:val="00E7365A"/>
    <w:rsid w:val="00E73F5D"/>
    <w:rsid w:val="00E746D9"/>
    <w:rsid w:val="00E763C8"/>
    <w:rsid w:val="00E77E4E"/>
    <w:rsid w:val="00E8090F"/>
    <w:rsid w:val="00E819C4"/>
    <w:rsid w:val="00E96630"/>
    <w:rsid w:val="00EA482C"/>
    <w:rsid w:val="00EA5018"/>
    <w:rsid w:val="00EA50D7"/>
    <w:rsid w:val="00EA6ABB"/>
    <w:rsid w:val="00EB0C96"/>
    <w:rsid w:val="00EB72D9"/>
    <w:rsid w:val="00EC106A"/>
    <w:rsid w:val="00EC32A0"/>
    <w:rsid w:val="00ED0BC6"/>
    <w:rsid w:val="00ED7A2A"/>
    <w:rsid w:val="00EE0102"/>
    <w:rsid w:val="00EE62ED"/>
    <w:rsid w:val="00EE6B3A"/>
    <w:rsid w:val="00EF1D7F"/>
    <w:rsid w:val="00EF6DB8"/>
    <w:rsid w:val="00F227A6"/>
    <w:rsid w:val="00F30EB7"/>
    <w:rsid w:val="00F31E5F"/>
    <w:rsid w:val="00F36F0D"/>
    <w:rsid w:val="00F4272A"/>
    <w:rsid w:val="00F4342B"/>
    <w:rsid w:val="00F54642"/>
    <w:rsid w:val="00F555FB"/>
    <w:rsid w:val="00F6100A"/>
    <w:rsid w:val="00F66565"/>
    <w:rsid w:val="00F72195"/>
    <w:rsid w:val="00F93781"/>
    <w:rsid w:val="00FA3772"/>
    <w:rsid w:val="00FA79F4"/>
    <w:rsid w:val="00FB613B"/>
    <w:rsid w:val="00FC398D"/>
    <w:rsid w:val="00FC3C87"/>
    <w:rsid w:val="00FC68B7"/>
    <w:rsid w:val="00FD0251"/>
    <w:rsid w:val="00FD49F1"/>
    <w:rsid w:val="00FE0135"/>
    <w:rsid w:val="00FE106A"/>
    <w:rsid w:val="00FE3ACA"/>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D48C6"/>
  <w15:docId w15:val="{4E745D7D-A20E-4811-9036-52DF0E89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BA55A7"/>
    <w:pPr>
      <w:spacing w:line="240" w:lineRule="auto"/>
    </w:pPr>
    <w:rPr>
      <w:b/>
      <w:bCs/>
    </w:rPr>
  </w:style>
  <w:style w:type="character" w:customStyle="1" w:styleId="CommentTextChar">
    <w:name w:val="Comment Text Char"/>
    <w:basedOn w:val="DefaultParagraphFont"/>
    <w:link w:val="CommentText"/>
    <w:semiHidden/>
    <w:rsid w:val="00BA55A7"/>
    <w:rPr>
      <w:lang w:eastAsia="en-US"/>
    </w:rPr>
  </w:style>
  <w:style w:type="character" w:customStyle="1" w:styleId="CommentSubjectChar">
    <w:name w:val="Comment Subject Char"/>
    <w:basedOn w:val="CommentTextChar"/>
    <w:link w:val="CommentSubject"/>
    <w:semiHidden/>
    <w:rsid w:val="00BA55A7"/>
    <w:rPr>
      <w:b/>
      <w:bCs/>
      <w:lang w:eastAsia="en-US"/>
    </w:rPr>
  </w:style>
  <w:style w:type="paragraph" w:styleId="Revision">
    <w:name w:val="Revision"/>
    <w:hidden/>
    <w:uiPriority w:val="99"/>
    <w:semiHidden/>
    <w:rsid w:val="00244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7425">
      <w:bodyDiv w:val="1"/>
      <w:marLeft w:val="0"/>
      <w:marRight w:val="0"/>
      <w:marTop w:val="0"/>
      <w:marBottom w:val="0"/>
      <w:divBdr>
        <w:top w:val="none" w:sz="0" w:space="0" w:color="auto"/>
        <w:left w:val="none" w:sz="0" w:space="0" w:color="auto"/>
        <w:bottom w:val="none" w:sz="0" w:space="0" w:color="auto"/>
        <w:right w:val="none" w:sz="0" w:space="0" w:color="auto"/>
      </w:divBdr>
    </w:div>
    <w:div w:id="964893124">
      <w:bodyDiv w:val="1"/>
      <w:marLeft w:val="0"/>
      <w:marRight w:val="0"/>
      <w:marTop w:val="0"/>
      <w:marBottom w:val="0"/>
      <w:divBdr>
        <w:top w:val="none" w:sz="0" w:space="0" w:color="auto"/>
        <w:left w:val="none" w:sz="0" w:space="0" w:color="auto"/>
        <w:bottom w:val="none" w:sz="0" w:space="0" w:color="auto"/>
        <w:right w:val="none" w:sz="0" w:space="0" w:color="auto"/>
      </w:divBdr>
    </w:div>
    <w:div w:id="1031419684">
      <w:bodyDiv w:val="1"/>
      <w:marLeft w:val="0"/>
      <w:marRight w:val="0"/>
      <w:marTop w:val="0"/>
      <w:marBottom w:val="0"/>
      <w:divBdr>
        <w:top w:val="none" w:sz="0" w:space="0" w:color="auto"/>
        <w:left w:val="none" w:sz="0" w:space="0" w:color="auto"/>
        <w:bottom w:val="none" w:sz="0" w:space="0" w:color="auto"/>
        <w:right w:val="none" w:sz="0" w:space="0" w:color="auto"/>
      </w:divBdr>
    </w:div>
    <w:div w:id="1175150948">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trans/danger/publi/adr/depnoti/CN-345-2017e.pdf" TargetMode="External"/><Relationship Id="rId2" Type="http://schemas.openxmlformats.org/officeDocument/2006/relationships/hyperlink" Target="http://www.unece.org/fileadmin/DAM/trans/doc/2017/dgwp15/ECE-TRANS-WP15-237e.pdf" TargetMode="External"/><Relationship Id="rId1" Type="http://schemas.openxmlformats.org/officeDocument/2006/relationships/hyperlink" Target="http://www.unece.org/fileadmin/DAM/trans/doc/2017/dgwp15/ECE-TRANS-WP15-23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99A3-754A-4AFA-A966-DC0AF51C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2017-09-20T07:26:00Z</cp:lastPrinted>
  <dcterms:created xsi:type="dcterms:W3CDTF">2017-09-20T07:26:00Z</dcterms:created>
  <dcterms:modified xsi:type="dcterms:W3CDTF">2017-09-20T07:31:00Z</dcterms:modified>
</cp:coreProperties>
</file>