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0B303A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EF18D3" w:rsidRDefault="00446DE4" w:rsidP="000216C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EF18D3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CE2F07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CE2F07">
              <w:rPr>
                <w:b/>
                <w:sz w:val="40"/>
                <w:szCs w:val="40"/>
                <w:lang w:val="fr-CH"/>
              </w:rPr>
              <w:t>UN/SCETDG/</w:t>
            </w:r>
            <w:r w:rsidR="00733FA4" w:rsidRPr="00CE2F07">
              <w:rPr>
                <w:b/>
                <w:sz w:val="40"/>
                <w:szCs w:val="40"/>
                <w:lang w:val="fr-CH"/>
              </w:rPr>
              <w:t>5</w:t>
            </w:r>
            <w:r w:rsidR="000E23BE">
              <w:rPr>
                <w:b/>
                <w:sz w:val="40"/>
                <w:szCs w:val="40"/>
                <w:lang w:val="fr-CH"/>
              </w:rPr>
              <w:t>2</w:t>
            </w:r>
            <w:r w:rsidRPr="00CE2F07">
              <w:rPr>
                <w:b/>
                <w:sz w:val="40"/>
                <w:szCs w:val="40"/>
                <w:lang w:val="fr-CH"/>
              </w:rPr>
              <w:t>/INF.</w:t>
            </w:r>
            <w:r w:rsidR="00B43529">
              <w:rPr>
                <w:b/>
                <w:sz w:val="40"/>
                <w:szCs w:val="40"/>
                <w:lang w:val="fr-CH"/>
              </w:rPr>
              <w:t>28</w:t>
            </w:r>
          </w:p>
          <w:p w:rsidR="00FC215C" w:rsidRPr="00CE2F07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CE2F07">
              <w:rPr>
                <w:b/>
                <w:sz w:val="40"/>
                <w:szCs w:val="40"/>
                <w:lang w:val="fr-CH"/>
              </w:rPr>
              <w:t>UN/SCEGHS/</w:t>
            </w:r>
            <w:r w:rsidR="00F64C95" w:rsidRPr="00CE2F07">
              <w:rPr>
                <w:b/>
                <w:sz w:val="40"/>
                <w:szCs w:val="40"/>
                <w:lang w:val="fr-CH"/>
              </w:rPr>
              <w:t>3</w:t>
            </w:r>
            <w:r w:rsidR="000E23BE">
              <w:rPr>
                <w:b/>
                <w:sz w:val="40"/>
                <w:szCs w:val="40"/>
                <w:lang w:val="fr-CH"/>
              </w:rPr>
              <w:t>4</w:t>
            </w:r>
            <w:r w:rsidRPr="00CE2F07">
              <w:rPr>
                <w:b/>
                <w:sz w:val="40"/>
                <w:szCs w:val="40"/>
                <w:lang w:val="fr-CH"/>
              </w:rPr>
              <w:t>/INF.</w:t>
            </w:r>
            <w:r w:rsidR="00B43529">
              <w:rPr>
                <w:b/>
                <w:sz w:val="40"/>
                <w:szCs w:val="40"/>
                <w:lang w:val="fr-CH"/>
              </w:rPr>
              <w:t>12</w:t>
            </w:r>
          </w:p>
          <w:p w:rsidR="000216CC" w:rsidRPr="00CE2F07" w:rsidRDefault="000216CC" w:rsidP="00497711">
            <w:pPr>
              <w:jc w:val="right"/>
              <w:rPr>
                <w:highlight w:val="yellow"/>
                <w:lang w:val="fr-CH"/>
              </w:rPr>
            </w:pPr>
          </w:p>
        </w:tc>
      </w:tr>
    </w:tbl>
    <w:p w:rsidR="000019B8" w:rsidRPr="00F14682" w:rsidRDefault="00006D38" w:rsidP="000019B8">
      <w:pPr>
        <w:rPr>
          <w:vanish/>
          <w:lang w:val="fr-FR"/>
        </w:rPr>
      </w:pPr>
      <w:r>
        <w:rPr>
          <w:vanish/>
          <w:lang w:val="fr-FR"/>
        </w:rPr>
        <w:t>/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EF18D3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EF18D3" w:rsidRDefault="00645A0B" w:rsidP="007D0AE6">
            <w:pPr>
              <w:tabs>
                <w:tab w:val="right" w:pos="9214"/>
              </w:tabs>
            </w:pPr>
            <w:r w:rsidRPr="00EF18D3">
              <w:rPr>
                <w:b/>
                <w:sz w:val="24"/>
                <w:szCs w:val="24"/>
              </w:rPr>
              <w:t>Committee of Experts on the Transport of Dangerous Goods</w:t>
            </w:r>
            <w:r w:rsidRPr="00EF18D3">
              <w:rPr>
                <w:b/>
                <w:sz w:val="24"/>
                <w:szCs w:val="24"/>
              </w:rPr>
              <w:tab/>
            </w:r>
            <w:r w:rsidRPr="00EF18D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F18D3">
              <w:rPr>
                <w:b/>
                <w:sz w:val="24"/>
                <w:szCs w:val="24"/>
              </w:rPr>
              <w:br/>
              <w:t>and Labelling of Chemicals</w:t>
            </w:r>
            <w:r w:rsidRPr="00EF18D3">
              <w:rPr>
                <w:b/>
              </w:rPr>
              <w:tab/>
            </w:r>
            <w:r w:rsidR="00BA4953">
              <w:rPr>
                <w:b/>
              </w:rPr>
              <w:t>17</w:t>
            </w:r>
            <w:r w:rsidR="000E23BE" w:rsidRPr="00185F5D">
              <w:rPr>
                <w:b/>
              </w:rPr>
              <w:t xml:space="preserve"> </w:t>
            </w:r>
            <w:r w:rsidR="007D0AE6">
              <w:rPr>
                <w:b/>
              </w:rPr>
              <w:t>November</w:t>
            </w:r>
            <w:r w:rsidR="000E23BE" w:rsidRPr="00185F5D">
              <w:rPr>
                <w:b/>
              </w:rPr>
              <w:t xml:space="preserve"> 2017</w:t>
            </w:r>
          </w:p>
        </w:tc>
      </w:tr>
      <w:tr w:rsidR="00645A0B" w:rsidRPr="00EF18D3" w:rsidTr="00B56DDE">
        <w:trPr>
          <w:trHeight w:val="636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EF18D3" w:rsidRDefault="00645A0B" w:rsidP="00165735">
            <w:pPr>
              <w:spacing w:before="120"/>
              <w:rPr>
                <w:b/>
              </w:rPr>
            </w:pPr>
            <w:r w:rsidRPr="00EF18D3">
              <w:rPr>
                <w:b/>
              </w:rPr>
              <w:t xml:space="preserve">Sub-Committee of Experts on the </w:t>
            </w:r>
            <w:r w:rsidRPr="00EF18D3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EF18D3" w:rsidRDefault="00645A0B" w:rsidP="00165735">
            <w:pPr>
              <w:spacing w:before="120"/>
              <w:rPr>
                <w:b/>
              </w:rPr>
            </w:pPr>
            <w:r w:rsidRPr="00EF18D3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645A0B" w:rsidRPr="00EF18D3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EF18D3" w:rsidRDefault="00EA48C4" w:rsidP="000E23BE">
            <w:pPr>
              <w:spacing w:before="120"/>
              <w:ind w:left="34" w:hanging="34"/>
              <w:rPr>
                <w:b/>
              </w:rPr>
            </w:pPr>
            <w:r w:rsidRPr="00EF18D3">
              <w:rPr>
                <w:b/>
              </w:rPr>
              <w:t>F</w:t>
            </w:r>
            <w:r w:rsidR="004E1665" w:rsidRPr="00EF18D3">
              <w:rPr>
                <w:b/>
              </w:rPr>
              <w:t>ift</w:t>
            </w:r>
            <w:r w:rsidR="002921EA">
              <w:rPr>
                <w:b/>
              </w:rPr>
              <w:t>y-</w:t>
            </w:r>
            <w:r w:rsidR="000E23BE">
              <w:rPr>
                <w:b/>
              </w:rPr>
              <w:t>second</w:t>
            </w:r>
            <w:r w:rsidR="00645A0B" w:rsidRPr="00EF18D3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EF18D3" w:rsidRDefault="00F64C95" w:rsidP="000E23BE">
            <w:pPr>
              <w:spacing w:before="120"/>
              <w:rPr>
                <w:b/>
                <w:highlight w:val="yellow"/>
              </w:rPr>
            </w:pPr>
            <w:r w:rsidRPr="00EF18D3">
              <w:rPr>
                <w:b/>
              </w:rPr>
              <w:t>Thirty-</w:t>
            </w:r>
            <w:r w:rsidR="000E23BE">
              <w:rPr>
                <w:b/>
              </w:rPr>
              <w:t>fourth</w:t>
            </w:r>
            <w:r w:rsidR="00645A0B" w:rsidRPr="00EF18D3">
              <w:rPr>
                <w:b/>
              </w:rPr>
              <w:t xml:space="preserve"> session</w:t>
            </w:r>
          </w:p>
        </w:tc>
      </w:tr>
      <w:tr w:rsidR="00645A0B" w:rsidRPr="00EF18D3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33EC7" w:rsidRDefault="00833EC7" w:rsidP="004B48E7">
            <w:pPr>
              <w:tabs>
                <w:tab w:val="left" w:pos="-1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>
              <w:rPr>
                <w:bCs/>
              </w:rPr>
              <w:t xml:space="preserve">Geneva, </w:t>
            </w:r>
            <w:r w:rsidR="000E23BE">
              <w:rPr>
                <w:bCs/>
              </w:rPr>
              <w:t>26 November</w:t>
            </w:r>
            <w:r w:rsidR="00BA4953">
              <w:rPr>
                <w:bCs/>
              </w:rPr>
              <w:t>-</w:t>
            </w:r>
            <w:r w:rsidR="000E23BE">
              <w:rPr>
                <w:bCs/>
              </w:rPr>
              <w:t>6</w:t>
            </w:r>
            <w:r w:rsidR="00000B71">
              <w:rPr>
                <w:bCs/>
              </w:rPr>
              <w:t xml:space="preserve"> </w:t>
            </w:r>
            <w:r w:rsidR="000E23BE">
              <w:rPr>
                <w:bCs/>
              </w:rPr>
              <w:t>December 2017</w:t>
            </w:r>
          </w:p>
          <w:p w:rsidR="00833EC7" w:rsidRDefault="00833EC7" w:rsidP="004B48E7">
            <w:pPr>
              <w:tabs>
                <w:tab w:val="left" w:pos="-10"/>
              </w:tabs>
              <w:spacing w:before="40"/>
              <w:ind w:left="34" w:hanging="34"/>
            </w:pPr>
            <w:r>
              <w:t xml:space="preserve">Item </w:t>
            </w:r>
            <w:r w:rsidR="004B48E7">
              <w:t>10 (d)</w:t>
            </w:r>
            <w:r>
              <w:t xml:space="preserve"> of the provisional agenda</w:t>
            </w:r>
          </w:p>
          <w:p w:rsidR="00645A0B" w:rsidRPr="00F5413C" w:rsidRDefault="004B48E7" w:rsidP="004B48E7">
            <w:pPr>
              <w:spacing w:before="40"/>
              <w:ind w:left="-10" w:firstLine="10"/>
              <w:rPr>
                <w:b/>
                <w:bCs/>
              </w:rPr>
            </w:pPr>
            <w:r w:rsidRPr="00F5413C">
              <w:rPr>
                <w:b/>
              </w:rPr>
              <w:t>Issues relating to the Globally Harmonized System of Classificati</w:t>
            </w:r>
            <w:r w:rsidR="00BA4953">
              <w:rPr>
                <w:b/>
              </w:rPr>
              <w:t>on and Labelling of Chemicals:</w:t>
            </w:r>
            <w:r w:rsidR="00BA4953">
              <w:rPr>
                <w:b/>
              </w:rPr>
              <w:br/>
              <w:t>u</w:t>
            </w:r>
            <w:r w:rsidRPr="00F5413C">
              <w:rPr>
                <w:b/>
              </w:rPr>
              <w:t>se of the Manual of Tests and Criteria in the context of the GHS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33EC7" w:rsidRPr="001039FD" w:rsidRDefault="00833EC7" w:rsidP="00833EC7">
            <w:pPr>
              <w:jc w:val="both"/>
            </w:pPr>
            <w:r w:rsidRPr="001039FD">
              <w:t xml:space="preserve">Geneva, </w:t>
            </w:r>
            <w:r w:rsidR="000E23BE">
              <w:t>6-8 December 2017</w:t>
            </w:r>
          </w:p>
          <w:p w:rsidR="00833EC7" w:rsidRPr="001039FD" w:rsidRDefault="00833EC7" w:rsidP="00833EC7">
            <w:pPr>
              <w:spacing w:before="40"/>
            </w:pPr>
            <w:r w:rsidRPr="001039FD">
              <w:t xml:space="preserve">Item </w:t>
            </w:r>
            <w:r w:rsidR="00F5413C">
              <w:t>2 (a)</w:t>
            </w:r>
            <w:r>
              <w:t xml:space="preserve"> </w:t>
            </w:r>
            <w:r w:rsidRPr="001039FD">
              <w:t>of the provisional agenda</w:t>
            </w:r>
          </w:p>
          <w:p w:rsidR="00645A0B" w:rsidRPr="00F5413C" w:rsidRDefault="00F5413C" w:rsidP="00833EC7">
            <w:pPr>
              <w:spacing w:before="40"/>
              <w:rPr>
                <w:b/>
                <w:bCs/>
              </w:rPr>
            </w:pPr>
            <w:r w:rsidRPr="00F5413C">
              <w:rPr>
                <w:b/>
              </w:rPr>
              <w:t>Classification criteria and</w:t>
            </w:r>
            <w:r w:rsidR="00BA4953">
              <w:rPr>
                <w:b/>
              </w:rPr>
              <w:t xml:space="preserve"> related hazard communication:</w:t>
            </w:r>
            <w:r w:rsidR="00BA4953">
              <w:rPr>
                <w:b/>
              </w:rPr>
              <w:br/>
              <w:t>w</w:t>
            </w:r>
            <w:r w:rsidRPr="00F5413C">
              <w:rPr>
                <w:b/>
              </w:rPr>
              <w:t>ork of the Sub-Committee of Experts on the Transport of Dangerous Goods (TDG) on matters of interest to the GHS Sub-Committee</w:t>
            </w:r>
          </w:p>
        </w:tc>
      </w:tr>
    </w:tbl>
    <w:p w:rsidR="000E23BE" w:rsidRPr="000E23BE" w:rsidRDefault="00F5413C" w:rsidP="000E23BE">
      <w:pPr>
        <w:pStyle w:val="HChG"/>
      </w:pPr>
      <w:r>
        <w:rPr>
          <w:lang w:val="fr-CH"/>
        </w:rPr>
        <w:tab/>
      </w:r>
      <w:r>
        <w:rPr>
          <w:lang w:val="fr-CH"/>
        </w:rPr>
        <w:tab/>
        <w:t xml:space="preserve">Use of the </w:t>
      </w:r>
      <w:proofErr w:type="spellStart"/>
      <w:r>
        <w:rPr>
          <w:lang w:val="fr-CH"/>
        </w:rPr>
        <w:t>Manual</w:t>
      </w:r>
      <w:proofErr w:type="spellEnd"/>
      <w:r>
        <w:rPr>
          <w:lang w:val="fr-CH"/>
        </w:rPr>
        <w:t xml:space="preserve"> of Tests and </w:t>
      </w:r>
      <w:proofErr w:type="spellStart"/>
      <w:r>
        <w:rPr>
          <w:lang w:val="fr-CH"/>
        </w:rPr>
        <w:t>Criteria</w:t>
      </w:r>
      <w:proofErr w:type="spellEnd"/>
      <w:r>
        <w:rPr>
          <w:lang w:val="fr-CH"/>
        </w:rPr>
        <w:t xml:space="preserve"> in the </w:t>
      </w:r>
      <w:proofErr w:type="spellStart"/>
      <w:r>
        <w:rPr>
          <w:lang w:val="fr-CH"/>
        </w:rPr>
        <w:t>context</w:t>
      </w:r>
      <w:proofErr w:type="spellEnd"/>
      <w:r>
        <w:rPr>
          <w:lang w:val="fr-CH"/>
        </w:rPr>
        <w:t xml:space="preserve"> of the GHS</w:t>
      </w:r>
      <w:r w:rsidR="00F03379">
        <w:rPr>
          <w:lang w:val="fr-CH"/>
        </w:rPr>
        <w:t>:</w:t>
      </w:r>
      <w:r>
        <w:rPr>
          <w:lang w:val="fr-CH"/>
        </w:rPr>
        <w:t xml:space="preserve"> Section 1</w:t>
      </w:r>
      <w:r w:rsidR="00BF7BD6">
        <w:rPr>
          <w:lang w:val="fr-CH"/>
        </w:rPr>
        <w:t xml:space="preserve"> &amp; 10</w:t>
      </w:r>
    </w:p>
    <w:p w:rsidR="000E23BE" w:rsidRDefault="000E23BE" w:rsidP="00B56DDE">
      <w:pPr>
        <w:pStyle w:val="H1G"/>
        <w:jc w:val="both"/>
        <w:outlineLvl w:val="0"/>
      </w:pPr>
      <w:r w:rsidRPr="007B2B1F">
        <w:tab/>
      </w:r>
      <w:r w:rsidRPr="007B2B1F">
        <w:tab/>
      </w:r>
      <w:r w:rsidR="004D7884" w:rsidRPr="0083343A">
        <w:t xml:space="preserve">Transmitted by </w:t>
      </w:r>
      <w:r w:rsidR="004D7884">
        <w:t>the Sporting Arms &amp; Ammunition Manufacturers’ Institute (SAAMI)</w:t>
      </w:r>
    </w:p>
    <w:p w:rsidR="00BF7BD6" w:rsidRPr="00904FD7" w:rsidRDefault="00BF7BD6" w:rsidP="00BF7BD6">
      <w:pPr>
        <w:pStyle w:val="HChG"/>
        <w:spacing w:before="240" w:after="120"/>
        <w:outlineLvl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Introduction</w:t>
      </w:r>
    </w:p>
    <w:p w:rsidR="00BF7BD6" w:rsidRDefault="00BA4953" w:rsidP="00BA4953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BF7BD6">
        <w:rPr>
          <w:lang w:val="en-US"/>
        </w:rPr>
        <w:t xml:space="preserve">At the </w:t>
      </w:r>
      <w:r>
        <w:rPr>
          <w:lang w:val="en-US"/>
        </w:rPr>
        <w:t>fiftieth</w:t>
      </w:r>
      <w:r w:rsidR="00BF7BD6">
        <w:rPr>
          <w:lang w:val="en-US"/>
        </w:rPr>
        <w:t xml:space="preserve"> session of the Sub-Committee of Experts on the Transport of Dangerous Goods the explosives working group </w:t>
      </w:r>
      <w:r w:rsidR="00312D62">
        <w:rPr>
          <w:lang w:val="en-US"/>
        </w:rPr>
        <w:t>reviewed proposals for finalization of amendments to the Manual of Tests &amp; Criteria in the context of recognizing the use of the Manual by the GHS. The USA and Canada submitted an informal proposal</w:t>
      </w:r>
      <w:r w:rsidR="006537E7">
        <w:rPr>
          <w:rStyle w:val="FootnoteReference"/>
          <w:lang w:val="en-US"/>
        </w:rPr>
        <w:footnoteReference w:id="2"/>
      </w:r>
      <w:r w:rsidR="00312D62">
        <w:rPr>
          <w:lang w:val="en-US"/>
        </w:rPr>
        <w:t xml:space="preserve"> to postpone this </w:t>
      </w:r>
      <w:r w:rsidR="00312D62" w:rsidRPr="00BA4953">
        <w:t>work</w:t>
      </w:r>
      <w:r w:rsidR="00312D62">
        <w:rPr>
          <w:lang w:val="en-US"/>
        </w:rPr>
        <w:t xml:space="preserve"> pending the completion of the parallel project to revise GHS Chapter 2.1 for the classification of explosives. </w:t>
      </w:r>
      <w:r w:rsidR="00B40C28">
        <w:rPr>
          <w:lang w:val="en-US"/>
        </w:rPr>
        <w:t>In some cases t</w:t>
      </w:r>
      <w:r w:rsidR="00312D62">
        <w:rPr>
          <w:lang w:val="en-US"/>
        </w:rPr>
        <w:t xml:space="preserve">here could be </w:t>
      </w:r>
      <w:r w:rsidR="005E221E">
        <w:rPr>
          <w:lang w:val="en-US"/>
        </w:rPr>
        <w:t>unintended consequences</w:t>
      </w:r>
      <w:r w:rsidR="00312D62">
        <w:rPr>
          <w:lang w:val="en-US"/>
        </w:rPr>
        <w:t xml:space="preserve"> from removing </w:t>
      </w:r>
      <w:r w:rsidR="005E221E">
        <w:rPr>
          <w:lang w:val="en-US"/>
        </w:rPr>
        <w:t>references to</w:t>
      </w:r>
      <w:r w:rsidR="00312D62">
        <w:rPr>
          <w:lang w:val="en-US"/>
        </w:rPr>
        <w:t xml:space="preserve"> </w:t>
      </w:r>
      <w:r w:rsidR="00B40C28">
        <w:rPr>
          <w:lang w:val="en-US"/>
        </w:rPr>
        <w:t>“transport”</w:t>
      </w:r>
      <w:r w:rsidR="00FA436F">
        <w:rPr>
          <w:lang w:val="en-US"/>
        </w:rPr>
        <w:t xml:space="preserve"> </w:t>
      </w:r>
      <w:r w:rsidR="00312D62">
        <w:rPr>
          <w:lang w:val="en-US"/>
        </w:rPr>
        <w:t>fro</w:t>
      </w:r>
      <w:r w:rsidR="00653C8C">
        <w:rPr>
          <w:lang w:val="en-US"/>
        </w:rPr>
        <w:t>m the Manual</w:t>
      </w:r>
      <w:r w:rsidR="00B33040">
        <w:rPr>
          <w:lang w:val="en-US"/>
        </w:rPr>
        <w:t xml:space="preserve">, as the classification may be dependent on </w:t>
      </w:r>
      <w:r w:rsidR="00B40C28">
        <w:rPr>
          <w:lang w:val="en-US"/>
        </w:rPr>
        <w:t xml:space="preserve">the transport configuration, i.e. </w:t>
      </w:r>
      <w:r w:rsidR="00B33040">
        <w:rPr>
          <w:lang w:val="en-US"/>
        </w:rPr>
        <w:t>both the package and the surrounding environment</w:t>
      </w:r>
      <w:r w:rsidR="00312D62">
        <w:rPr>
          <w:lang w:val="en-US"/>
        </w:rPr>
        <w:t xml:space="preserve">. </w:t>
      </w:r>
    </w:p>
    <w:p w:rsidR="00BF7BD6" w:rsidRPr="00871DAD" w:rsidRDefault="00BA4953" w:rsidP="00BA4953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6537E7">
        <w:rPr>
          <w:lang w:val="en-US"/>
        </w:rPr>
        <w:t xml:space="preserve">The </w:t>
      </w:r>
      <w:r w:rsidR="001E629D">
        <w:rPr>
          <w:lang w:val="en-US"/>
        </w:rPr>
        <w:t xml:space="preserve">explosives working group reviewed the proposed changes, and determined that there was no detriment to adopting </w:t>
      </w:r>
      <w:r w:rsidR="0036622E">
        <w:rPr>
          <w:lang w:val="en-US"/>
        </w:rPr>
        <w:t xml:space="preserve">the </w:t>
      </w:r>
      <w:r w:rsidR="001E629D">
        <w:rPr>
          <w:lang w:val="en-US"/>
        </w:rPr>
        <w:t xml:space="preserve">changes </w:t>
      </w:r>
      <w:r w:rsidR="00E844AD">
        <w:rPr>
          <w:lang w:val="en-US"/>
        </w:rPr>
        <w:t>to remove references to transport in</w:t>
      </w:r>
      <w:r w:rsidR="001E629D">
        <w:rPr>
          <w:lang w:val="en-US"/>
        </w:rPr>
        <w:t xml:space="preserve"> Test Series 1 &amp;</w:t>
      </w:r>
      <w:r w:rsidR="0036622E">
        <w:rPr>
          <w:lang w:val="en-US"/>
        </w:rPr>
        <w:t xml:space="preserve"> 2</w:t>
      </w:r>
      <w:r w:rsidR="00F300A3">
        <w:rPr>
          <w:lang w:val="en-US"/>
        </w:rPr>
        <w:t>, which are intended to determine the explosive potential of a substance</w:t>
      </w:r>
      <w:r w:rsidR="0036622E">
        <w:rPr>
          <w:lang w:val="en-US"/>
        </w:rPr>
        <w:t>.</w:t>
      </w:r>
      <w:r w:rsidR="00BB39C0">
        <w:rPr>
          <w:lang w:val="en-US"/>
        </w:rPr>
        <w:t xml:space="preserve"> </w:t>
      </w:r>
      <w:r w:rsidR="004519D2">
        <w:rPr>
          <w:lang w:val="en-US"/>
        </w:rPr>
        <w:t>Similarly, t</w:t>
      </w:r>
      <w:r w:rsidR="00BB39C0">
        <w:rPr>
          <w:lang w:val="en-US"/>
        </w:rPr>
        <w:t>he proposed changes to Test Series 3 on substances (</w:t>
      </w:r>
      <w:r w:rsidR="0036622E">
        <w:rPr>
          <w:lang w:val="en-US"/>
        </w:rPr>
        <w:t>not in packaging or articles</w:t>
      </w:r>
      <w:r w:rsidR="00BB39C0">
        <w:rPr>
          <w:lang w:val="en-US"/>
        </w:rPr>
        <w:t>),</w:t>
      </w:r>
      <w:r w:rsidR="0036622E">
        <w:rPr>
          <w:lang w:val="en-US"/>
        </w:rPr>
        <w:t xml:space="preserve"> </w:t>
      </w:r>
      <w:r w:rsidR="00E844AD">
        <w:rPr>
          <w:lang w:val="en-US"/>
        </w:rPr>
        <w:t xml:space="preserve">were adapted </w:t>
      </w:r>
      <w:r w:rsidR="00E844AD" w:rsidRPr="00BA4953">
        <w:t>with</w:t>
      </w:r>
      <w:r w:rsidR="00E844AD">
        <w:rPr>
          <w:lang w:val="en-US"/>
        </w:rPr>
        <w:t xml:space="preserve"> some other changes</w:t>
      </w:r>
      <w:r w:rsidR="004519D2">
        <w:rPr>
          <w:lang w:val="en-US"/>
        </w:rPr>
        <w:t>, and the proposals fo</w:t>
      </w:r>
      <w:r w:rsidR="006C5DF1">
        <w:rPr>
          <w:lang w:val="en-US"/>
        </w:rPr>
        <w:t>r</w:t>
      </w:r>
      <w:r w:rsidR="004519D2">
        <w:rPr>
          <w:lang w:val="en-US"/>
        </w:rPr>
        <w:t xml:space="preserve"> </w:t>
      </w:r>
      <w:r w:rsidR="0036622E">
        <w:rPr>
          <w:lang w:val="en-US"/>
        </w:rPr>
        <w:t>Test Series 5, 7 &amp; 8</w:t>
      </w:r>
      <w:r w:rsidR="004519D2">
        <w:rPr>
          <w:lang w:val="en-US"/>
        </w:rPr>
        <w:t xml:space="preserve"> were also agreed</w:t>
      </w:r>
      <w:r w:rsidR="0036622E">
        <w:rPr>
          <w:lang w:val="en-US"/>
        </w:rPr>
        <w:t>. However</w:t>
      </w:r>
      <w:r w:rsidR="007D0C3A">
        <w:rPr>
          <w:lang w:val="en-US"/>
        </w:rPr>
        <w:t>,</w:t>
      </w:r>
      <w:r w:rsidR="0036622E">
        <w:rPr>
          <w:lang w:val="en-US"/>
        </w:rPr>
        <w:t xml:space="preserve"> </w:t>
      </w:r>
      <w:r w:rsidR="007D0C3A">
        <w:rPr>
          <w:lang w:val="en-US"/>
        </w:rPr>
        <w:t xml:space="preserve">it was agreed to </w:t>
      </w:r>
      <w:r w:rsidR="00E844AD">
        <w:rPr>
          <w:lang w:val="en-US"/>
        </w:rPr>
        <w:t>retain</w:t>
      </w:r>
      <w:r w:rsidR="007D0C3A">
        <w:rPr>
          <w:lang w:val="en-US"/>
        </w:rPr>
        <w:t xml:space="preserve"> the transport context</w:t>
      </w:r>
      <w:r w:rsidR="0036622E">
        <w:rPr>
          <w:lang w:val="en-US"/>
        </w:rPr>
        <w:t xml:space="preserve"> for Test Series 4 &amp; 6, i.e. those test series which depend on the transport config</w:t>
      </w:r>
      <w:r w:rsidR="007D0C3A">
        <w:rPr>
          <w:lang w:val="en-US"/>
        </w:rPr>
        <w:t>uration</w:t>
      </w:r>
      <w:r w:rsidR="004519D2">
        <w:rPr>
          <w:lang w:val="en-US"/>
        </w:rPr>
        <w:t>, and the proposals to remove references to transport were not adopted</w:t>
      </w:r>
      <w:r w:rsidR="00E65242">
        <w:rPr>
          <w:lang w:val="en-US"/>
        </w:rPr>
        <w:t>.</w:t>
      </w:r>
      <w:r w:rsidR="0071047B">
        <w:rPr>
          <w:lang w:val="en-US"/>
        </w:rPr>
        <w:t xml:space="preserve"> </w:t>
      </w:r>
      <w:r w:rsidR="00AD54C3">
        <w:rPr>
          <w:lang w:val="en-US"/>
        </w:rPr>
        <w:t>Thus the concerns of the USA and Canada were resolved while allowing the work to progress.</w:t>
      </w:r>
    </w:p>
    <w:p w:rsidR="00DC0FE9" w:rsidRDefault="00BA4953" w:rsidP="00BA4953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AD54C3">
        <w:rPr>
          <w:lang w:val="en-US"/>
        </w:rPr>
        <w:t>The</w:t>
      </w:r>
      <w:r w:rsidR="0036622E">
        <w:rPr>
          <w:lang w:val="en-US"/>
        </w:rPr>
        <w:t xml:space="preserve"> approach for Test Series 4 &amp; 6 </w:t>
      </w:r>
      <w:r w:rsidR="007D0C3A">
        <w:rPr>
          <w:lang w:val="en-US"/>
        </w:rPr>
        <w:t>remains</w:t>
      </w:r>
      <w:r w:rsidR="0036622E">
        <w:rPr>
          <w:lang w:val="en-US"/>
        </w:rPr>
        <w:t xml:space="preserve"> based on transport</w:t>
      </w:r>
      <w:r w:rsidR="007D0C3A">
        <w:rPr>
          <w:lang w:val="en-US"/>
        </w:rPr>
        <w:t xml:space="preserve"> and has </w:t>
      </w:r>
      <w:r w:rsidR="007D0C3A" w:rsidRPr="009359DE">
        <w:rPr>
          <w:lang w:val="en-US"/>
        </w:rPr>
        <w:t>not</w:t>
      </w:r>
      <w:r w:rsidR="007D0C3A">
        <w:rPr>
          <w:lang w:val="en-US"/>
        </w:rPr>
        <w:t xml:space="preserve"> been made generic to</w:t>
      </w:r>
      <w:r w:rsidR="009359DE">
        <w:rPr>
          <w:lang w:val="en-US"/>
        </w:rPr>
        <w:t xml:space="preserve"> all sectors, un</w:t>
      </w:r>
      <w:r w:rsidR="007D0C3A">
        <w:rPr>
          <w:lang w:val="en-US"/>
        </w:rPr>
        <w:t>like other parts of the Manual</w:t>
      </w:r>
      <w:r w:rsidR="0036622E">
        <w:rPr>
          <w:lang w:val="en-US"/>
        </w:rPr>
        <w:t xml:space="preserve">. </w:t>
      </w:r>
      <w:r w:rsidR="00B07262">
        <w:rPr>
          <w:lang w:val="en-US"/>
        </w:rPr>
        <w:t xml:space="preserve">Revisions to the remaining parts of the </w:t>
      </w:r>
      <w:r w:rsidR="00B07262" w:rsidRPr="00BA4953">
        <w:t>Manual</w:t>
      </w:r>
      <w:r w:rsidR="00B07262">
        <w:rPr>
          <w:lang w:val="en-US"/>
        </w:rPr>
        <w:t xml:space="preserve"> were agreed at the 51</w:t>
      </w:r>
      <w:r w:rsidR="00B07262" w:rsidRPr="00B07262">
        <w:rPr>
          <w:vertAlign w:val="superscript"/>
          <w:lang w:val="en-US"/>
        </w:rPr>
        <w:t>st</w:t>
      </w:r>
      <w:r w:rsidR="00B07262">
        <w:rPr>
          <w:lang w:val="en-US"/>
        </w:rPr>
        <w:t xml:space="preserve"> session, other than the general introduction in Section 1 and the explosives introduction in Section 10. T</w:t>
      </w:r>
      <w:r w:rsidR="00396BB7">
        <w:rPr>
          <w:lang w:val="en-US"/>
        </w:rPr>
        <w:t xml:space="preserve">he explosives working group is </w:t>
      </w:r>
      <w:r w:rsidR="00454E8A">
        <w:rPr>
          <w:lang w:val="en-US"/>
        </w:rPr>
        <w:t xml:space="preserve">now </w:t>
      </w:r>
      <w:r w:rsidR="00396BB7">
        <w:rPr>
          <w:lang w:val="en-US"/>
        </w:rPr>
        <w:t xml:space="preserve">returning to the </w:t>
      </w:r>
      <w:r w:rsidR="00B07262">
        <w:rPr>
          <w:lang w:val="en-US"/>
        </w:rPr>
        <w:t xml:space="preserve">final </w:t>
      </w:r>
      <w:r w:rsidR="00396BB7">
        <w:rPr>
          <w:lang w:val="en-US"/>
        </w:rPr>
        <w:t>task</w:t>
      </w:r>
      <w:r w:rsidR="00CF194C">
        <w:rPr>
          <w:lang w:val="en-US"/>
        </w:rPr>
        <w:t>s</w:t>
      </w:r>
      <w:r w:rsidR="00396BB7">
        <w:rPr>
          <w:lang w:val="en-US"/>
        </w:rPr>
        <w:t xml:space="preserve"> of</w:t>
      </w:r>
      <w:r w:rsidR="0036622E">
        <w:rPr>
          <w:lang w:val="en-US"/>
        </w:rPr>
        <w:t xml:space="preserve"> </w:t>
      </w:r>
      <w:r w:rsidR="00B07262">
        <w:rPr>
          <w:lang w:val="en-US"/>
        </w:rPr>
        <w:t>revising</w:t>
      </w:r>
      <w:r w:rsidR="0036622E">
        <w:rPr>
          <w:lang w:val="en-US"/>
        </w:rPr>
        <w:t xml:space="preserve"> </w:t>
      </w:r>
      <w:r w:rsidR="00E65242">
        <w:rPr>
          <w:lang w:val="en-US"/>
        </w:rPr>
        <w:t>Section</w:t>
      </w:r>
      <w:r w:rsidR="006A5D6D">
        <w:rPr>
          <w:lang w:val="en-US"/>
        </w:rPr>
        <w:t>s</w:t>
      </w:r>
      <w:r w:rsidR="00B07262">
        <w:rPr>
          <w:lang w:val="en-US"/>
        </w:rPr>
        <w:t xml:space="preserve"> 1 and</w:t>
      </w:r>
      <w:r w:rsidR="00E65242">
        <w:rPr>
          <w:lang w:val="en-US"/>
        </w:rPr>
        <w:t xml:space="preserve"> 10</w:t>
      </w:r>
      <w:r w:rsidR="00454E8A">
        <w:rPr>
          <w:rStyle w:val="FootnoteReference"/>
          <w:lang w:val="en-US"/>
        </w:rPr>
        <w:footnoteReference w:id="3"/>
      </w:r>
      <w:r w:rsidR="00E65242">
        <w:rPr>
          <w:lang w:val="en-US"/>
        </w:rPr>
        <w:t xml:space="preserve">. Currently these sections are still </w:t>
      </w:r>
      <w:r w:rsidR="0036622E">
        <w:rPr>
          <w:lang w:val="en-US"/>
        </w:rPr>
        <w:t xml:space="preserve">proposed to be modified </w:t>
      </w:r>
      <w:r w:rsidR="007D0C3A">
        <w:rPr>
          <w:lang w:val="en-US"/>
        </w:rPr>
        <w:t xml:space="preserve">to remove </w:t>
      </w:r>
      <w:r w:rsidR="003555D8">
        <w:rPr>
          <w:lang w:val="en-US"/>
        </w:rPr>
        <w:t>references to</w:t>
      </w:r>
      <w:r w:rsidR="007D0C3A">
        <w:rPr>
          <w:lang w:val="en-US"/>
        </w:rPr>
        <w:t xml:space="preserve"> transport</w:t>
      </w:r>
      <w:r w:rsidR="0036622E">
        <w:rPr>
          <w:lang w:val="en-US"/>
        </w:rPr>
        <w:t xml:space="preserve">. </w:t>
      </w:r>
      <w:r w:rsidR="00396BB7">
        <w:rPr>
          <w:lang w:val="en-US"/>
        </w:rPr>
        <w:t xml:space="preserve">At the last session, participants were invited to bring forward proposals to modify sections 1 and 10 in this </w:t>
      </w:r>
      <w:r w:rsidR="00396BB7">
        <w:rPr>
          <w:lang w:val="en-US"/>
        </w:rPr>
        <w:lastRenderedPageBreak/>
        <w:t xml:space="preserve">regard </w:t>
      </w:r>
      <w:r w:rsidR="00B07262">
        <w:rPr>
          <w:lang w:val="en-US"/>
        </w:rPr>
        <w:t>as</w:t>
      </w:r>
      <w:r w:rsidR="00396BB7">
        <w:rPr>
          <w:lang w:val="en-US"/>
        </w:rPr>
        <w:t xml:space="preserve"> desired. </w:t>
      </w:r>
      <w:r w:rsidR="00E65242">
        <w:rPr>
          <w:lang w:val="en-US"/>
        </w:rPr>
        <w:t xml:space="preserve">SAAMI </w:t>
      </w:r>
      <w:r w:rsidR="003555D8">
        <w:rPr>
          <w:lang w:val="en-US"/>
        </w:rPr>
        <w:t xml:space="preserve">is responding with this proposal for </w:t>
      </w:r>
      <w:r w:rsidR="00CF194C">
        <w:rPr>
          <w:lang w:val="en-US"/>
        </w:rPr>
        <w:t>consequential amendments</w:t>
      </w:r>
      <w:r w:rsidR="00396BB7">
        <w:rPr>
          <w:lang w:val="en-US"/>
        </w:rPr>
        <w:t xml:space="preserve"> in </w:t>
      </w:r>
      <w:r w:rsidR="00B07262">
        <w:rPr>
          <w:lang w:val="en-US"/>
        </w:rPr>
        <w:t>the</w:t>
      </w:r>
      <w:r w:rsidR="00396BB7">
        <w:rPr>
          <w:lang w:val="en-US"/>
        </w:rPr>
        <w:t xml:space="preserve"> </w:t>
      </w:r>
      <w:r w:rsidR="00B07262">
        <w:rPr>
          <w:lang w:val="en-US"/>
        </w:rPr>
        <w:t xml:space="preserve">introductory </w:t>
      </w:r>
      <w:r w:rsidR="00396BB7">
        <w:rPr>
          <w:lang w:val="en-US"/>
        </w:rPr>
        <w:t xml:space="preserve">sections </w:t>
      </w:r>
      <w:r w:rsidR="00E65242">
        <w:rPr>
          <w:lang w:val="en-US"/>
        </w:rPr>
        <w:t>to reflect the decisions made to retain references to “transport” in</w:t>
      </w:r>
      <w:r w:rsidR="00396BB7">
        <w:rPr>
          <w:lang w:val="en-US"/>
        </w:rPr>
        <w:t xml:space="preserve"> Test Series 4 &amp; 6.</w:t>
      </w:r>
      <w:r w:rsidR="00D3549F">
        <w:rPr>
          <w:lang w:val="en-US"/>
        </w:rPr>
        <w:t xml:space="preserve"> </w:t>
      </w:r>
      <w:r w:rsidR="00F80CCB">
        <w:rPr>
          <w:lang w:val="en-US"/>
        </w:rPr>
        <w:t>These are summarized in the report of the explosives working group UN/SCETDG/50/INF.59 (</w:t>
      </w:r>
      <w:r w:rsidR="00AA6678">
        <w:rPr>
          <w:lang w:val="en-US"/>
        </w:rPr>
        <w:t xml:space="preserve">please note </w:t>
      </w:r>
      <w:r w:rsidR="00F80CCB">
        <w:rPr>
          <w:lang w:val="en-US"/>
        </w:rPr>
        <w:t>there was a typographical error in this paper showing it as coming from the 49</w:t>
      </w:r>
      <w:r w:rsidR="00F80CCB" w:rsidRPr="00F80CCB">
        <w:rPr>
          <w:vertAlign w:val="superscript"/>
          <w:lang w:val="en-US"/>
        </w:rPr>
        <w:t>th</w:t>
      </w:r>
      <w:r w:rsidR="00F80CCB">
        <w:rPr>
          <w:lang w:val="en-US"/>
        </w:rPr>
        <w:t xml:space="preserve"> session). </w:t>
      </w:r>
      <w:r w:rsidR="00D3549F">
        <w:rPr>
          <w:lang w:val="en-US"/>
        </w:rPr>
        <w:t>The decisions included</w:t>
      </w:r>
      <w:r w:rsidR="00F80CCB">
        <w:rPr>
          <w:lang w:val="en-US"/>
        </w:rPr>
        <w:t>,</w:t>
      </w:r>
      <w:r w:rsidR="005E0945">
        <w:rPr>
          <w:lang w:val="en-US"/>
        </w:rPr>
        <w:t xml:space="preserve"> for example</w:t>
      </w:r>
      <w:r w:rsidR="00D3549F">
        <w:rPr>
          <w:lang w:val="en-US"/>
        </w:rPr>
        <w:t>:</w:t>
      </w:r>
    </w:p>
    <w:p w:rsidR="005E0945" w:rsidRPr="00BA4953" w:rsidRDefault="00BA4953" w:rsidP="00C86BDB">
      <w:pPr>
        <w:pStyle w:val="SingleTxtG"/>
        <w:ind w:left="1701"/>
      </w:pPr>
      <w:r>
        <w:rPr>
          <w:lang w:val="fr-CH"/>
        </w:rPr>
        <w:t>(a)</w:t>
      </w:r>
      <w:r>
        <w:rPr>
          <w:lang w:val="fr-CH"/>
        </w:rPr>
        <w:tab/>
      </w:r>
      <w:r w:rsidR="005E0945" w:rsidRPr="00BA4953">
        <w:t>Retain “too dangerous for transport” and do not use “unstable” for Series 4</w:t>
      </w:r>
    </w:p>
    <w:p w:rsidR="005E0945" w:rsidRPr="00BA4953" w:rsidRDefault="00BA4953" w:rsidP="00C86BDB">
      <w:pPr>
        <w:pStyle w:val="SingleTxtG"/>
        <w:ind w:left="1701"/>
      </w:pPr>
      <w:r>
        <w:rPr>
          <w:lang w:val="fr-CH"/>
        </w:rPr>
        <w:t>(b)</w:t>
      </w:r>
      <w:r>
        <w:rPr>
          <w:lang w:val="fr-CH"/>
        </w:rPr>
        <w:tab/>
      </w:r>
      <w:r w:rsidR="005E0945" w:rsidRPr="00BA4953">
        <w:t>Retain “In general, the package as used for transport should be tested” in Series 4.</w:t>
      </w:r>
    </w:p>
    <w:p w:rsidR="005E0945" w:rsidRPr="00BA4953" w:rsidRDefault="00BA4953" w:rsidP="00C86BDB">
      <w:pPr>
        <w:pStyle w:val="SingleTxtG"/>
        <w:ind w:left="1701"/>
      </w:pPr>
      <w:r>
        <w:rPr>
          <w:lang w:val="fr-CH"/>
        </w:rPr>
        <w:t>(c)</w:t>
      </w:r>
      <w:r>
        <w:rPr>
          <w:lang w:val="fr-CH"/>
        </w:rPr>
        <w:tab/>
      </w:r>
      <w:r w:rsidR="005E0945" w:rsidRPr="00BA4953">
        <w:t>Do not use “shall be classified as an unstable explosive” and retain “too dangerous for transport” for Series 4</w:t>
      </w:r>
    </w:p>
    <w:p w:rsidR="005E0945" w:rsidRPr="00BA4953" w:rsidRDefault="00BA4953" w:rsidP="00C86BDB">
      <w:pPr>
        <w:pStyle w:val="SingleTxtG"/>
        <w:ind w:left="1701"/>
      </w:pPr>
      <w:r>
        <w:rPr>
          <w:lang w:val="fr-CH"/>
        </w:rPr>
        <w:t>(d)</w:t>
      </w:r>
      <w:r>
        <w:rPr>
          <w:lang w:val="fr-CH"/>
        </w:rPr>
        <w:tab/>
      </w:r>
      <w:r w:rsidR="00860894" w:rsidRPr="00BA4953">
        <w:t xml:space="preserve">Retain “Tests from Series 6 should be applied … in the form in which they are offered for transport”, and </w:t>
      </w:r>
      <w:r w:rsidR="00AA6678" w:rsidRPr="00BA4953">
        <w:t xml:space="preserve">do </w:t>
      </w:r>
      <w:r w:rsidR="00860894" w:rsidRPr="00BA4953">
        <w:t>not</w:t>
      </w:r>
      <w:r w:rsidR="00AA6678" w:rsidRPr="00BA4953">
        <w:t xml:space="preserve"> use</w:t>
      </w:r>
      <w:r w:rsidR="00860894" w:rsidRPr="00BA4953">
        <w:t xml:space="preserve"> </w:t>
      </w:r>
      <w:r w:rsidR="00AA6678" w:rsidRPr="00BA4953">
        <w:t xml:space="preserve">“ … in the </w:t>
      </w:r>
      <w:r w:rsidR="00860894" w:rsidRPr="00BA4953">
        <w:t>form in which they are offered for classification” in 16.3.1.</w:t>
      </w:r>
    </w:p>
    <w:p w:rsidR="00860894" w:rsidRPr="00BA4953" w:rsidRDefault="00BA4953" w:rsidP="00C86BDB">
      <w:pPr>
        <w:pStyle w:val="SingleTxtG"/>
        <w:ind w:left="1701"/>
      </w:pPr>
      <w:r>
        <w:rPr>
          <w:lang w:val="fr-CH"/>
        </w:rPr>
        <w:t>(e)</w:t>
      </w:r>
      <w:r>
        <w:rPr>
          <w:lang w:val="fr-CH"/>
        </w:rPr>
        <w:tab/>
      </w:r>
      <w:r w:rsidR="00860894" w:rsidRPr="00BA4953">
        <w:t xml:space="preserve">Other instances of retaining </w:t>
      </w:r>
      <w:r w:rsidR="00CE1B64" w:rsidRPr="00BA4953">
        <w:t>“</w:t>
      </w:r>
      <w:r w:rsidR="00860894" w:rsidRPr="00BA4953">
        <w:t>transport</w:t>
      </w:r>
      <w:r w:rsidR="00CE1B64" w:rsidRPr="00BA4953">
        <w:t>”</w:t>
      </w:r>
      <w:r w:rsidR="002D03C0" w:rsidRPr="00BA4953">
        <w:t xml:space="preserve"> or “carried”</w:t>
      </w:r>
      <w:r w:rsidR="00F80CCB" w:rsidRPr="00BA4953">
        <w:t xml:space="preserve"> are</w:t>
      </w:r>
      <w:r w:rsidR="00860894" w:rsidRPr="00BA4953">
        <w:t xml:space="preserve"> in 16.4.1.3.1</w:t>
      </w:r>
      <w:r w:rsidR="00CE1B64" w:rsidRPr="00BA4953">
        <w:t>, 16.5.1.3</w:t>
      </w:r>
      <w:r w:rsidR="00F80CCB" w:rsidRPr="00BA4953">
        <w:t>, 16.6.1.3.1 and 16.7.1.3.1.</w:t>
      </w:r>
    </w:p>
    <w:p w:rsidR="00945DAF" w:rsidRDefault="00BA4953" w:rsidP="00BA4953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945DAF">
        <w:rPr>
          <w:lang w:val="en-US"/>
        </w:rPr>
        <w:t>It may be worthwhile for the explosives working group to discuss the meaning of the terms “Class 1” and “</w:t>
      </w:r>
      <w:r w:rsidR="00C75944">
        <w:rPr>
          <w:lang w:val="en-US"/>
        </w:rPr>
        <w:t xml:space="preserve">the </w:t>
      </w:r>
      <w:r w:rsidR="00945DAF">
        <w:rPr>
          <w:lang w:val="en-US"/>
        </w:rPr>
        <w:t>Class of Explosives”. This has been thoug</w:t>
      </w:r>
      <w:r w:rsidR="00333342">
        <w:rPr>
          <w:lang w:val="en-US"/>
        </w:rPr>
        <w:t>ht of in terms of differentiating</w:t>
      </w:r>
      <w:r w:rsidR="00945DAF">
        <w:rPr>
          <w:lang w:val="en-US"/>
        </w:rPr>
        <w:t xml:space="preserve"> </w:t>
      </w:r>
      <w:r w:rsidR="00C75944">
        <w:rPr>
          <w:lang w:val="en-US"/>
        </w:rPr>
        <w:t xml:space="preserve">two different classes in </w:t>
      </w:r>
      <w:r w:rsidR="00945DAF">
        <w:rPr>
          <w:lang w:val="en-US"/>
        </w:rPr>
        <w:t xml:space="preserve">TDG </w:t>
      </w:r>
      <w:r w:rsidR="00F80CCB">
        <w:rPr>
          <w:lang w:val="en-US"/>
        </w:rPr>
        <w:t xml:space="preserve">from </w:t>
      </w:r>
      <w:r w:rsidR="00945DAF">
        <w:rPr>
          <w:lang w:val="en-US"/>
        </w:rPr>
        <w:t xml:space="preserve">GHS. </w:t>
      </w:r>
      <w:r w:rsidR="00404346">
        <w:rPr>
          <w:lang w:val="en-US"/>
        </w:rPr>
        <w:t>This</w:t>
      </w:r>
      <w:r w:rsidR="00F80CCB">
        <w:rPr>
          <w:lang w:val="en-US"/>
        </w:rPr>
        <w:t xml:space="preserve"> is incorrect, </w:t>
      </w:r>
      <w:r w:rsidR="000B55FF">
        <w:rPr>
          <w:lang w:val="en-US"/>
        </w:rPr>
        <w:t>because</w:t>
      </w:r>
      <w:r w:rsidR="00945DAF">
        <w:rPr>
          <w:lang w:val="en-US"/>
        </w:rPr>
        <w:t xml:space="preserve"> GHS encompasses transport, and Class 1 </w:t>
      </w:r>
      <w:r w:rsidR="00F80CCB">
        <w:rPr>
          <w:lang w:val="en-US"/>
        </w:rPr>
        <w:t xml:space="preserve">for transport is a </w:t>
      </w:r>
      <w:r w:rsidR="00945DAF">
        <w:rPr>
          <w:lang w:val="en-US"/>
        </w:rPr>
        <w:t xml:space="preserve">subset of the </w:t>
      </w:r>
      <w:r w:rsidR="00F80CCB">
        <w:rPr>
          <w:lang w:val="en-US"/>
        </w:rPr>
        <w:t xml:space="preserve">GHS </w:t>
      </w:r>
      <w:r w:rsidR="00945DAF">
        <w:rPr>
          <w:lang w:val="en-US"/>
        </w:rPr>
        <w:t>class of explosives</w:t>
      </w:r>
      <w:r w:rsidR="00F80CCB">
        <w:rPr>
          <w:lang w:val="en-US"/>
        </w:rPr>
        <w:t>,</w:t>
      </w:r>
      <w:r w:rsidR="00945DAF">
        <w:rPr>
          <w:lang w:val="en-US"/>
        </w:rPr>
        <w:t xml:space="preserve"> rather than a separate entity. </w:t>
      </w:r>
      <w:r w:rsidR="00300628">
        <w:rPr>
          <w:lang w:val="en-US"/>
        </w:rPr>
        <w:t xml:space="preserve">The class of explosives includes Class 1, Divisions 1.1 – 1.6, and “unstable explosives”, i.e. those which fail Test Series 3 or 4 and </w:t>
      </w:r>
      <w:r w:rsidR="00300628" w:rsidRPr="00BA4953">
        <w:t>are</w:t>
      </w:r>
      <w:r w:rsidR="00300628">
        <w:rPr>
          <w:lang w:val="en-US"/>
        </w:rPr>
        <w:t xml:space="preserve"> forbidden from transport. </w:t>
      </w:r>
      <w:r w:rsidR="00945DAF">
        <w:rPr>
          <w:lang w:val="en-US"/>
        </w:rPr>
        <w:t xml:space="preserve">If this </w:t>
      </w:r>
      <w:r w:rsidR="00F80CCB">
        <w:rPr>
          <w:lang w:val="en-US"/>
        </w:rPr>
        <w:t>can be made explicit in the text</w:t>
      </w:r>
      <w:r w:rsidR="00945DAF">
        <w:rPr>
          <w:lang w:val="en-US"/>
        </w:rPr>
        <w:t xml:space="preserve"> it may eliminate editorial problems when trying to separate generic versus sector-specific </w:t>
      </w:r>
      <w:r w:rsidR="00B369D1">
        <w:rPr>
          <w:lang w:val="en-US"/>
        </w:rPr>
        <w:t>test series in areas that combine both in text</w:t>
      </w:r>
      <w:r w:rsidR="00945DAF">
        <w:rPr>
          <w:lang w:val="en-US"/>
        </w:rPr>
        <w:t xml:space="preserve"> </w:t>
      </w:r>
      <w:r w:rsidR="00B369D1">
        <w:rPr>
          <w:lang w:val="en-US"/>
        </w:rPr>
        <w:t>or</w:t>
      </w:r>
      <w:r w:rsidR="00945DAF">
        <w:rPr>
          <w:lang w:val="en-US"/>
        </w:rPr>
        <w:t xml:space="preserve"> flow charts</w:t>
      </w:r>
      <w:r w:rsidR="00F80CCB">
        <w:rPr>
          <w:lang w:val="en-US"/>
        </w:rPr>
        <w:t xml:space="preserve">. </w:t>
      </w:r>
      <w:r w:rsidR="00A573DE">
        <w:rPr>
          <w:lang w:val="en-US"/>
        </w:rPr>
        <w:t>References</w:t>
      </w:r>
      <w:r w:rsidR="00C75944">
        <w:rPr>
          <w:lang w:val="en-US"/>
        </w:rPr>
        <w:t xml:space="preserve"> </w:t>
      </w:r>
      <w:r w:rsidR="00F80CCB">
        <w:rPr>
          <w:lang w:val="en-US"/>
        </w:rPr>
        <w:t>could be left as “Class 1” when necessary to indicate</w:t>
      </w:r>
      <w:r w:rsidR="00982887">
        <w:rPr>
          <w:lang w:val="en-US"/>
        </w:rPr>
        <w:t xml:space="preserve"> that the transport configuration is </w:t>
      </w:r>
      <w:r w:rsidR="00C75944">
        <w:rPr>
          <w:lang w:val="en-US"/>
        </w:rPr>
        <w:t>important</w:t>
      </w:r>
      <w:r w:rsidR="00F80CCB">
        <w:rPr>
          <w:lang w:val="en-US"/>
        </w:rPr>
        <w:t xml:space="preserve">, </w:t>
      </w:r>
      <w:r w:rsidR="00C75944">
        <w:rPr>
          <w:lang w:val="en-US"/>
        </w:rPr>
        <w:t xml:space="preserve">and </w:t>
      </w:r>
      <w:r w:rsidR="00F80CCB">
        <w:rPr>
          <w:lang w:val="en-US"/>
        </w:rPr>
        <w:t xml:space="preserve">still </w:t>
      </w:r>
      <w:r w:rsidR="00C75944">
        <w:rPr>
          <w:lang w:val="en-US"/>
        </w:rPr>
        <w:t xml:space="preserve">be </w:t>
      </w:r>
      <w:r w:rsidR="00F80CCB">
        <w:rPr>
          <w:lang w:val="en-US"/>
        </w:rPr>
        <w:t xml:space="preserve">within the greater </w:t>
      </w:r>
      <w:r w:rsidR="00C75944">
        <w:rPr>
          <w:lang w:val="en-US"/>
        </w:rPr>
        <w:t xml:space="preserve">multi-sector </w:t>
      </w:r>
      <w:r w:rsidR="00F80CCB">
        <w:rPr>
          <w:lang w:val="en-US"/>
        </w:rPr>
        <w:t>context of GHS</w:t>
      </w:r>
      <w:r w:rsidR="00982887">
        <w:rPr>
          <w:lang w:val="en-US"/>
        </w:rPr>
        <w:t xml:space="preserve">.  </w:t>
      </w:r>
      <w:r w:rsidR="00945DAF">
        <w:rPr>
          <w:lang w:val="en-US"/>
        </w:rPr>
        <w:t xml:space="preserve">The </w:t>
      </w:r>
      <w:r w:rsidR="0009435D">
        <w:rPr>
          <w:lang w:val="en-US"/>
        </w:rPr>
        <w:t xml:space="preserve">changes to </w:t>
      </w:r>
      <w:r w:rsidR="00945DAF">
        <w:rPr>
          <w:lang w:val="en-US"/>
        </w:rPr>
        <w:t xml:space="preserve">Figure 10.2 provide an example </w:t>
      </w:r>
      <w:r w:rsidR="0009435D">
        <w:rPr>
          <w:lang w:val="en-US"/>
        </w:rPr>
        <w:t xml:space="preserve">of </w:t>
      </w:r>
      <w:r w:rsidR="00945DAF">
        <w:rPr>
          <w:lang w:val="en-US"/>
        </w:rPr>
        <w:t>where this might be of assistance.</w:t>
      </w:r>
      <w:r w:rsidR="00B369D1">
        <w:rPr>
          <w:lang w:val="en-US"/>
        </w:rPr>
        <w:t xml:space="preserve"> Otherwise a systematic review of every instance of “the class of explosives” </w:t>
      </w:r>
      <w:r w:rsidR="00057224">
        <w:rPr>
          <w:lang w:val="en-US"/>
        </w:rPr>
        <w:t>may be</w:t>
      </w:r>
      <w:r w:rsidR="00B369D1">
        <w:rPr>
          <w:lang w:val="en-US"/>
        </w:rPr>
        <w:t xml:space="preserve"> required.</w:t>
      </w:r>
    </w:p>
    <w:p w:rsidR="00DC0FE9" w:rsidRPr="00CE710B" w:rsidRDefault="00BA4953" w:rsidP="00BA4953">
      <w:pPr>
        <w:pStyle w:val="SingleTxtG"/>
        <w:rPr>
          <w:lang w:val="en-US"/>
        </w:rPr>
      </w:pPr>
      <w:r>
        <w:rPr>
          <w:lang w:val="fr-CH"/>
        </w:rPr>
        <w:t>5.</w:t>
      </w:r>
      <w:r>
        <w:rPr>
          <w:lang w:val="fr-CH"/>
        </w:rPr>
        <w:tab/>
      </w:r>
      <w:r w:rsidR="00F13A36" w:rsidRPr="00BA4953">
        <w:t>Some</w:t>
      </w:r>
      <w:r w:rsidR="00F13A36">
        <w:rPr>
          <w:lang w:val="en-US"/>
        </w:rPr>
        <w:t xml:space="preserve"> editorial changes are also suggested</w:t>
      </w:r>
      <w:r w:rsidR="001F299D">
        <w:rPr>
          <w:lang w:val="en-US"/>
        </w:rPr>
        <w:t xml:space="preserve"> to the additions to Section 1</w:t>
      </w:r>
      <w:r w:rsidR="00F13A36">
        <w:rPr>
          <w:lang w:val="en-US"/>
        </w:rPr>
        <w:t>.</w:t>
      </w:r>
    </w:p>
    <w:p w:rsidR="00CE710B" w:rsidRPr="00CE710B" w:rsidRDefault="00BA4953" w:rsidP="00BA4953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CE710B">
        <w:rPr>
          <w:lang w:val="en-US"/>
        </w:rPr>
        <w:t xml:space="preserve">Due to </w:t>
      </w:r>
      <w:r w:rsidR="00CE710B" w:rsidRPr="00BA4953">
        <w:t>the</w:t>
      </w:r>
      <w:r w:rsidR="00CE710B">
        <w:rPr>
          <w:lang w:val="en-US"/>
        </w:rPr>
        <w:t xml:space="preserve"> extensive changes being made, SAAMI’s proposals are shown as edits to the main proposals, and not as edits to the current Revision 6 of the Manual. </w:t>
      </w:r>
      <w:r w:rsidR="00C27A6E">
        <w:rPr>
          <w:lang w:val="en-US"/>
        </w:rPr>
        <w:t xml:space="preserve">The main proposals include other unrelated changes made since the publication of Revision 6. </w:t>
      </w:r>
      <w:r w:rsidR="00A63A3E">
        <w:rPr>
          <w:lang w:val="en-US"/>
        </w:rPr>
        <w:t>We have striven to show our final intent for the text</w:t>
      </w:r>
      <w:r w:rsidR="007064F3">
        <w:rPr>
          <w:lang w:val="en-US"/>
        </w:rPr>
        <w:t xml:space="preserve"> </w:t>
      </w:r>
      <w:r w:rsidR="00454E8A">
        <w:rPr>
          <w:lang w:val="en-US"/>
        </w:rPr>
        <w:t xml:space="preserve">by </w:t>
      </w:r>
      <w:r w:rsidR="00473B8F">
        <w:rPr>
          <w:lang w:val="en-US"/>
        </w:rPr>
        <w:t>highlighting</w:t>
      </w:r>
      <w:r w:rsidR="007064F3">
        <w:rPr>
          <w:lang w:val="en-US"/>
        </w:rPr>
        <w:t xml:space="preserve"> our own edits, with or without highlighting </w:t>
      </w:r>
      <w:r w:rsidR="0001780B">
        <w:rPr>
          <w:lang w:val="en-US"/>
        </w:rPr>
        <w:t>the edits of INF.3</w:t>
      </w:r>
      <w:r w:rsidR="00DC002F">
        <w:rPr>
          <w:lang w:val="en-US"/>
        </w:rPr>
        <w:t xml:space="preserve"> as appropriate</w:t>
      </w:r>
      <w:r w:rsidR="008609E4">
        <w:rPr>
          <w:lang w:val="en-US"/>
        </w:rPr>
        <w:t>,</w:t>
      </w:r>
      <w:r w:rsidR="007064F3">
        <w:rPr>
          <w:lang w:val="en-US"/>
        </w:rPr>
        <w:t xml:space="preserve"> </w:t>
      </w:r>
      <w:r w:rsidR="00454E8A">
        <w:rPr>
          <w:lang w:val="en-US"/>
        </w:rPr>
        <w:t xml:space="preserve">to make </w:t>
      </w:r>
      <w:r w:rsidR="00DC002F">
        <w:rPr>
          <w:lang w:val="en-US"/>
        </w:rPr>
        <w:t>our</w:t>
      </w:r>
      <w:r w:rsidR="00454E8A">
        <w:rPr>
          <w:lang w:val="en-US"/>
        </w:rPr>
        <w:t xml:space="preserve"> proposals stand out</w:t>
      </w:r>
      <w:r w:rsidR="00457CB8">
        <w:rPr>
          <w:lang w:val="en-US"/>
        </w:rPr>
        <w:t xml:space="preserve">. This still being less than effective, our edits are in </w:t>
      </w:r>
      <w:r w:rsidR="00457CB8" w:rsidRPr="009727F8">
        <w:rPr>
          <w:color w:val="1F497D" w:themeColor="text2"/>
          <w:lang w:val="en-US"/>
        </w:rPr>
        <w:t>blue</w:t>
      </w:r>
      <w:r w:rsidR="009B0A71" w:rsidRPr="009727F8">
        <w:rPr>
          <w:color w:val="1F497D" w:themeColor="text2"/>
          <w:lang w:val="en-US"/>
        </w:rPr>
        <w:t xml:space="preserve"> </w:t>
      </w:r>
      <w:r w:rsidR="009B0A71">
        <w:rPr>
          <w:lang w:val="en-US"/>
        </w:rPr>
        <w:t xml:space="preserve">and edits of INF.3 are in </w:t>
      </w:r>
      <w:r w:rsidR="009B0A71" w:rsidRPr="009727F8">
        <w:rPr>
          <w:color w:val="00B050"/>
          <w:lang w:val="en-US"/>
        </w:rPr>
        <w:t>green</w:t>
      </w:r>
      <w:r w:rsidR="00A63A3E">
        <w:rPr>
          <w:lang w:val="en-US"/>
        </w:rPr>
        <w:t xml:space="preserve">. </w:t>
      </w:r>
    </w:p>
    <w:p w:rsidR="00CE710B" w:rsidRDefault="00BF7BD6" w:rsidP="00454D11">
      <w:pPr>
        <w:pStyle w:val="HChG"/>
        <w:spacing w:before="240" w:after="120"/>
        <w:outlineLvl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D476A">
        <w:rPr>
          <w:lang w:val="en-US"/>
        </w:rPr>
        <w:t>Proposal</w:t>
      </w:r>
    </w:p>
    <w:p w:rsidR="00CE710B" w:rsidRDefault="00BA4953" w:rsidP="00BA4953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="00454D11">
        <w:rPr>
          <w:lang w:val="en-US"/>
        </w:rPr>
        <w:t xml:space="preserve">In Section 1, Table of Contents, </w:t>
      </w:r>
      <w:r w:rsidR="003D7E1B">
        <w:rPr>
          <w:lang w:val="en-US"/>
        </w:rPr>
        <w:t xml:space="preserve">remove “OF CLASS 1” in the title of Part 1, </w:t>
      </w:r>
      <w:proofErr w:type="gramStart"/>
      <w:r w:rsidR="003D7E1B">
        <w:rPr>
          <w:lang w:val="en-US"/>
        </w:rPr>
        <w:t>which appears to be an oversight.</w:t>
      </w:r>
      <w:proofErr w:type="gramEnd"/>
      <w:r w:rsidR="003D7E1B">
        <w:rPr>
          <w:lang w:val="en-US"/>
        </w:rPr>
        <w:t xml:space="preserve"> However, we propose to r</w:t>
      </w:r>
      <w:r w:rsidR="00454D11">
        <w:rPr>
          <w:lang w:val="en-US"/>
        </w:rPr>
        <w:t xml:space="preserve">etain the existing </w:t>
      </w:r>
      <w:r w:rsidR="00510446">
        <w:rPr>
          <w:lang w:val="en-US"/>
        </w:rPr>
        <w:t xml:space="preserve">Revision 6 </w:t>
      </w:r>
      <w:r w:rsidR="00454D11">
        <w:rPr>
          <w:lang w:val="en-US"/>
        </w:rPr>
        <w:t>description of Test Series 4</w:t>
      </w:r>
      <w:r w:rsidR="009B0A71">
        <w:rPr>
          <w:lang w:val="en-US"/>
        </w:rPr>
        <w:t xml:space="preserve"> which continues to reflect the t</w:t>
      </w:r>
      <w:r w:rsidR="00563950">
        <w:rPr>
          <w:lang w:val="en-US"/>
        </w:rPr>
        <w:t xml:space="preserve">ext in the Test Series, as the proposed changes were rejected </w:t>
      </w:r>
      <w:r w:rsidR="009B0A71">
        <w:rPr>
          <w:lang w:val="en-US"/>
        </w:rPr>
        <w:t>in December 2016</w:t>
      </w:r>
      <w:r w:rsidR="00454D11">
        <w:rPr>
          <w:lang w:val="en-US"/>
        </w:rPr>
        <w:t>, and modify the description of Test Series 6</w:t>
      </w:r>
      <w:r w:rsidR="00563950">
        <w:rPr>
          <w:lang w:val="en-US"/>
        </w:rPr>
        <w:t xml:space="preserve"> in the same vein</w:t>
      </w:r>
      <w:r w:rsidR="0002060D">
        <w:rPr>
          <w:lang w:val="en-US"/>
        </w:rPr>
        <w:t xml:space="preserve">. There are two uses of Test Series 6 </w:t>
      </w:r>
      <w:r>
        <w:rPr>
          <w:lang w:val="en-US"/>
        </w:rPr>
        <w:t>- to assign a division of Class </w:t>
      </w:r>
      <w:r w:rsidR="0002060D">
        <w:rPr>
          <w:lang w:val="en-US"/>
        </w:rPr>
        <w:t xml:space="preserve">1 which relates </w:t>
      </w:r>
      <w:r w:rsidR="000858E4">
        <w:rPr>
          <w:lang w:val="en-US"/>
        </w:rPr>
        <w:t xml:space="preserve">only </w:t>
      </w:r>
      <w:r w:rsidR="0002060D">
        <w:rPr>
          <w:lang w:val="en-US"/>
        </w:rPr>
        <w:t xml:space="preserve">to </w:t>
      </w:r>
      <w:r w:rsidR="000858E4">
        <w:rPr>
          <w:lang w:val="en-US"/>
        </w:rPr>
        <w:t xml:space="preserve">the </w:t>
      </w:r>
      <w:r w:rsidR="0002060D">
        <w:rPr>
          <w:lang w:val="en-US"/>
        </w:rPr>
        <w:t>transport</w:t>
      </w:r>
      <w:r w:rsidR="000858E4">
        <w:rPr>
          <w:lang w:val="en-US"/>
        </w:rPr>
        <w:t xml:space="preserve"> sector</w:t>
      </w:r>
      <w:r w:rsidR="0002060D">
        <w:rPr>
          <w:lang w:val="en-US"/>
        </w:rPr>
        <w:t>, or exclude from the class of explosives which relates to all sectors</w:t>
      </w:r>
      <w:r w:rsidR="004F56A0">
        <w:rPr>
          <w:lang w:val="en-US"/>
        </w:rPr>
        <w:t>:</w:t>
      </w:r>
    </w:p>
    <w:p w:rsidR="00454D11" w:rsidRPr="0002060D" w:rsidRDefault="004F56A0" w:rsidP="00BA4953">
      <w:pPr>
        <w:pStyle w:val="SingleTxtG"/>
        <w:ind w:left="1701"/>
      </w:pPr>
      <w:r>
        <w:t>PART I:</w:t>
      </w:r>
      <w:r w:rsidR="00BA4953">
        <w:rPr>
          <w:lang w:val="fr-CH"/>
        </w:rPr>
        <w:tab/>
      </w:r>
      <w:r w:rsidR="00454D11" w:rsidRPr="00454D11">
        <w:t xml:space="preserve">CLASSIFICATION PROCEDURES, TEST METHODS AND CRITERIA RELATING TO EXPLOSIVES </w:t>
      </w:r>
      <w:r w:rsidR="00454D11" w:rsidRPr="00E26CA1">
        <w:rPr>
          <w:strike/>
          <w:color w:val="1F497D" w:themeColor="text2"/>
        </w:rPr>
        <w:t>OF CLASS 1</w:t>
      </w:r>
      <w:r w:rsidR="00454D11" w:rsidRPr="00E26CA1">
        <w:rPr>
          <w:color w:val="1F497D" w:themeColor="text2"/>
        </w:rPr>
        <w:t xml:space="preserve"> </w:t>
      </w:r>
      <w:r w:rsidR="009B0A71">
        <w:rPr>
          <w:color w:val="1F497D" w:themeColor="text2"/>
        </w:rPr>
        <w:t xml:space="preserve">(note – this should have been </w:t>
      </w:r>
      <w:r w:rsidR="002A358B">
        <w:rPr>
          <w:color w:val="1F497D" w:themeColor="text2"/>
        </w:rPr>
        <w:t>green and in INF.3)</w:t>
      </w:r>
    </w:p>
    <w:p w:rsidR="00454D11" w:rsidRPr="00510446" w:rsidRDefault="00454D11" w:rsidP="00BA4953">
      <w:pPr>
        <w:pStyle w:val="SingleTxtG"/>
        <w:ind w:left="1701"/>
      </w:pPr>
      <w:r w:rsidRPr="00510446">
        <w:t>14</w:t>
      </w:r>
      <w:r w:rsidR="0002060D">
        <w:t>.</w:t>
      </w:r>
      <w:r w:rsidRPr="00510446">
        <w:t>TEST SERIES 4  (To determine if a</w:t>
      </w:r>
      <w:r w:rsidR="0002060D">
        <w:t>n article, packaged article or</w:t>
      </w:r>
      <w:r w:rsidR="0002060D">
        <w:br/>
      </w:r>
      <w:r w:rsidRPr="00510446">
        <w:t xml:space="preserve">  packaged substance is </w:t>
      </w:r>
      <w:r w:rsidRPr="00E26CA1">
        <w:rPr>
          <w:color w:val="1F497D" w:themeColor="text2"/>
          <w:u w:val="single"/>
        </w:rPr>
        <w:t>too dangerous for transport</w:t>
      </w:r>
      <w:r w:rsidR="00510446" w:rsidRPr="00E26CA1">
        <w:rPr>
          <w:color w:val="1F497D" w:themeColor="text2"/>
          <w:u w:val="single"/>
        </w:rPr>
        <w:t xml:space="preserve"> </w:t>
      </w:r>
      <w:r w:rsidR="0002060D" w:rsidRPr="00E26CA1">
        <w:rPr>
          <w:strike/>
          <w:color w:val="1F497D" w:themeColor="text2"/>
        </w:rPr>
        <w:t>classified as an unstable explosive</w:t>
      </w:r>
      <w:r w:rsidR="0002060D">
        <w:t>)</w:t>
      </w:r>
    </w:p>
    <w:p w:rsidR="00454D11" w:rsidRPr="00510446" w:rsidRDefault="0002060D" w:rsidP="00BA4953">
      <w:pPr>
        <w:pStyle w:val="SingleTxtG"/>
        <w:ind w:left="1701"/>
      </w:pPr>
      <w:r>
        <w:lastRenderedPageBreak/>
        <w:t>16.</w:t>
      </w:r>
      <w:r w:rsidR="00454D11" w:rsidRPr="00510446">
        <w:t>TEST SERIES 6  (To assign a substance or article to Division 1.1, 1.2</w:t>
      </w:r>
      <w:r>
        <w:t>, 1.3 or 1.4</w:t>
      </w:r>
      <w:r>
        <w:br/>
      </w:r>
      <w:r w:rsidRPr="009B0A71">
        <w:rPr>
          <w:color w:val="1F497D" w:themeColor="text2"/>
          <w:u w:val="single"/>
        </w:rPr>
        <w:t>of Class 1</w:t>
      </w:r>
      <w:r w:rsidRPr="009B0A71">
        <w:rPr>
          <w:color w:val="1F497D" w:themeColor="text2"/>
        </w:rPr>
        <w:t xml:space="preserve"> </w:t>
      </w:r>
      <w:r w:rsidR="00454D11" w:rsidRPr="00510446">
        <w:t xml:space="preserve">or exclude it from </w:t>
      </w:r>
      <w:r w:rsidR="00454D11" w:rsidRPr="009B0A71">
        <w:rPr>
          <w:strike/>
          <w:color w:val="00B050"/>
        </w:rPr>
        <w:t>Class 1</w:t>
      </w:r>
      <w:r w:rsidR="00454D11" w:rsidRPr="009B0A71">
        <w:rPr>
          <w:color w:val="00B050"/>
        </w:rPr>
        <w:t xml:space="preserve"> </w:t>
      </w:r>
      <w:r w:rsidR="00454D11" w:rsidRPr="009B0A71">
        <w:rPr>
          <w:color w:val="00B050"/>
          <w:u w:val="single"/>
        </w:rPr>
        <w:t>the class of explosives</w:t>
      </w:r>
      <w:r>
        <w:t>)</w:t>
      </w:r>
    </w:p>
    <w:p w:rsidR="00C73CC8" w:rsidRDefault="00BA4953" w:rsidP="00BA4953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 w:rsidR="00854252">
        <w:rPr>
          <w:lang w:val="en-US"/>
        </w:rPr>
        <w:t>Add a new section 1.1.</w:t>
      </w:r>
      <w:r w:rsidR="00901360">
        <w:rPr>
          <w:lang w:val="en-US"/>
        </w:rPr>
        <w:t>9</w:t>
      </w:r>
      <w:r w:rsidR="00290DE3">
        <w:rPr>
          <w:lang w:val="en-US"/>
        </w:rPr>
        <w:t xml:space="preserve"> </w:t>
      </w:r>
      <w:r w:rsidR="00901360">
        <w:rPr>
          <w:lang w:val="en-US"/>
        </w:rPr>
        <w:t>at the end of section 1.1 in</w:t>
      </w:r>
      <w:r w:rsidR="00B141EB">
        <w:rPr>
          <w:lang w:val="en-US"/>
        </w:rPr>
        <w:t xml:space="preserve"> INF.3</w:t>
      </w:r>
      <w:r w:rsidR="00854252">
        <w:rPr>
          <w:lang w:val="en-US"/>
        </w:rPr>
        <w:t>:</w:t>
      </w:r>
    </w:p>
    <w:p w:rsidR="00AE1098" w:rsidRPr="00BA4953" w:rsidRDefault="00AE1098" w:rsidP="00BA4953">
      <w:pPr>
        <w:pStyle w:val="SingleTxtG"/>
        <w:ind w:left="1701"/>
        <w:rPr>
          <w:u w:val="single"/>
        </w:rPr>
      </w:pPr>
      <w:r w:rsidRPr="00BA4953">
        <w:rPr>
          <w:u w:val="single"/>
        </w:rPr>
        <w:t>1.1.</w:t>
      </w:r>
      <w:r w:rsidR="0048549F" w:rsidRPr="00BA4953">
        <w:rPr>
          <w:u w:val="single"/>
        </w:rPr>
        <w:t>9</w:t>
      </w:r>
      <w:r w:rsidRPr="00BA4953">
        <w:rPr>
          <w:u w:val="single"/>
        </w:rPr>
        <w:tab/>
        <w:t xml:space="preserve">The </w:t>
      </w:r>
      <w:r w:rsidR="00263CDA" w:rsidRPr="00BA4953">
        <w:rPr>
          <w:u w:val="single"/>
        </w:rPr>
        <w:t>text and references throughout the manual</w:t>
      </w:r>
      <w:r w:rsidRPr="00BA4953">
        <w:rPr>
          <w:u w:val="single"/>
        </w:rPr>
        <w:t xml:space="preserve"> strive to be sector-neutral, but sometimes must be sector-specific. For example, Section IV is used for transport equipment, and Section V is used when the transport sector should be unaffected. Also, there may be some sector-specificity within a section</w:t>
      </w:r>
      <w:r w:rsidR="000B566A" w:rsidRPr="00BA4953">
        <w:rPr>
          <w:u w:val="single"/>
        </w:rPr>
        <w:t>, for example Test Series 4 and 6</w:t>
      </w:r>
      <w:r w:rsidR="00C554A4" w:rsidRPr="00BA4953">
        <w:rPr>
          <w:u w:val="single"/>
        </w:rPr>
        <w:t xml:space="preserve"> are suitable </w:t>
      </w:r>
      <w:r w:rsidR="00D3549F" w:rsidRPr="00BA4953">
        <w:rPr>
          <w:u w:val="single"/>
        </w:rPr>
        <w:t xml:space="preserve">only </w:t>
      </w:r>
      <w:r w:rsidR="00C554A4" w:rsidRPr="00BA4953">
        <w:rPr>
          <w:u w:val="single"/>
        </w:rPr>
        <w:t>for use on packages as presented for transport</w:t>
      </w:r>
      <w:r w:rsidRPr="00BA4953">
        <w:rPr>
          <w:u w:val="single"/>
        </w:rPr>
        <w:t xml:space="preserve">. </w:t>
      </w:r>
      <w:r w:rsidR="00C554A4" w:rsidRPr="00BA4953">
        <w:rPr>
          <w:u w:val="single"/>
        </w:rPr>
        <w:t xml:space="preserve">These </w:t>
      </w:r>
      <w:r w:rsidRPr="00BA4953">
        <w:rPr>
          <w:u w:val="single"/>
        </w:rPr>
        <w:t xml:space="preserve">test methods used to assign divisions to explosives </w:t>
      </w:r>
      <w:r w:rsidR="00D3549F" w:rsidRPr="00BA4953">
        <w:rPr>
          <w:u w:val="single"/>
        </w:rPr>
        <w:t xml:space="preserve">are based not only on </w:t>
      </w:r>
      <w:r w:rsidRPr="00BA4953">
        <w:rPr>
          <w:u w:val="single"/>
        </w:rPr>
        <w:t>intrinsic properties</w:t>
      </w:r>
      <w:r w:rsidR="00D3549F" w:rsidRPr="00BA4953">
        <w:rPr>
          <w:u w:val="single"/>
        </w:rPr>
        <w:t xml:space="preserve"> but also on the packaging and environment</w:t>
      </w:r>
      <w:r w:rsidRPr="00BA4953">
        <w:rPr>
          <w:u w:val="single"/>
        </w:rPr>
        <w:t xml:space="preserve">. Explosives </w:t>
      </w:r>
      <w:r w:rsidR="00263CDA" w:rsidRPr="00BA4953">
        <w:rPr>
          <w:u w:val="single"/>
        </w:rPr>
        <w:t xml:space="preserve">transport </w:t>
      </w:r>
      <w:r w:rsidRPr="00BA4953">
        <w:rPr>
          <w:u w:val="single"/>
        </w:rPr>
        <w:t xml:space="preserve">classifications </w:t>
      </w:r>
      <w:r w:rsidR="00263CDA" w:rsidRPr="00BA4953">
        <w:rPr>
          <w:u w:val="single"/>
        </w:rPr>
        <w:t xml:space="preserve">to the Division level </w:t>
      </w:r>
      <w:r w:rsidR="00D3549F" w:rsidRPr="00BA4953">
        <w:rPr>
          <w:u w:val="single"/>
        </w:rPr>
        <w:t>frequently apply only</w:t>
      </w:r>
      <w:r w:rsidR="009773E2" w:rsidRPr="00BA4953">
        <w:rPr>
          <w:u w:val="single"/>
        </w:rPr>
        <w:t xml:space="preserve"> to a defined configuration, with the quantity and confinement (packaging) as </w:t>
      </w:r>
      <w:r w:rsidR="00D3549F" w:rsidRPr="00BA4953">
        <w:rPr>
          <w:u w:val="single"/>
        </w:rPr>
        <w:t>prepared</w:t>
      </w:r>
      <w:r w:rsidR="009773E2" w:rsidRPr="00BA4953">
        <w:rPr>
          <w:u w:val="single"/>
        </w:rPr>
        <w:t xml:space="preserve"> for transport</w:t>
      </w:r>
      <w:r w:rsidRPr="00BA4953">
        <w:rPr>
          <w:u w:val="single"/>
        </w:rPr>
        <w:t xml:space="preserve">. Sectors other than transport safely </w:t>
      </w:r>
      <w:r w:rsidR="00FE762E" w:rsidRPr="00BA4953">
        <w:rPr>
          <w:u w:val="single"/>
        </w:rPr>
        <w:t xml:space="preserve">build upon </w:t>
      </w:r>
      <w:r w:rsidRPr="00BA4953">
        <w:rPr>
          <w:u w:val="single"/>
        </w:rPr>
        <w:t>explosives transport classifications</w:t>
      </w:r>
      <w:r w:rsidR="009773E2" w:rsidRPr="00BA4953">
        <w:rPr>
          <w:u w:val="single"/>
        </w:rPr>
        <w:t xml:space="preserve">, </w:t>
      </w:r>
      <w:r w:rsidRPr="00BA4953">
        <w:rPr>
          <w:u w:val="single"/>
        </w:rPr>
        <w:t>by applying additional contro</w:t>
      </w:r>
      <w:r w:rsidR="00FE762E" w:rsidRPr="00BA4953">
        <w:rPr>
          <w:u w:val="single"/>
        </w:rPr>
        <w:t>ls</w:t>
      </w:r>
      <w:r w:rsidR="00767D3A" w:rsidRPr="00BA4953">
        <w:rPr>
          <w:u w:val="single"/>
        </w:rPr>
        <w:t>, e.g. quantity-distance</w:t>
      </w:r>
      <w:r w:rsidR="000B566A" w:rsidRPr="00BA4953">
        <w:rPr>
          <w:u w:val="single"/>
        </w:rPr>
        <w:t>s (QD)</w:t>
      </w:r>
      <w:r w:rsidR="00767D3A" w:rsidRPr="00BA4953">
        <w:rPr>
          <w:u w:val="single"/>
        </w:rPr>
        <w:t>,</w:t>
      </w:r>
      <w:r w:rsidR="00FE762E" w:rsidRPr="00BA4953">
        <w:rPr>
          <w:u w:val="single"/>
        </w:rPr>
        <w:t xml:space="preserve"> to ensure the classification</w:t>
      </w:r>
      <w:r w:rsidRPr="00BA4953">
        <w:rPr>
          <w:u w:val="single"/>
        </w:rPr>
        <w:t xml:space="preserve"> accurate</w:t>
      </w:r>
      <w:r w:rsidR="00FE762E" w:rsidRPr="00BA4953">
        <w:rPr>
          <w:u w:val="single"/>
        </w:rPr>
        <w:t>ly communicates the hazard</w:t>
      </w:r>
      <w:r w:rsidRPr="00BA4953">
        <w:rPr>
          <w:u w:val="single"/>
        </w:rPr>
        <w:t>.</w:t>
      </w:r>
      <w:r w:rsidR="00DC5E82" w:rsidRPr="00BA4953">
        <w:rPr>
          <w:u w:val="single"/>
        </w:rPr>
        <w:t xml:space="preserve"> </w:t>
      </w:r>
    </w:p>
    <w:p w:rsidR="00633A7D" w:rsidRPr="00633A7D" w:rsidRDefault="00BA4953" w:rsidP="00BA4953">
      <w:pPr>
        <w:pStyle w:val="SingleTxtG"/>
        <w:rPr>
          <w:lang w:val="en-US"/>
        </w:rPr>
      </w:pPr>
      <w:r>
        <w:rPr>
          <w:lang w:val="fr-CH"/>
        </w:rPr>
        <w:t>9.</w:t>
      </w:r>
      <w:r>
        <w:rPr>
          <w:lang w:val="fr-CH"/>
        </w:rPr>
        <w:tab/>
      </w:r>
      <w:r w:rsidR="00633A7D">
        <w:t xml:space="preserve">Amend </w:t>
      </w:r>
      <w:r w:rsidR="00DC5E82">
        <w:t xml:space="preserve">new </w:t>
      </w:r>
      <w:r w:rsidR="00633A7D">
        <w:t xml:space="preserve">proposed paragraph 1.2.3.1 </w:t>
      </w:r>
      <w:r w:rsidR="00C218DD">
        <w:t xml:space="preserve">with </w:t>
      </w:r>
      <w:r w:rsidR="00162EB7">
        <w:t xml:space="preserve">native </w:t>
      </w:r>
      <w:r w:rsidR="00B47866">
        <w:t xml:space="preserve">English language </w:t>
      </w:r>
      <w:r w:rsidR="00C218DD">
        <w:t xml:space="preserve">changes </w:t>
      </w:r>
      <w:r w:rsidR="00B47866">
        <w:t xml:space="preserve">(first and fifth lines), followed by </w:t>
      </w:r>
      <w:r w:rsidR="00C218DD">
        <w:t>substantive change</w:t>
      </w:r>
      <w:r w:rsidR="00B47866">
        <w:t>s</w:t>
      </w:r>
      <w:r w:rsidR="00C218DD">
        <w:t xml:space="preserve"> to the treatment of articles</w:t>
      </w:r>
      <w:r w:rsidR="0040260E">
        <w:t xml:space="preserve">. </w:t>
      </w:r>
      <w:r w:rsidR="00EF2FFF">
        <w:t xml:space="preserve">The term “article” is not defined in TDG or GHS. </w:t>
      </w:r>
      <w:r w:rsidR="00332851">
        <w:t xml:space="preserve">There is a difficulty </w:t>
      </w:r>
      <w:r w:rsidR="00332851" w:rsidRPr="00332851">
        <w:t xml:space="preserve">that TDG and GHS </w:t>
      </w:r>
      <w:r w:rsidR="00EF2FFF">
        <w:t xml:space="preserve">(or more </w:t>
      </w:r>
      <w:r w:rsidR="003F5FC4">
        <w:t>precisely</w:t>
      </w:r>
      <w:r w:rsidR="00EF2FFF">
        <w:t xml:space="preserve">, implementations of GHS) </w:t>
      </w:r>
      <w:r w:rsidR="00332851" w:rsidRPr="00332851">
        <w:t xml:space="preserve">have different </w:t>
      </w:r>
      <w:r w:rsidR="00332851">
        <w:t>uses of</w:t>
      </w:r>
      <w:r w:rsidR="00332851" w:rsidRPr="00332851">
        <w:t xml:space="preserve"> </w:t>
      </w:r>
      <w:r w:rsidR="00EF2FFF">
        <w:t>this</w:t>
      </w:r>
      <w:r w:rsidR="00332851">
        <w:t xml:space="preserve"> term</w:t>
      </w:r>
      <w:r w:rsidR="00EF2FFF">
        <w:t>, and t</w:t>
      </w:r>
      <w:r w:rsidR="00332851" w:rsidRPr="00332851">
        <w:t xml:space="preserve">his causes complications throughout the entire </w:t>
      </w:r>
      <w:r w:rsidR="00EF2FFF">
        <w:t>Manual</w:t>
      </w:r>
      <w:r w:rsidR="00332851" w:rsidRPr="00332851">
        <w:t xml:space="preserve"> text which is now </w:t>
      </w:r>
      <w:r w:rsidR="003F5FC4">
        <w:t>desired</w:t>
      </w:r>
      <w:r w:rsidR="00332851" w:rsidRPr="00332851">
        <w:t xml:space="preserve"> to cover both GHS and TDG.</w:t>
      </w:r>
      <w:r w:rsidR="00EF2FFF">
        <w:t xml:space="preserve"> </w:t>
      </w:r>
      <w:r w:rsidR="0040260E">
        <w:t>W</w:t>
      </w:r>
      <w:r w:rsidR="00633A7D">
        <w:t xml:space="preserve">ith </w:t>
      </w:r>
      <w:r w:rsidR="00633A7D" w:rsidRPr="00BA4953">
        <w:t>regard</w:t>
      </w:r>
      <w:r w:rsidR="00633A7D">
        <w:t xml:space="preserve"> to the term “articles”</w:t>
      </w:r>
      <w:r w:rsidR="00332851">
        <w:t>,</w:t>
      </w:r>
      <w:r w:rsidR="00633A7D">
        <w:t xml:space="preserve"> GHS addresses </w:t>
      </w:r>
      <w:r w:rsidR="00C218DD">
        <w:t xml:space="preserve">more </w:t>
      </w:r>
      <w:r w:rsidR="00633A7D">
        <w:t xml:space="preserve">dangerous goods articles </w:t>
      </w:r>
      <w:r w:rsidR="00C218DD">
        <w:t>than just</w:t>
      </w:r>
      <w:r w:rsidR="00633A7D">
        <w:t xml:space="preserve"> ex</w:t>
      </w:r>
      <w:r w:rsidR="00234DE9">
        <w:t>plosives; for example,</w:t>
      </w:r>
      <w:r w:rsidR="00633A7D">
        <w:t xml:space="preserve"> aerosols </w:t>
      </w:r>
      <w:r w:rsidR="009C48FB">
        <w:t>have a class of their own</w:t>
      </w:r>
      <w:r w:rsidR="00633A7D">
        <w:t xml:space="preserve"> in GHS. Some states, </w:t>
      </w:r>
      <w:r w:rsidR="00234DE9">
        <w:t>for example</w:t>
      </w:r>
      <w:r w:rsidR="00633A7D">
        <w:t xml:space="preserve"> the USA, </w:t>
      </w:r>
      <w:r w:rsidR="00F04A91">
        <w:t xml:space="preserve">generally </w:t>
      </w:r>
      <w:r w:rsidR="00633A7D">
        <w:t>regulate dangerous goods articles</w:t>
      </w:r>
      <w:r w:rsidR="00EF2FFF">
        <w:t>, e.g. a lithium battery,</w:t>
      </w:r>
      <w:r w:rsidR="00633A7D">
        <w:t xml:space="preserve"> in their implementation of GHS</w:t>
      </w:r>
      <w:r w:rsidR="00EF2FFF">
        <w:t xml:space="preserve">; an “article” is not subject to the US requirements, but </w:t>
      </w:r>
      <w:r w:rsidR="0040260E">
        <w:t>dangerous goods articles</w:t>
      </w:r>
      <w:r w:rsidR="00EF2FFF">
        <w:t xml:space="preserve"> are not “articles”</w:t>
      </w:r>
      <w:r w:rsidR="0040260E">
        <w:t xml:space="preserve"> (see GHS 1.3.2.1.1 and follow the reference into the OSHA regulation</w:t>
      </w:r>
      <w:r w:rsidR="00E15A62">
        <w:rPr>
          <w:rStyle w:val="FootnoteReference"/>
        </w:rPr>
        <w:footnoteReference w:id="4"/>
      </w:r>
      <w:r w:rsidR="0040260E">
        <w:t>, which generally excludes dangerous goods</w:t>
      </w:r>
      <w:r w:rsidR="00626B1F">
        <w:t xml:space="preserve"> as articles because they are hazardous</w:t>
      </w:r>
      <w:r w:rsidR="0040260E">
        <w:t>)</w:t>
      </w:r>
      <w:r w:rsidR="00C761E7">
        <w:t xml:space="preserve">. </w:t>
      </w:r>
      <w:r w:rsidR="00856B0F">
        <w:t xml:space="preserve">OSHA’s use of “article” began in </w:t>
      </w:r>
      <w:r w:rsidR="003B6AE6">
        <w:t xml:space="preserve">1983 </w:t>
      </w:r>
      <w:r w:rsidR="00856B0F">
        <w:t xml:space="preserve">and pre-dates the GHS. </w:t>
      </w:r>
      <w:r w:rsidR="00C761E7">
        <w:t xml:space="preserve">Other </w:t>
      </w:r>
      <w:r w:rsidR="00234DE9">
        <w:t>states</w:t>
      </w:r>
      <w:r w:rsidR="00633A7D">
        <w:t xml:space="preserve"> may</w:t>
      </w:r>
      <w:r w:rsidR="00234DE9">
        <w:t xml:space="preserve"> not regulate dangerous goods articles in their implementations of GHS. </w:t>
      </w:r>
      <w:r w:rsidR="00856B0F">
        <w:t>The GHS itself takes no overarching position, except to agree with OSHA that non-hazardous objects are not subject to GHS</w:t>
      </w:r>
      <w:r w:rsidR="00626B1F">
        <w:t>, which aligns with other implementations that go farther and do not apply to dangerous goods articles</w:t>
      </w:r>
      <w:r w:rsidR="00856B0F">
        <w:t xml:space="preserve">. </w:t>
      </w:r>
      <w:r w:rsidR="00C761E7">
        <w:t xml:space="preserve">The </w:t>
      </w:r>
      <w:r w:rsidR="00633A7D">
        <w:t>GHS must encompass all implementations</w:t>
      </w:r>
      <w:r w:rsidR="003F3784">
        <w:t>;</w:t>
      </w:r>
      <w:r w:rsidR="00633A7D">
        <w:t xml:space="preserve"> </w:t>
      </w:r>
      <w:r w:rsidR="003F3784">
        <w:t>t</w:t>
      </w:r>
      <w:r w:rsidR="00856B0F">
        <w:t xml:space="preserve">he proposed </w:t>
      </w:r>
      <w:r w:rsidR="00633A7D">
        <w:t>text seems to favor one implementation over another, and since it is only explanatory and not substantive, it can simply be deleted:</w:t>
      </w:r>
    </w:p>
    <w:p w:rsidR="00633A7D" w:rsidRPr="00DC5E82" w:rsidRDefault="00567465" w:rsidP="00BA4953">
      <w:pPr>
        <w:pStyle w:val="SingleTxtG"/>
        <w:ind w:left="1701"/>
        <w:rPr>
          <w:strike/>
        </w:rPr>
      </w:pPr>
      <w:r w:rsidRPr="00DC5E82">
        <w:t xml:space="preserve">1.2.3.1 </w:t>
      </w:r>
      <w:r w:rsidRPr="00DC5E82">
        <w:tab/>
        <w:t xml:space="preserve">Since the GHS addresses </w:t>
      </w:r>
      <w:r w:rsidRPr="00DC5E82">
        <w:rPr>
          <w:strike/>
          <w:color w:val="1F497D" w:themeColor="text2"/>
        </w:rPr>
        <w:t>also</w:t>
      </w:r>
      <w:r w:rsidRPr="00DC5E82">
        <w:rPr>
          <w:color w:val="1F497D" w:themeColor="text2"/>
        </w:rPr>
        <w:t xml:space="preserve"> </w:t>
      </w:r>
      <w:r w:rsidR="006B4347" w:rsidRPr="00DC5E82">
        <w:rPr>
          <w:color w:val="1F497D" w:themeColor="text2"/>
          <w:u w:val="single"/>
        </w:rPr>
        <w:t>other</w:t>
      </w:r>
      <w:r w:rsidR="006B4347" w:rsidRPr="00DC5E82">
        <w:rPr>
          <w:color w:val="1F497D" w:themeColor="text2"/>
        </w:rPr>
        <w:t xml:space="preserve"> </w:t>
      </w:r>
      <w:r w:rsidRPr="00DC5E82">
        <w:t xml:space="preserve">sectors </w:t>
      </w:r>
      <w:r w:rsidRPr="00DC5E82">
        <w:rPr>
          <w:strike/>
          <w:color w:val="1F497D" w:themeColor="text2"/>
        </w:rPr>
        <w:t>other than</w:t>
      </w:r>
      <w:r w:rsidRPr="00DC5E82">
        <w:rPr>
          <w:color w:val="1F497D" w:themeColor="text2"/>
        </w:rPr>
        <w:t xml:space="preserve"> </w:t>
      </w:r>
      <w:r w:rsidR="006B4347" w:rsidRPr="00DC5E82">
        <w:rPr>
          <w:color w:val="1F497D" w:themeColor="text2"/>
          <w:u w:val="single"/>
        </w:rPr>
        <w:t>in addition to</w:t>
      </w:r>
      <w:r w:rsidR="006B4347" w:rsidRPr="00DC5E82">
        <w:t xml:space="preserve"> </w:t>
      </w:r>
      <w:r w:rsidRPr="00DC5E82">
        <w:t>transport (e.g. storage, supply and use), it includes hazards not considered relevant to transport, such as several non-acute health hazards. Due to the differences in scope between the GHS and the Model Regulations</w:t>
      </w:r>
      <w:r w:rsidR="0040260E" w:rsidRPr="00DC5E82">
        <w:rPr>
          <w:u w:val="single"/>
        </w:rPr>
        <w:t>,</w:t>
      </w:r>
      <w:r w:rsidRPr="00DC5E82">
        <w:t xml:space="preserve"> not all hazards addressed in the GHS have their counterparts in the Model Regulations, and vice versa. For instance there is </w:t>
      </w:r>
      <w:r w:rsidRPr="00DC5E82">
        <w:rPr>
          <w:strike/>
          <w:color w:val="1F497D" w:themeColor="text2"/>
        </w:rPr>
        <w:t>not a</w:t>
      </w:r>
      <w:r w:rsidRPr="00DC5E82">
        <w:rPr>
          <w:color w:val="1F497D" w:themeColor="text2"/>
        </w:rPr>
        <w:t xml:space="preserve"> </w:t>
      </w:r>
      <w:r w:rsidR="001B6A7E" w:rsidRPr="00DC5E82">
        <w:rPr>
          <w:color w:val="1F497D" w:themeColor="text2"/>
          <w:u w:val="single"/>
        </w:rPr>
        <w:t>no</w:t>
      </w:r>
      <w:r w:rsidR="001B6A7E" w:rsidRPr="00DC5E82">
        <w:rPr>
          <w:color w:val="1F497D" w:themeColor="text2"/>
        </w:rPr>
        <w:t xml:space="preserve"> </w:t>
      </w:r>
      <w:r w:rsidRPr="00DC5E82">
        <w:t>specific hazard class in the GHS for radioactive material (Class 7 in transport)</w:t>
      </w:r>
      <w:r w:rsidR="0040260E" w:rsidRPr="00DC5E82">
        <w:rPr>
          <w:u w:val="single"/>
        </w:rPr>
        <w:t>,</w:t>
      </w:r>
      <w:r w:rsidRPr="00DC5E82">
        <w:t xml:space="preserve"> and some of the dangerous goods classified for transport in Class 9 </w:t>
      </w:r>
      <w:r w:rsidRPr="00DC5E82">
        <w:rPr>
          <w:strike/>
          <w:color w:val="1F497D" w:themeColor="text2"/>
        </w:rPr>
        <w:t>are either not addressed by the GHS at all (e.g. many articles) or</w:t>
      </w:r>
      <w:r w:rsidRPr="00DC5E82">
        <w:rPr>
          <w:color w:val="1F497D" w:themeColor="text2"/>
        </w:rPr>
        <w:t xml:space="preserve"> </w:t>
      </w:r>
      <w:r w:rsidRPr="00DC5E82">
        <w:t>are covered by other GHS hazard classes (e.g.: environmentally hazardous substances of Class 9</w:t>
      </w:r>
      <w:r w:rsidRPr="00DC5E82">
        <w:rPr>
          <w:strike/>
          <w:color w:val="1F497D" w:themeColor="text2"/>
        </w:rPr>
        <w:t>, which</w:t>
      </w:r>
      <w:r w:rsidRPr="00DC5E82">
        <w:rPr>
          <w:color w:val="1F497D" w:themeColor="text2"/>
        </w:rPr>
        <w:t xml:space="preserve"> </w:t>
      </w:r>
      <w:r w:rsidRPr="00DC5E82">
        <w:t xml:space="preserve">may fall under the GHS hazard class Hazardous to the aquatic environment). </w:t>
      </w:r>
      <w:r w:rsidRPr="00DC5E82">
        <w:rPr>
          <w:strike/>
          <w:color w:val="1F497D" w:themeColor="text2"/>
        </w:rPr>
        <w:t>Furthermore, with the exception of explosive articles, the GHS does not cover articles (see 1.3.2.1.1 of the GHS).</w:t>
      </w:r>
    </w:p>
    <w:p w:rsidR="00965842" w:rsidRDefault="00BA4953" w:rsidP="00BA4953">
      <w:pPr>
        <w:pStyle w:val="SingleTxtG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 w:rsidR="00B42038">
        <w:rPr>
          <w:lang w:val="en-US"/>
        </w:rPr>
        <w:t xml:space="preserve">In Section 10, </w:t>
      </w:r>
      <w:r w:rsidR="00A2005C">
        <w:rPr>
          <w:lang w:val="en-US"/>
        </w:rPr>
        <w:t>Contents of Part I</w:t>
      </w:r>
      <w:r w:rsidR="00B42038">
        <w:rPr>
          <w:lang w:val="en-US"/>
        </w:rPr>
        <w:t xml:space="preserve">, retain the existing Revision 6 description of </w:t>
      </w:r>
      <w:r w:rsidR="00965842">
        <w:rPr>
          <w:lang w:val="en-US"/>
        </w:rPr>
        <w:t>subsection 10.4</w:t>
      </w:r>
      <w:r w:rsidR="00FB724E">
        <w:rPr>
          <w:lang w:val="en-US"/>
        </w:rPr>
        <w:t xml:space="preserve">, </w:t>
      </w:r>
      <w:r w:rsidR="005D544E">
        <w:rPr>
          <w:lang w:val="en-US"/>
        </w:rPr>
        <w:t xml:space="preserve">as it was decided in December 2016 to retain transport-specific wording for Test Series 6, and </w:t>
      </w:r>
      <w:r w:rsidR="00FB724E" w:rsidRPr="00BA4953">
        <w:t>understanding</w:t>
      </w:r>
      <w:r w:rsidR="00FB724E">
        <w:rPr>
          <w:lang w:val="en-US"/>
        </w:rPr>
        <w:t xml:space="preserve"> that Class 1 is a sub-set of the class of explosives</w:t>
      </w:r>
      <w:r w:rsidR="00965842">
        <w:rPr>
          <w:lang w:val="en-US"/>
        </w:rPr>
        <w:t>:</w:t>
      </w:r>
    </w:p>
    <w:p w:rsidR="00B42038" w:rsidRPr="009138A9" w:rsidRDefault="00965842" w:rsidP="009138A9">
      <w:pPr>
        <w:pStyle w:val="SingleTxtG"/>
        <w:ind w:left="1701"/>
        <w:rPr>
          <w:strike/>
          <w:color w:val="1F497D" w:themeColor="text2"/>
          <w:lang w:val="fr-CH"/>
        </w:rPr>
      </w:pPr>
      <w:r>
        <w:lastRenderedPageBreak/>
        <w:t>10.4</w:t>
      </w:r>
      <w:r w:rsidR="00B42038">
        <w:t>:</w:t>
      </w:r>
      <w:r w:rsidR="00BA4953">
        <w:rPr>
          <w:lang w:val="fr-CH"/>
        </w:rPr>
        <w:tab/>
      </w:r>
      <w:r>
        <w:t xml:space="preserve">PROCEDURE FOR ASSIGNMENT TO A DIVISION </w:t>
      </w:r>
      <w:r w:rsidRPr="00FB724E">
        <w:rPr>
          <w:color w:val="1F497D" w:themeColor="text2"/>
          <w:u w:val="single"/>
        </w:rPr>
        <w:t>OF CLASS 1</w:t>
      </w:r>
      <w:r w:rsidRPr="00FB724E">
        <w:rPr>
          <w:color w:val="1F497D" w:themeColor="text2"/>
        </w:rPr>
        <w:t xml:space="preserve"> </w:t>
      </w:r>
      <w:r w:rsidRPr="00FB724E">
        <w:rPr>
          <w:strike/>
          <w:color w:val="1F497D" w:themeColor="text2"/>
        </w:rPr>
        <w:t>THE CLASS OF EXPLOSIVES</w:t>
      </w:r>
    </w:p>
    <w:p w:rsidR="004F1A5C" w:rsidRPr="007C2C4C" w:rsidRDefault="00BA4953" w:rsidP="00BA4953">
      <w:pPr>
        <w:pStyle w:val="SingleTxtG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</w:r>
      <w:r w:rsidR="00246E2D">
        <w:rPr>
          <w:lang w:val="en-US"/>
        </w:rPr>
        <w:t>Amend 10.1.2 to state explicitly that Class 1 for transport is a subset of the GHS class of explosives, and that any reference to Class 1 is a reference to the class of explosives:</w:t>
      </w:r>
    </w:p>
    <w:p w:rsidR="00246E2D" w:rsidRPr="00161ADB" w:rsidRDefault="00246E2D" w:rsidP="00BA4953">
      <w:pPr>
        <w:pStyle w:val="ManualBodyText"/>
        <w:numPr>
          <w:ilvl w:val="0"/>
          <w:numId w:val="0"/>
        </w:numPr>
        <w:spacing w:after="120"/>
        <w:ind w:left="1701" w:right="1134" w:firstLine="11"/>
      </w:pPr>
      <w:r w:rsidRPr="00144ECD">
        <w:rPr>
          <w:sz w:val="20"/>
          <w:szCs w:val="20"/>
        </w:rPr>
        <w:t>10.1.2</w:t>
      </w:r>
      <w:r w:rsidRPr="00144ECD">
        <w:rPr>
          <w:sz w:val="20"/>
          <w:szCs w:val="20"/>
        </w:rPr>
        <w:tab/>
      </w:r>
      <w:r w:rsidR="007C2C4C">
        <w:rPr>
          <w:color w:val="1F497D" w:themeColor="text2"/>
          <w:sz w:val="20"/>
          <w:szCs w:val="20"/>
          <w:u w:val="single"/>
        </w:rPr>
        <w:t>The</w:t>
      </w:r>
      <w:r w:rsidR="007C2C4C" w:rsidRPr="007C2C4C">
        <w:rPr>
          <w:color w:val="1F497D" w:themeColor="text2"/>
          <w:sz w:val="20"/>
          <w:szCs w:val="20"/>
          <w:u w:val="single"/>
        </w:rPr>
        <w:t xml:space="preserve"> GHS class of explosives </w:t>
      </w:r>
      <w:r w:rsidR="007C2C4C">
        <w:rPr>
          <w:color w:val="1F497D" w:themeColor="text2"/>
          <w:sz w:val="20"/>
          <w:szCs w:val="20"/>
          <w:u w:val="single"/>
        </w:rPr>
        <w:t>includes</w:t>
      </w:r>
      <w:r w:rsidR="007C2C4C" w:rsidRPr="007C2C4C">
        <w:rPr>
          <w:color w:val="1F497D" w:themeColor="text2"/>
          <w:sz w:val="20"/>
          <w:szCs w:val="20"/>
          <w:u w:val="single"/>
        </w:rPr>
        <w:t xml:space="preserve"> explosives </w:t>
      </w:r>
      <w:r w:rsidR="007C2C4C">
        <w:rPr>
          <w:color w:val="1F497D" w:themeColor="text2"/>
          <w:sz w:val="20"/>
          <w:szCs w:val="20"/>
          <w:u w:val="single"/>
        </w:rPr>
        <w:t>in all sectors.</w:t>
      </w:r>
      <w:r w:rsidR="007C2C4C" w:rsidRPr="007C2C4C">
        <w:rPr>
          <w:color w:val="1F497D" w:themeColor="text2"/>
          <w:sz w:val="20"/>
          <w:szCs w:val="20"/>
          <w:u w:val="single"/>
        </w:rPr>
        <w:t xml:space="preserve"> Class 1 is a subset of this class, and </w:t>
      </w:r>
      <w:r w:rsidR="006D1025">
        <w:rPr>
          <w:color w:val="1F497D" w:themeColor="text2"/>
          <w:sz w:val="20"/>
          <w:szCs w:val="20"/>
          <w:u w:val="single"/>
        </w:rPr>
        <w:t>includes</w:t>
      </w:r>
      <w:r w:rsidR="007C2C4C" w:rsidRPr="007C2C4C">
        <w:rPr>
          <w:color w:val="1F497D" w:themeColor="text2"/>
          <w:sz w:val="20"/>
          <w:szCs w:val="20"/>
          <w:u w:val="single"/>
        </w:rPr>
        <w:t xml:space="preserve"> explosives classified</w:t>
      </w:r>
      <w:r w:rsidR="006D1025">
        <w:rPr>
          <w:color w:val="1F497D" w:themeColor="text2"/>
          <w:sz w:val="20"/>
          <w:szCs w:val="20"/>
          <w:u w:val="single"/>
        </w:rPr>
        <w:t xml:space="preserve"> as presented for transport.</w:t>
      </w:r>
      <w:r w:rsidR="007C2C4C" w:rsidRPr="007C2C4C">
        <w:rPr>
          <w:color w:val="1F497D" w:themeColor="text2"/>
          <w:sz w:val="20"/>
          <w:szCs w:val="20"/>
          <w:u w:val="single"/>
        </w:rPr>
        <w:t xml:space="preserve"> The class of explosives </w:t>
      </w:r>
      <w:r w:rsidR="00317DAD">
        <w:rPr>
          <w:color w:val="1F497D" w:themeColor="text2"/>
          <w:sz w:val="20"/>
          <w:szCs w:val="20"/>
          <w:u w:val="single"/>
        </w:rPr>
        <w:t>also includes</w:t>
      </w:r>
      <w:r w:rsidR="007C2C4C" w:rsidRPr="007C2C4C">
        <w:rPr>
          <w:color w:val="1F497D" w:themeColor="text2"/>
          <w:sz w:val="20"/>
          <w:szCs w:val="20"/>
          <w:u w:val="single"/>
        </w:rPr>
        <w:t xml:space="preserve"> </w:t>
      </w:r>
      <w:r w:rsidR="00317DAD">
        <w:rPr>
          <w:color w:val="1F497D" w:themeColor="text2"/>
          <w:sz w:val="20"/>
          <w:szCs w:val="20"/>
          <w:u w:val="single"/>
        </w:rPr>
        <w:t xml:space="preserve">the category of unstable </w:t>
      </w:r>
      <w:r w:rsidR="007C2C4C" w:rsidRPr="007C2C4C">
        <w:rPr>
          <w:color w:val="1F497D" w:themeColor="text2"/>
          <w:sz w:val="20"/>
          <w:szCs w:val="20"/>
          <w:u w:val="single"/>
        </w:rPr>
        <w:t>explosives</w:t>
      </w:r>
      <w:r w:rsidR="00317DAD">
        <w:rPr>
          <w:color w:val="1F497D" w:themeColor="text2"/>
          <w:sz w:val="20"/>
          <w:szCs w:val="20"/>
          <w:u w:val="single"/>
        </w:rPr>
        <w:t>,</w:t>
      </w:r>
      <w:r w:rsidR="007C2C4C" w:rsidRPr="007C2C4C">
        <w:rPr>
          <w:color w:val="1F497D" w:themeColor="text2"/>
          <w:sz w:val="20"/>
          <w:szCs w:val="20"/>
          <w:u w:val="single"/>
        </w:rPr>
        <w:t xml:space="preserve"> which </w:t>
      </w:r>
      <w:r w:rsidR="006D1025">
        <w:rPr>
          <w:color w:val="1F497D" w:themeColor="text2"/>
          <w:sz w:val="20"/>
          <w:szCs w:val="20"/>
          <w:u w:val="single"/>
        </w:rPr>
        <w:t xml:space="preserve">is defined as those explosives which are </w:t>
      </w:r>
      <w:r w:rsidR="007C2C4C" w:rsidRPr="007C2C4C">
        <w:rPr>
          <w:color w:val="1F497D" w:themeColor="text2"/>
          <w:sz w:val="20"/>
          <w:szCs w:val="20"/>
          <w:u w:val="single"/>
        </w:rPr>
        <w:t>forbidden from transport.</w:t>
      </w:r>
      <w:r w:rsidR="00237212">
        <w:rPr>
          <w:color w:val="1F497D" w:themeColor="text2"/>
          <w:sz w:val="20"/>
          <w:szCs w:val="20"/>
          <w:u w:val="single"/>
        </w:rPr>
        <w:t xml:space="preserve"> </w:t>
      </w:r>
      <w:r w:rsidRPr="00FD19BE">
        <w:rPr>
          <w:color w:val="1F497D" w:themeColor="text2"/>
          <w:sz w:val="20"/>
          <w:szCs w:val="20"/>
          <w:u w:val="single"/>
        </w:rPr>
        <w:t>Goods of Class 1</w:t>
      </w:r>
      <w:r w:rsidRPr="00144ECD">
        <w:rPr>
          <w:color w:val="00B050"/>
          <w:sz w:val="20"/>
          <w:szCs w:val="20"/>
        </w:rPr>
        <w:t xml:space="preserve"> </w:t>
      </w:r>
      <w:r w:rsidRPr="00FD19BE">
        <w:rPr>
          <w:strike/>
          <w:color w:val="1F497D" w:themeColor="text2"/>
          <w:sz w:val="20"/>
          <w:szCs w:val="20"/>
        </w:rPr>
        <w:t xml:space="preserve">Explosives, other than unstable explosives, </w:t>
      </w:r>
      <w:r w:rsidRPr="00144ECD">
        <w:rPr>
          <w:sz w:val="20"/>
          <w:szCs w:val="20"/>
        </w:rPr>
        <w:t xml:space="preserve">are assigned to one of six divisions </w:t>
      </w:r>
      <w:r w:rsidRPr="00C554A4">
        <w:rPr>
          <w:strike/>
          <w:color w:val="1F497D" w:themeColor="text2"/>
          <w:sz w:val="20"/>
          <w:szCs w:val="20"/>
        </w:rPr>
        <w:t>for transport</w:t>
      </w:r>
      <w:r w:rsidRPr="00144ECD">
        <w:rPr>
          <w:sz w:val="20"/>
          <w:szCs w:val="20"/>
        </w:rPr>
        <w:t xml:space="preserve">, depending on the type of hazard they present (see </w:t>
      </w:r>
      <w:r w:rsidRPr="00144ECD">
        <w:rPr>
          <w:color w:val="00B050"/>
          <w:sz w:val="20"/>
          <w:szCs w:val="20"/>
        </w:rPr>
        <w:t xml:space="preserve">Chapter 2.1, </w:t>
      </w:r>
      <w:r w:rsidRPr="00144ECD">
        <w:rPr>
          <w:sz w:val="20"/>
          <w:szCs w:val="20"/>
        </w:rPr>
        <w:t>paragraph 2.1.1.4 of the Model Regulations</w:t>
      </w:r>
      <w:r w:rsidRPr="00144ECD">
        <w:rPr>
          <w:color w:val="FF0000"/>
          <w:sz w:val="20"/>
          <w:szCs w:val="20"/>
        </w:rPr>
        <w:t xml:space="preserve"> </w:t>
      </w:r>
      <w:r w:rsidRPr="00144ECD">
        <w:rPr>
          <w:color w:val="00B050"/>
          <w:sz w:val="20"/>
          <w:szCs w:val="20"/>
        </w:rPr>
        <w:t>and Chapter 2.1, paragraph 2.1.2 of the GHS</w:t>
      </w:r>
      <w:r w:rsidRPr="00144ECD">
        <w:rPr>
          <w:sz w:val="20"/>
          <w:szCs w:val="20"/>
        </w:rPr>
        <w:t>), and</w:t>
      </w:r>
      <w:r w:rsidRPr="00144ECD">
        <w:rPr>
          <w:color w:val="00B050"/>
          <w:sz w:val="20"/>
          <w:szCs w:val="20"/>
        </w:rPr>
        <w:t xml:space="preserve">, for some regulatory purposes (e.g. transport), </w:t>
      </w:r>
      <w:r w:rsidRPr="00144ECD">
        <w:rPr>
          <w:sz w:val="20"/>
          <w:szCs w:val="20"/>
        </w:rPr>
        <w:t xml:space="preserve">to one of </w:t>
      </w:r>
      <w:r w:rsidRPr="00144ECD">
        <w:rPr>
          <w:color w:val="00B050"/>
          <w:sz w:val="20"/>
          <w:szCs w:val="20"/>
        </w:rPr>
        <w:t xml:space="preserve">the </w:t>
      </w:r>
      <w:r w:rsidRPr="00144ECD">
        <w:rPr>
          <w:sz w:val="20"/>
          <w:szCs w:val="20"/>
        </w:rPr>
        <w:t xml:space="preserve">thirteen compatibility groups </w:t>
      </w:r>
      <w:r w:rsidRPr="00144ECD">
        <w:rPr>
          <w:strike/>
          <w:color w:val="00B050"/>
          <w:sz w:val="20"/>
          <w:szCs w:val="20"/>
        </w:rPr>
        <w:t>which</w:t>
      </w:r>
      <w:r w:rsidRPr="00144ECD">
        <w:rPr>
          <w:color w:val="00B050"/>
          <w:sz w:val="20"/>
          <w:szCs w:val="20"/>
        </w:rPr>
        <w:t xml:space="preserve"> that </w:t>
      </w:r>
      <w:r w:rsidRPr="00144ECD">
        <w:rPr>
          <w:sz w:val="20"/>
          <w:szCs w:val="20"/>
        </w:rPr>
        <w:t>identify the kinds of explosive</w:t>
      </w:r>
      <w:r w:rsidRPr="00144ECD">
        <w:rPr>
          <w:color w:val="00B050"/>
          <w:sz w:val="20"/>
          <w:szCs w:val="20"/>
        </w:rPr>
        <w:t xml:space="preserve">s </w:t>
      </w:r>
      <w:r w:rsidRPr="00144ECD">
        <w:rPr>
          <w:strike/>
          <w:color w:val="00B050"/>
          <w:sz w:val="20"/>
          <w:szCs w:val="20"/>
        </w:rPr>
        <w:t>substances and articles</w:t>
      </w:r>
      <w:r w:rsidRPr="00144ECD">
        <w:rPr>
          <w:color w:val="00B050"/>
          <w:sz w:val="20"/>
          <w:szCs w:val="20"/>
        </w:rPr>
        <w:t xml:space="preserve"> </w:t>
      </w:r>
      <w:r w:rsidRPr="00144ECD">
        <w:rPr>
          <w:sz w:val="20"/>
          <w:szCs w:val="20"/>
        </w:rPr>
        <w:t xml:space="preserve">that are deemed to be compatible. The general scheme for classifying a substance or article which is to be considered for inclusion in </w:t>
      </w:r>
      <w:r w:rsidRPr="00144ECD">
        <w:rPr>
          <w:color w:val="00B050"/>
          <w:sz w:val="20"/>
          <w:szCs w:val="20"/>
        </w:rPr>
        <w:t xml:space="preserve">the class of explosives </w:t>
      </w:r>
      <w:r w:rsidRPr="00144ECD">
        <w:rPr>
          <w:strike/>
          <w:color w:val="00B050"/>
          <w:sz w:val="20"/>
          <w:szCs w:val="20"/>
        </w:rPr>
        <w:t>Class 1</w:t>
      </w:r>
      <w:r w:rsidRPr="00144ECD">
        <w:rPr>
          <w:color w:val="00B050"/>
          <w:sz w:val="20"/>
          <w:szCs w:val="20"/>
        </w:rPr>
        <w:t xml:space="preserve"> </w:t>
      </w:r>
      <w:r w:rsidRPr="00144ECD">
        <w:rPr>
          <w:sz w:val="20"/>
          <w:szCs w:val="20"/>
        </w:rPr>
        <w:t xml:space="preserve">is illustrated in Figure 10.1. The assessment is in two stages. In the first stage, the potential of a substance or article to explode </w:t>
      </w:r>
      <w:r w:rsidRPr="00144ECD">
        <w:rPr>
          <w:strike/>
          <w:color w:val="00B050"/>
          <w:sz w:val="20"/>
          <w:szCs w:val="20"/>
        </w:rPr>
        <w:t>should be</w:t>
      </w:r>
      <w:r w:rsidRPr="00144ECD">
        <w:rPr>
          <w:color w:val="00B050"/>
          <w:sz w:val="20"/>
          <w:szCs w:val="20"/>
        </w:rPr>
        <w:t xml:space="preserve"> is </w:t>
      </w:r>
      <w:r w:rsidRPr="00144ECD">
        <w:rPr>
          <w:sz w:val="20"/>
          <w:szCs w:val="20"/>
        </w:rPr>
        <w:t>ascertained and its stability and sensitivity, both chemical</w:t>
      </w:r>
      <w:r w:rsidRPr="00144ECD">
        <w:rPr>
          <w:color w:val="00B050"/>
          <w:sz w:val="20"/>
          <w:szCs w:val="20"/>
        </w:rPr>
        <w:t>ly</w:t>
      </w:r>
      <w:r w:rsidRPr="00144ECD">
        <w:rPr>
          <w:sz w:val="20"/>
          <w:szCs w:val="20"/>
        </w:rPr>
        <w:t xml:space="preserve"> and physical</w:t>
      </w:r>
      <w:r w:rsidRPr="00144ECD">
        <w:rPr>
          <w:color w:val="00B050"/>
          <w:sz w:val="20"/>
          <w:szCs w:val="20"/>
        </w:rPr>
        <w:t>ly</w:t>
      </w:r>
      <w:r w:rsidRPr="00144ECD">
        <w:rPr>
          <w:sz w:val="20"/>
          <w:szCs w:val="20"/>
        </w:rPr>
        <w:t xml:space="preserve">, </w:t>
      </w:r>
      <w:r w:rsidRPr="00144ECD">
        <w:rPr>
          <w:strike/>
          <w:color w:val="00B050"/>
          <w:sz w:val="20"/>
          <w:szCs w:val="20"/>
        </w:rPr>
        <w:t>shown to be acceptable</w:t>
      </w:r>
      <w:r w:rsidRPr="00144ECD">
        <w:rPr>
          <w:color w:val="00B050"/>
          <w:sz w:val="20"/>
          <w:szCs w:val="20"/>
        </w:rPr>
        <w:t xml:space="preserve"> are also determined</w:t>
      </w:r>
      <w:r w:rsidRPr="00144ECD">
        <w:rPr>
          <w:sz w:val="20"/>
          <w:szCs w:val="20"/>
        </w:rPr>
        <w:t xml:space="preserve">. In order to promote uniform assessments by competent authorities, it is recommended that, using the flow chart in Figure 10.2, data from suitable tests is </w:t>
      </w:r>
      <w:proofErr w:type="spellStart"/>
      <w:r w:rsidRPr="00144ECD">
        <w:rPr>
          <w:sz w:val="20"/>
          <w:szCs w:val="20"/>
        </w:rPr>
        <w:t>analyzed</w:t>
      </w:r>
      <w:proofErr w:type="spellEnd"/>
      <w:r w:rsidRPr="00144ECD">
        <w:rPr>
          <w:sz w:val="20"/>
          <w:szCs w:val="20"/>
        </w:rPr>
        <w:t xml:space="preserve"> systematically with respect to the appropriate test criteria. If the substance or article is provisionally accepted into</w:t>
      </w:r>
      <w:r w:rsidRPr="00144ECD">
        <w:rPr>
          <w:color w:val="FF0000"/>
          <w:sz w:val="20"/>
          <w:szCs w:val="20"/>
        </w:rPr>
        <w:t xml:space="preserve"> </w:t>
      </w:r>
      <w:r w:rsidRPr="00144ECD">
        <w:rPr>
          <w:color w:val="00B050"/>
          <w:sz w:val="20"/>
          <w:szCs w:val="20"/>
        </w:rPr>
        <w:t>the class of explosives</w:t>
      </w:r>
      <w:r w:rsidRPr="00144ECD">
        <w:rPr>
          <w:strike/>
          <w:color w:val="00B050"/>
          <w:sz w:val="20"/>
          <w:szCs w:val="20"/>
        </w:rPr>
        <w:t xml:space="preserve"> Class 1</w:t>
      </w:r>
      <w:r w:rsidRPr="00144ECD">
        <w:rPr>
          <w:sz w:val="20"/>
          <w:szCs w:val="20"/>
        </w:rPr>
        <w:t xml:space="preserve">, it is then necessary </w:t>
      </w:r>
      <w:proofErr w:type="gramStart"/>
      <w:r w:rsidRPr="00144ECD">
        <w:rPr>
          <w:sz w:val="20"/>
          <w:szCs w:val="20"/>
        </w:rPr>
        <w:t xml:space="preserve">to </w:t>
      </w:r>
      <w:r w:rsidR="00C75944">
        <w:rPr>
          <w:color w:val="00B050"/>
          <w:sz w:val="20"/>
          <w:szCs w:val="20"/>
        </w:rPr>
        <w:t>..</w:t>
      </w:r>
      <w:r w:rsidRPr="00144ECD">
        <w:rPr>
          <w:sz w:val="20"/>
          <w:szCs w:val="20"/>
        </w:rPr>
        <w:t>.</w:t>
      </w:r>
      <w:proofErr w:type="gramEnd"/>
      <w:r w:rsidRPr="00144ECD">
        <w:rPr>
          <w:sz w:val="20"/>
          <w:szCs w:val="20"/>
        </w:rPr>
        <w:t xml:space="preserve"> </w:t>
      </w:r>
    </w:p>
    <w:p w:rsidR="00633A7D" w:rsidRPr="004511E2" w:rsidRDefault="00BA4953" w:rsidP="00BA4953">
      <w:pPr>
        <w:pStyle w:val="SingleTxtG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</w:r>
      <w:r w:rsidR="008A0669">
        <w:rPr>
          <w:lang w:val="en-US"/>
        </w:rPr>
        <w:t>Add a new section 10.1.</w:t>
      </w:r>
      <w:r w:rsidR="00246E2D">
        <w:rPr>
          <w:lang w:val="en-US"/>
        </w:rPr>
        <w:t>3</w:t>
      </w:r>
      <w:r w:rsidR="008A0669">
        <w:rPr>
          <w:lang w:val="en-US"/>
        </w:rPr>
        <w:t xml:space="preserve"> after existing 10.1.</w:t>
      </w:r>
      <w:r w:rsidR="00246E2D">
        <w:rPr>
          <w:lang w:val="en-US"/>
        </w:rPr>
        <w:t>2</w:t>
      </w:r>
      <w:r w:rsidR="008A0669">
        <w:rPr>
          <w:lang w:val="en-US"/>
        </w:rPr>
        <w:t>, and update numbers of following paragraphs:</w:t>
      </w:r>
    </w:p>
    <w:p w:rsidR="00C704F4" w:rsidRPr="00234FE0" w:rsidRDefault="008A0669" w:rsidP="00BA4953">
      <w:pPr>
        <w:tabs>
          <w:tab w:val="left" w:pos="566"/>
          <w:tab w:val="left" w:pos="1440"/>
          <w:tab w:val="left" w:pos="1700"/>
          <w:tab w:val="left" w:pos="2268"/>
        </w:tabs>
        <w:ind w:left="1701" w:right="1133"/>
        <w:jc w:val="both"/>
        <w:rPr>
          <w:color w:val="1F497D" w:themeColor="text2"/>
          <w:u w:val="single"/>
        </w:rPr>
      </w:pPr>
      <w:r w:rsidRPr="00234FE0">
        <w:rPr>
          <w:color w:val="1F497D" w:themeColor="text2"/>
          <w:u w:val="single"/>
        </w:rPr>
        <w:t>10.1.</w:t>
      </w:r>
      <w:r w:rsidR="00246E2D">
        <w:rPr>
          <w:color w:val="1F497D" w:themeColor="text2"/>
          <w:u w:val="single"/>
        </w:rPr>
        <w:t>3</w:t>
      </w:r>
      <w:r w:rsidR="00BA4953">
        <w:rPr>
          <w:color w:val="1F497D" w:themeColor="text2"/>
          <w:u w:val="single"/>
        </w:rPr>
        <w:tab/>
      </w:r>
      <w:r w:rsidRPr="00234FE0">
        <w:rPr>
          <w:color w:val="1F497D" w:themeColor="text2"/>
          <w:u w:val="single"/>
        </w:rPr>
        <w:t xml:space="preserve">Test Series 4 and 6 are used specifically for the transport sector to determine the suitability and classification for transport. Class 1 is unique in that the type of packaging frequently has a decisive effect on the hazard and therefore on the assignment to a particular division (see the Model Regulations, Chapter 2.1, Note 4). </w:t>
      </w:r>
      <w:r w:rsidR="00C704F4" w:rsidRPr="00234FE0">
        <w:rPr>
          <w:color w:val="1F497D" w:themeColor="text2"/>
          <w:u w:val="single"/>
        </w:rPr>
        <w:t xml:space="preserve"> </w:t>
      </w:r>
      <w:r w:rsidRPr="00234FE0">
        <w:rPr>
          <w:color w:val="1F497D" w:themeColor="text2"/>
          <w:u w:val="single"/>
        </w:rPr>
        <w:t>Class 1 transport classifications are accurate for the transport configuration</w:t>
      </w:r>
      <w:r w:rsidR="00382EB7" w:rsidRPr="00234FE0">
        <w:rPr>
          <w:color w:val="1F497D" w:themeColor="text2"/>
          <w:u w:val="single"/>
        </w:rPr>
        <w:t>, where the packaging is retained as tested,</w:t>
      </w:r>
      <w:r w:rsidRPr="00234FE0">
        <w:rPr>
          <w:color w:val="1F497D" w:themeColor="text2"/>
          <w:u w:val="single"/>
        </w:rPr>
        <w:t xml:space="preserve"> the quantity is limited</w:t>
      </w:r>
      <w:r w:rsidR="00382EB7" w:rsidRPr="00234FE0">
        <w:rPr>
          <w:color w:val="1F497D" w:themeColor="text2"/>
          <w:u w:val="single"/>
        </w:rPr>
        <w:t xml:space="preserve"> to the capacity of a conveyance and</w:t>
      </w:r>
      <w:r w:rsidRPr="00234FE0">
        <w:rPr>
          <w:color w:val="1F497D" w:themeColor="text2"/>
          <w:u w:val="single"/>
        </w:rPr>
        <w:t xml:space="preserve"> the surrounding confinement (e.g. truck or freight container</w:t>
      </w:r>
      <w:r w:rsidR="00382EB7" w:rsidRPr="00234FE0">
        <w:rPr>
          <w:color w:val="1F497D" w:themeColor="text2"/>
          <w:u w:val="single"/>
        </w:rPr>
        <w:t>, as opposed to a rigid structure</w:t>
      </w:r>
      <w:r w:rsidRPr="00234FE0">
        <w:rPr>
          <w:color w:val="1F497D" w:themeColor="text2"/>
          <w:u w:val="single"/>
        </w:rPr>
        <w:t xml:space="preserve">) is not likely to change the results found in testing. </w:t>
      </w:r>
    </w:p>
    <w:p w:rsidR="008A0669" w:rsidRPr="00E15A62" w:rsidRDefault="00BA4953" w:rsidP="009138A9">
      <w:pPr>
        <w:pStyle w:val="SingleTxtG"/>
        <w:spacing w:before="120"/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</w:r>
      <w:r w:rsidR="00C704F4" w:rsidRPr="00E15A62">
        <w:rPr>
          <w:lang w:val="en-US"/>
        </w:rPr>
        <w:t xml:space="preserve">In section 10.2.1, retain the </w:t>
      </w:r>
      <w:r w:rsidR="00234FE0">
        <w:rPr>
          <w:lang w:val="en-US"/>
        </w:rPr>
        <w:t xml:space="preserve">current </w:t>
      </w:r>
      <w:r w:rsidR="00C704F4" w:rsidRPr="00E15A62">
        <w:rPr>
          <w:lang w:val="en-US"/>
        </w:rPr>
        <w:t xml:space="preserve">final sentence </w:t>
      </w:r>
      <w:r w:rsidR="00C704F4" w:rsidRPr="00234FE0">
        <w:rPr>
          <w:lang w:val="en-US"/>
        </w:rPr>
        <w:t>“The classification procedure should be undertaken before a new product is offered for transport”</w:t>
      </w:r>
      <w:r w:rsidR="00C704F4" w:rsidRPr="00E15A62">
        <w:rPr>
          <w:lang w:val="en-US"/>
        </w:rPr>
        <w:t>.</w:t>
      </w:r>
    </w:p>
    <w:p w:rsidR="00945DAF" w:rsidRDefault="00BA4953" w:rsidP="00BA4953">
      <w:pPr>
        <w:pStyle w:val="SingleTxtG"/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</w:r>
      <w:r w:rsidR="00945DAF">
        <w:rPr>
          <w:lang w:val="en-US"/>
        </w:rPr>
        <w:t xml:space="preserve">In Figure 10.2, retain the existing Revision 6 text in </w:t>
      </w:r>
      <w:r w:rsidR="00F80CCB">
        <w:rPr>
          <w:lang w:val="en-US"/>
        </w:rPr>
        <w:t xml:space="preserve">the title of the flowchart and in </w:t>
      </w:r>
      <w:r w:rsidR="00945DAF" w:rsidRPr="00BA4953">
        <w:t>boxes</w:t>
      </w:r>
      <w:r w:rsidR="00945DAF">
        <w:rPr>
          <w:lang w:val="en-US"/>
        </w:rPr>
        <w:t xml:space="preserve"> 16, 17 and 18</w:t>
      </w:r>
      <w:r w:rsidR="00A274F2">
        <w:rPr>
          <w:lang w:val="en-US"/>
        </w:rPr>
        <w:t>, as numbered in Revision 6 of the Manual</w:t>
      </w:r>
      <w:r w:rsidR="00945DAF">
        <w:rPr>
          <w:lang w:val="en-US"/>
        </w:rPr>
        <w:t>.</w:t>
      </w:r>
    </w:p>
    <w:p w:rsidR="00633A7D" w:rsidRDefault="00BA4953" w:rsidP="00BA4953">
      <w:pPr>
        <w:pStyle w:val="SingleTxtG"/>
        <w:rPr>
          <w:lang w:val="en-US"/>
        </w:rPr>
      </w:pPr>
      <w:r>
        <w:rPr>
          <w:lang w:val="en-US"/>
        </w:rPr>
        <w:t>15.</w:t>
      </w:r>
      <w:r>
        <w:rPr>
          <w:lang w:val="en-US"/>
        </w:rPr>
        <w:tab/>
      </w:r>
      <w:r w:rsidR="00493784">
        <w:rPr>
          <w:lang w:val="en-US"/>
        </w:rPr>
        <w:t xml:space="preserve">In </w:t>
      </w:r>
      <w:r w:rsidR="001B4E73" w:rsidRPr="00BA4953">
        <w:t>paragraph</w:t>
      </w:r>
      <w:r w:rsidR="001B4E73">
        <w:rPr>
          <w:lang w:val="en-US"/>
        </w:rPr>
        <w:t xml:space="preserve"> 10.3.2.5</w:t>
      </w:r>
      <w:r w:rsidR="00493784">
        <w:rPr>
          <w:lang w:val="en-US"/>
        </w:rPr>
        <w:t xml:space="preserve">, retain the existing Revision 6 </w:t>
      </w:r>
      <w:r w:rsidR="001B4E73">
        <w:rPr>
          <w:lang w:val="en-US"/>
        </w:rPr>
        <w:t>text:</w:t>
      </w:r>
    </w:p>
    <w:p w:rsidR="000E23BE" w:rsidRDefault="001B4E73" w:rsidP="009138A9">
      <w:pPr>
        <w:tabs>
          <w:tab w:val="left" w:pos="566"/>
          <w:tab w:val="left" w:pos="1440"/>
          <w:tab w:val="left" w:pos="1700"/>
        </w:tabs>
        <w:ind w:left="1701" w:right="1133" w:firstLine="9"/>
        <w:jc w:val="both"/>
      </w:pPr>
      <w:r w:rsidRPr="001B4E73">
        <w:t xml:space="preserve">10.3.2.5 </w:t>
      </w:r>
      <w:r>
        <w:tab/>
      </w:r>
      <w:r w:rsidRPr="001B4E73">
        <w:t xml:space="preserve">Series 4 tests are intended to answer the question "Is the article, packaged article or packaged substance </w:t>
      </w:r>
      <w:r w:rsidRPr="00E14E93">
        <w:rPr>
          <w:strike/>
          <w:color w:val="1F497D" w:themeColor="text2"/>
        </w:rPr>
        <w:t>an unstable explosive</w:t>
      </w:r>
      <w:r w:rsidRPr="00E14E93">
        <w:rPr>
          <w:color w:val="1F497D" w:themeColor="text2"/>
        </w:rPr>
        <w:t xml:space="preserve"> </w:t>
      </w:r>
      <w:r w:rsidRPr="00E14E93">
        <w:rPr>
          <w:color w:val="1F497D" w:themeColor="text2"/>
          <w:u w:val="single"/>
        </w:rPr>
        <w:t>too dangerous for transport</w:t>
      </w:r>
      <w:r>
        <w:t>?" (box 16, Figure 10.2) …</w:t>
      </w:r>
    </w:p>
    <w:p w:rsidR="009B3784" w:rsidRDefault="009B3784" w:rsidP="008609E4">
      <w:pPr>
        <w:tabs>
          <w:tab w:val="left" w:pos="566"/>
          <w:tab w:val="left" w:pos="1440"/>
          <w:tab w:val="left" w:pos="1700"/>
          <w:tab w:val="left" w:leader="dot" w:pos="8956"/>
          <w:tab w:val="center" w:pos="9410"/>
        </w:tabs>
        <w:ind w:left="2610" w:hanging="900"/>
      </w:pPr>
    </w:p>
    <w:p w:rsidR="009B3784" w:rsidRPr="00572F5D" w:rsidRDefault="009138A9" w:rsidP="009138A9">
      <w:pPr>
        <w:pStyle w:val="SingleTxtG"/>
        <w:rPr>
          <w:lang w:val="en-US"/>
        </w:rPr>
      </w:pPr>
      <w:r>
        <w:rPr>
          <w:lang w:val="en-US"/>
        </w:rPr>
        <w:t>16.</w:t>
      </w:r>
      <w:r>
        <w:rPr>
          <w:lang w:val="en-US"/>
        </w:rPr>
        <w:tab/>
      </w:r>
      <w:r w:rsidR="009B3784" w:rsidRPr="00572F5D">
        <w:rPr>
          <w:lang w:val="en-US"/>
        </w:rPr>
        <w:t xml:space="preserve">Since section 10.4 is related to assignment to division of Class 1 (transport classification), </w:t>
      </w:r>
      <w:r w:rsidR="00572F5D">
        <w:rPr>
          <w:lang w:val="en-US"/>
        </w:rPr>
        <w:t>some o</w:t>
      </w:r>
      <w:r w:rsidR="009B3784" w:rsidRPr="00572F5D">
        <w:rPr>
          <w:lang w:val="en-US"/>
        </w:rPr>
        <w:t xml:space="preserve">f the changes proposed in 10.4.1.1 should be </w:t>
      </w:r>
      <w:r w:rsidR="00572F5D">
        <w:rPr>
          <w:lang w:val="en-US"/>
        </w:rPr>
        <w:t>modified in accordance with decisions taken in December 2016:</w:t>
      </w:r>
      <w:r w:rsidR="009B3784" w:rsidRPr="00572F5D">
        <w:rPr>
          <w:lang w:val="en-US"/>
        </w:rPr>
        <w:t xml:space="preserve">  </w:t>
      </w:r>
    </w:p>
    <w:p w:rsidR="000E23BE" w:rsidRPr="00ED4745" w:rsidRDefault="009138A9" w:rsidP="009138A9">
      <w:pPr>
        <w:tabs>
          <w:tab w:val="left" w:pos="566"/>
          <w:tab w:val="left" w:pos="1440"/>
          <w:tab w:val="left" w:pos="1700"/>
        </w:tabs>
        <w:ind w:left="1701" w:right="1133" w:firstLine="9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B6C10" wp14:editId="58ED8923">
                <wp:simplePos x="0" y="0"/>
                <wp:positionH relativeFrom="column">
                  <wp:posOffset>2639499</wp:posOffset>
                </wp:positionH>
                <wp:positionV relativeFrom="paragraph">
                  <wp:posOffset>1342292</wp:posOffset>
                </wp:positionV>
                <wp:extent cx="1307123" cy="1403985"/>
                <wp:effectExtent l="0" t="0" r="266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1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A9" w:rsidRDefault="009138A9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5pt;margin-top:105.7pt;width:102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2C/KgIAAEYEAAAOAAAAZHJzL2Uyb0RvYy54bWysU9tu2zAMfR+wfxD0vviSZE2MOEWXLsOA&#10;7gK0+wBZlm1hsqhJSuzu60fJaZp2b8P8IIgmdXh4SG6ux16Ro7BOgi5pNkspEZpDLXVb0h8P+3cr&#10;SpxnumYKtCjpo3D0evv2zWYwhcihA1ULSxBEu2IwJe28N0WSON6JnrkZGKHR2YDtmUfTtklt2YDo&#10;vUryNH2fDGBrY4EL5/Dv7eSk24jfNIL7b03jhCeqpMjNx9PGswpnst2worXMdJKfaLB/YNEzqTHp&#10;GeqWeUYOVv4F1UtuwUHjZxz6BJpGchFrwGqy9FU19x0zItaC4jhzlsn9P1j+9fjdElmXdJ5eUaJZ&#10;j016EKMnH2AkedBnMK7AsHuDgX7E39jnWKszd8B/OqJh1zHdihtrYegEq5FfFl4mF08nHBdAquEL&#10;1JiGHTxEoLGxfRAP5SCIjn16PPcmUOEhJfLL8jklHH3ZIp2vV8uYgxVPz411/pOAnoRLSS02P8Kz&#10;453zgQ4rnkJCNgdK1nupVDRsW+2UJUeGg7KP3wn9RZjSZCjpepkvJwVeQISZFWeQqp00eJWolx4H&#10;Xsm+pKs0fCENK4JsH3Ud755JNd2RsdInHYN0k4h+rEYMDOJWUD+iohamwcZFxEsH9jclAw51Sd2v&#10;A7OCEvVZY1fW2WIRtiAai+VVjoa99FSXHqY5QpXUUzJddz5uTtTL3GD39jLq+szkxBWHNcp9Wqyw&#10;DZd2jHpe/+0fAAAA//8DAFBLAwQUAAYACAAAACEAMNtAq+EAAAALAQAADwAAAGRycy9kb3ducmV2&#10;LnhtbEyPy07DMBBF90j8gzVI7Kjj0JQqxKkACRYsWjWgsnWSyUPY4yh20vD3mFVZju7RvWey3WI0&#10;m3F0vSUJYhUBQ6ps3VMr4fPj9W4LzHlFtdKWUMIPOtjl11eZSmt7piPOhW9ZKCGXKgmd90PKuas6&#10;NMqt7IAUssaORvlwji2vR3UO5UbzOIo23KiewkKnBnzpsPouJiPh7ZmX+2NxKJuvRs/v+mSm/cFI&#10;eXuzPD0C87j4Cwx/+kEd8uBU2olqx7SEtUgeAiohFmINLBCbWCTAyhDdxwnwPOP/f8h/AQAA//8D&#10;AFBLAQItABQABgAIAAAAIQC2gziS/gAAAOEBAAATAAAAAAAAAAAAAAAAAAAAAABbQ29udGVudF9U&#10;eXBlc10ueG1sUEsBAi0AFAAGAAgAAAAhADj9If/WAAAAlAEAAAsAAAAAAAAAAAAAAAAALwEAAF9y&#10;ZWxzLy5yZWxzUEsBAi0AFAAGAAgAAAAhADyfYL8qAgAARgQAAA4AAAAAAAAAAAAAAAAALgIAAGRy&#10;cy9lMm9Eb2MueG1sUEsBAi0AFAAGAAgAAAAhADDbQKvhAAAACwEAAA8AAAAAAAAAAAAAAAAAhAQA&#10;AGRycy9kb3ducmV2LnhtbFBLBQYAAAAABAAEAPMAAACSBQAAAAA=&#10;" strokecolor="white [3212]">
                <v:textbox style="mso-fit-shape-to-text:t">
                  <w:txbxContent>
                    <w:p w:rsidR="009138A9" w:rsidRDefault="009138A9"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14E93" w:rsidRPr="00E14E93">
        <w:t>10.4.1.1</w:t>
      </w:r>
      <w:r w:rsidR="00E14E93" w:rsidRPr="00E14E93">
        <w:tab/>
      </w:r>
      <w:r w:rsidR="00E14E93" w:rsidRPr="00E14E93">
        <w:rPr>
          <w:color w:val="1F497D" w:themeColor="text2"/>
          <w:u w:val="single"/>
        </w:rPr>
        <w:t>Goods of Class 1</w:t>
      </w:r>
      <w:r w:rsidR="00E14E93" w:rsidRPr="00E14E93">
        <w:rPr>
          <w:color w:val="1F497D" w:themeColor="text2"/>
        </w:rPr>
        <w:t xml:space="preserve"> </w:t>
      </w:r>
      <w:proofErr w:type="gramStart"/>
      <w:r w:rsidR="00572F5D" w:rsidRPr="00572F5D">
        <w:rPr>
          <w:strike/>
          <w:color w:val="1F497D" w:themeColor="text2"/>
        </w:rPr>
        <w:t>Unless</w:t>
      </w:r>
      <w:proofErr w:type="gramEnd"/>
      <w:r w:rsidR="00572F5D" w:rsidRPr="00572F5D">
        <w:rPr>
          <w:strike/>
          <w:color w:val="1F497D" w:themeColor="text2"/>
        </w:rPr>
        <w:t xml:space="preserve"> classified as unstable, explosives</w:t>
      </w:r>
      <w:r w:rsidR="00572F5D">
        <w:rPr>
          <w:color w:val="1F497D" w:themeColor="text2"/>
        </w:rPr>
        <w:t xml:space="preserve"> </w:t>
      </w:r>
      <w:r w:rsidR="00E14E93" w:rsidRPr="00E14E93">
        <w:t xml:space="preserve">are assigned to one of six divisions, depending on the type of hazard they present (see paragraph 2.1.1.4 of the Model Regulations </w:t>
      </w:r>
      <w:r w:rsidR="00E14E93" w:rsidRPr="00E14E93">
        <w:rPr>
          <w:color w:val="00B050"/>
          <w:u w:val="single"/>
        </w:rPr>
        <w:t>and 2.1.2 of the GHS</w:t>
      </w:r>
      <w:r w:rsidR="00E14E93" w:rsidRPr="00E14E93">
        <w:t>). The assignment procedure (Figure</w:t>
      </w:r>
      <w:r w:rsidR="00E14E93" w:rsidRPr="00E14E93">
        <w:rPr>
          <w:color w:val="00B050"/>
          <w:u w:val="single"/>
        </w:rPr>
        <w:t xml:space="preserve">s </w:t>
      </w:r>
      <w:r w:rsidR="00E14E93" w:rsidRPr="00E14E93">
        <w:t xml:space="preserve">10.3 </w:t>
      </w:r>
      <w:r w:rsidR="00E14E93" w:rsidRPr="00E14E93">
        <w:rPr>
          <w:color w:val="00B050"/>
          <w:u w:val="single"/>
        </w:rPr>
        <w:t>and 10.5)</w:t>
      </w:r>
      <w:r w:rsidR="00E14E93" w:rsidRPr="00E14E93">
        <w:t xml:space="preserve"> applies to all substances and</w:t>
      </w:r>
      <w:r w:rsidR="00E14E93" w:rsidRPr="00E14E93">
        <w:rPr>
          <w:strike/>
          <w:color w:val="00B050"/>
        </w:rPr>
        <w:t>/or</w:t>
      </w:r>
      <w:r w:rsidR="00E14E93" w:rsidRPr="00E14E93">
        <w:rPr>
          <w:color w:val="00B050"/>
        </w:rPr>
        <w:t xml:space="preserve"> </w:t>
      </w:r>
      <w:r w:rsidR="00E14E93" w:rsidRPr="00E14E93">
        <w:t xml:space="preserve">articles that are candidates for </w:t>
      </w:r>
      <w:r w:rsidR="00E14E93" w:rsidRPr="00E14E93">
        <w:rPr>
          <w:color w:val="00B050"/>
          <w:u w:val="single"/>
        </w:rPr>
        <w:t>this class</w:t>
      </w:r>
      <w:r w:rsidR="00E14E93" w:rsidRPr="00E14E93">
        <w:rPr>
          <w:color w:val="00B050"/>
        </w:rPr>
        <w:t xml:space="preserve"> </w:t>
      </w:r>
      <w:proofErr w:type="spellStart"/>
      <w:r w:rsidR="00E14E93" w:rsidRPr="00E14E93">
        <w:rPr>
          <w:strike/>
          <w:color w:val="00B050"/>
        </w:rPr>
        <w:t>Class</w:t>
      </w:r>
      <w:proofErr w:type="spellEnd"/>
      <w:r w:rsidR="00E14E93" w:rsidRPr="00E14E93">
        <w:rPr>
          <w:strike/>
          <w:color w:val="00B050"/>
        </w:rPr>
        <w:t xml:space="preserve"> 1</w:t>
      </w:r>
      <w:r w:rsidR="00E14E93" w:rsidRPr="00E14E93">
        <w:rPr>
          <w:color w:val="00B050"/>
        </w:rPr>
        <w:t xml:space="preserve"> </w:t>
      </w:r>
      <w:r w:rsidR="00E14E93" w:rsidRPr="00E14E93">
        <w:t xml:space="preserve">except those declared from the outset to be in Division 1.1. A substance or article </w:t>
      </w:r>
      <w:r w:rsidR="00E14E93" w:rsidRPr="00E14E93">
        <w:rPr>
          <w:color w:val="00B050"/>
          <w:u w:val="single"/>
        </w:rPr>
        <w:t xml:space="preserve">is </w:t>
      </w:r>
      <w:r w:rsidR="00E14E93" w:rsidRPr="00E14E93">
        <w:rPr>
          <w:strike/>
          <w:color w:val="00B050"/>
          <w:u w:val="single"/>
        </w:rPr>
        <w:t>should be</w:t>
      </w:r>
      <w:r w:rsidR="00E14E93" w:rsidRPr="00E14E93">
        <w:t xml:space="preserve"> assigned to the division which corresponds to the results of the tests to which</w:t>
      </w:r>
      <w:r w:rsidR="004D7D0E">
        <w:t xml:space="preserve"> </w:t>
      </w:r>
      <w:r w:rsidR="00E14E93" w:rsidRPr="00572F5D">
        <w:rPr>
          <w:color w:val="00B050"/>
          <w:u w:val="single"/>
        </w:rPr>
        <w:t>it</w:t>
      </w:r>
      <w:r w:rsidR="004D7D0E">
        <w:rPr>
          <w:color w:val="00B050"/>
          <w:u w:val="single"/>
        </w:rPr>
        <w:t xml:space="preserve"> </w:t>
      </w:r>
      <w:r w:rsidR="00E14E93" w:rsidRPr="00572F5D">
        <w:rPr>
          <w:strike/>
          <w:color w:val="00B050"/>
        </w:rPr>
        <w:t>the substance or article</w:t>
      </w:r>
      <w:r w:rsidR="00E14E93" w:rsidRPr="00A34427">
        <w:rPr>
          <w:strike/>
          <w:color w:val="00B050"/>
        </w:rPr>
        <w:t>, as offered for transport</w:t>
      </w:r>
      <w:proofErr w:type="gramStart"/>
      <w:r w:rsidR="00E14E93" w:rsidRPr="00A34427">
        <w:rPr>
          <w:strike/>
          <w:color w:val="00B050"/>
        </w:rPr>
        <w:t>,</w:t>
      </w:r>
      <w:r w:rsidR="004D7D0E" w:rsidRPr="004D7D0E">
        <w:rPr>
          <w:color w:val="1F497D" w:themeColor="text2"/>
          <w:u w:val="single"/>
        </w:rPr>
        <w:t xml:space="preserve"> ,</w:t>
      </w:r>
      <w:proofErr w:type="gramEnd"/>
      <w:r w:rsidR="004D7D0E" w:rsidRPr="004D7D0E">
        <w:rPr>
          <w:color w:val="1F497D" w:themeColor="text2"/>
          <w:u w:val="single"/>
        </w:rPr>
        <w:t xml:space="preserve"> </w:t>
      </w:r>
      <w:r w:rsidR="004D7D0E" w:rsidRPr="00572F5D">
        <w:rPr>
          <w:color w:val="1F497D" w:themeColor="text2"/>
          <w:u w:val="single"/>
        </w:rPr>
        <w:t>as offered for transport,</w:t>
      </w:r>
      <w:r w:rsidR="004D7D0E" w:rsidRPr="00572F5D">
        <w:rPr>
          <w:color w:val="1F497D" w:themeColor="text2"/>
        </w:rPr>
        <w:t xml:space="preserve"> </w:t>
      </w:r>
      <w:r w:rsidR="00E14E93" w:rsidRPr="00E14E93">
        <w:t xml:space="preserve"> has been subjected</w:t>
      </w:r>
      <w:r w:rsidR="00A34427">
        <w:t xml:space="preserve">. </w:t>
      </w:r>
      <w:r w:rsidR="00E14E93">
        <w:t>…</w:t>
      </w:r>
    </w:p>
    <w:sectPr w:rsidR="000E23BE" w:rsidRPr="00ED4745" w:rsidSect="00653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22" w:rsidRDefault="00230E22"/>
  </w:endnote>
  <w:endnote w:type="continuationSeparator" w:id="0">
    <w:p w:rsidR="00230E22" w:rsidRDefault="00230E22"/>
  </w:endnote>
  <w:endnote w:type="continuationNotice" w:id="1">
    <w:p w:rsidR="00230E22" w:rsidRDefault="00230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1406059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79E" w:rsidRPr="004E074D" w:rsidRDefault="0006579E">
        <w:pPr>
          <w:pStyle w:val="Footer"/>
          <w:rPr>
            <w:b/>
            <w:sz w:val="18"/>
            <w:szCs w:val="18"/>
          </w:rPr>
        </w:pPr>
        <w:r w:rsidRPr="004E074D">
          <w:rPr>
            <w:b/>
            <w:sz w:val="18"/>
            <w:szCs w:val="18"/>
          </w:rPr>
          <w:fldChar w:fldCharType="begin"/>
        </w:r>
        <w:r w:rsidRPr="004E074D">
          <w:rPr>
            <w:b/>
            <w:sz w:val="18"/>
            <w:szCs w:val="18"/>
          </w:rPr>
          <w:instrText xml:space="preserve"> PAGE   \* MERGEFORMAT </w:instrText>
        </w:r>
        <w:r w:rsidRPr="004E074D">
          <w:rPr>
            <w:b/>
            <w:sz w:val="18"/>
            <w:szCs w:val="18"/>
          </w:rPr>
          <w:fldChar w:fldCharType="separate"/>
        </w:r>
        <w:r w:rsidR="00C86BDB">
          <w:rPr>
            <w:b/>
            <w:noProof/>
            <w:sz w:val="18"/>
            <w:szCs w:val="18"/>
          </w:rPr>
          <w:t>4</w:t>
        </w:r>
        <w:r w:rsidRPr="004E074D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805431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79E" w:rsidRPr="004E074D" w:rsidRDefault="0006579E">
        <w:pPr>
          <w:pStyle w:val="Footer"/>
          <w:jc w:val="right"/>
          <w:rPr>
            <w:b/>
            <w:sz w:val="18"/>
            <w:szCs w:val="18"/>
          </w:rPr>
        </w:pPr>
        <w:r w:rsidRPr="004E074D">
          <w:rPr>
            <w:b/>
            <w:sz w:val="18"/>
            <w:szCs w:val="18"/>
          </w:rPr>
          <w:fldChar w:fldCharType="begin"/>
        </w:r>
        <w:r w:rsidRPr="004E074D">
          <w:rPr>
            <w:b/>
            <w:sz w:val="18"/>
            <w:szCs w:val="18"/>
          </w:rPr>
          <w:instrText xml:space="preserve"> PAGE   \* MERGEFORMAT </w:instrText>
        </w:r>
        <w:r w:rsidRPr="004E074D">
          <w:rPr>
            <w:b/>
            <w:sz w:val="18"/>
            <w:szCs w:val="18"/>
          </w:rPr>
          <w:fldChar w:fldCharType="separate"/>
        </w:r>
        <w:r w:rsidR="00C86BDB">
          <w:rPr>
            <w:b/>
            <w:noProof/>
            <w:sz w:val="18"/>
            <w:szCs w:val="18"/>
          </w:rPr>
          <w:t>3</w:t>
        </w:r>
        <w:r w:rsidRPr="004E074D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267400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79E" w:rsidRPr="00B11781" w:rsidRDefault="0006579E">
        <w:pPr>
          <w:pStyle w:val="Footer"/>
          <w:jc w:val="right"/>
          <w:rPr>
            <w:b/>
            <w:sz w:val="18"/>
            <w:szCs w:val="18"/>
          </w:rPr>
        </w:pPr>
        <w:r w:rsidRPr="00B11781">
          <w:rPr>
            <w:b/>
            <w:sz w:val="18"/>
            <w:szCs w:val="18"/>
          </w:rPr>
          <w:fldChar w:fldCharType="begin"/>
        </w:r>
        <w:r w:rsidRPr="00B11781">
          <w:rPr>
            <w:b/>
            <w:sz w:val="18"/>
            <w:szCs w:val="18"/>
          </w:rPr>
          <w:instrText xml:space="preserve"> PAGE   \* MERGEFORMAT </w:instrText>
        </w:r>
        <w:r w:rsidRPr="00B11781">
          <w:rPr>
            <w:b/>
            <w:sz w:val="18"/>
            <w:szCs w:val="18"/>
          </w:rPr>
          <w:fldChar w:fldCharType="separate"/>
        </w:r>
        <w:r w:rsidR="00C86BDB">
          <w:rPr>
            <w:b/>
            <w:noProof/>
            <w:sz w:val="18"/>
            <w:szCs w:val="18"/>
          </w:rPr>
          <w:t>1</w:t>
        </w:r>
        <w:r w:rsidRPr="00B11781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22" w:rsidRPr="000B175B" w:rsidRDefault="00230E2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30E22" w:rsidRPr="00FC68B7" w:rsidRDefault="00230E2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30E22" w:rsidRDefault="00230E22"/>
  </w:footnote>
  <w:footnote w:id="2">
    <w:p w:rsidR="0006579E" w:rsidRPr="006537E7" w:rsidRDefault="0006579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UN/SCETDG/50/INF.17-UN/SCEGHS/32/INF.14</w:t>
      </w:r>
    </w:p>
  </w:footnote>
  <w:footnote w:id="3">
    <w:p w:rsidR="0006579E" w:rsidRPr="00454E8A" w:rsidRDefault="0006579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E710B">
        <w:rPr>
          <w:lang w:val="en-US"/>
        </w:rPr>
        <w:t>UN/SCETDG/52/INF.3</w:t>
      </w:r>
      <w:r>
        <w:rPr>
          <w:lang w:val="en-US"/>
        </w:rPr>
        <w:t xml:space="preserve"> - </w:t>
      </w:r>
      <w:r w:rsidRPr="00CE710B">
        <w:rPr>
          <w:lang w:val="en-US"/>
        </w:rPr>
        <w:t>UN/SCEGHS/34/INF.3</w:t>
      </w:r>
      <w:r>
        <w:rPr>
          <w:lang w:val="en-US"/>
        </w:rPr>
        <w:t xml:space="preserve"> (Section 1) and Add.1 of that document (Section 10)</w:t>
      </w:r>
    </w:p>
  </w:footnote>
  <w:footnote w:id="4">
    <w:p w:rsidR="00E15A62" w:rsidRPr="00BA4953" w:rsidRDefault="00E15A62" w:rsidP="00E15A62">
      <w:pPr>
        <w:pStyle w:val="p1"/>
        <w:rPr>
          <w:rFonts w:ascii="Times" w:hAnsi="Times"/>
        </w:rPr>
      </w:pPr>
      <w:r w:rsidRPr="00BA4953">
        <w:rPr>
          <w:rStyle w:val="FootnoteReference"/>
        </w:rPr>
        <w:footnoteRef/>
      </w:r>
      <w:r w:rsidRPr="00BA4953">
        <w:t xml:space="preserve"> “</w:t>
      </w:r>
      <w:r w:rsidRPr="00BA4953">
        <w:rPr>
          <w:rFonts w:ascii="Times" w:hAnsi="Times"/>
          <w:i/>
          <w:iCs/>
        </w:rPr>
        <w:t xml:space="preserve">Article </w:t>
      </w:r>
      <w:r w:rsidRPr="00BA4953">
        <w:rPr>
          <w:rFonts w:ascii="Times" w:hAnsi="Times"/>
        </w:rPr>
        <w:t>means a manufactured item other than a fluid or particle: (</w:t>
      </w:r>
      <w:proofErr w:type="spellStart"/>
      <w:r w:rsidRPr="00BA4953">
        <w:rPr>
          <w:rFonts w:ascii="Times" w:hAnsi="Times"/>
        </w:rPr>
        <w:t>i</w:t>
      </w:r>
      <w:proofErr w:type="spellEnd"/>
      <w:r w:rsidRPr="00BA4953">
        <w:rPr>
          <w:rFonts w:ascii="Times" w:hAnsi="Times"/>
        </w:rPr>
        <w:t>) which is formed to a specific shape or design during manufacture; (ii) which has end use function(s) dependent in whole or in part upon its shape or design during end use; and (iii) which under normal conditions of use does not release more than very small quantities, e.g., minute or trace amounts of a hazardous chemical (as determined under paragraph (d) of this section),</w:t>
      </w:r>
      <w:r w:rsidRPr="00BA4953">
        <w:rPr>
          <w:rFonts w:ascii="Times" w:hAnsi="Times"/>
          <w:b/>
          <w:u w:val="single"/>
        </w:rPr>
        <w:t xml:space="preserve"> and does not pose a physical hazard or health risk to employees.</w:t>
      </w:r>
      <w:r w:rsidRPr="00BA4953">
        <w:rPr>
          <w:rFonts w:ascii="Times" w:hAnsi="Times"/>
        </w:rPr>
        <w:t>” (emphasis added)</w:t>
      </w:r>
    </w:p>
    <w:p w:rsidR="00E15A62" w:rsidRPr="00E15A62" w:rsidRDefault="00E15A62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E" w:rsidRPr="001215C0" w:rsidRDefault="0006579E" w:rsidP="001215C0">
    <w:pPr>
      <w:rPr>
        <w:b/>
        <w:sz w:val="18"/>
        <w:szCs w:val="18"/>
        <w:lang w:val="fr-CH"/>
      </w:rPr>
    </w:pPr>
    <w:r w:rsidRPr="001215C0">
      <w:rPr>
        <w:b/>
        <w:sz w:val="18"/>
        <w:szCs w:val="18"/>
        <w:lang w:val="fr-CH"/>
      </w:rPr>
      <w:t>UN/SCETDG/52/INF.</w:t>
    </w:r>
    <w:r w:rsidR="00BA4953">
      <w:rPr>
        <w:b/>
        <w:sz w:val="18"/>
        <w:szCs w:val="18"/>
        <w:lang w:val="fr-CH"/>
      </w:rPr>
      <w:t>28</w:t>
    </w:r>
  </w:p>
  <w:p w:rsidR="0006579E" w:rsidRPr="001215C0" w:rsidRDefault="0006579E" w:rsidP="001215C0">
    <w:pPr>
      <w:pBdr>
        <w:bottom w:val="single" w:sz="4" w:space="1" w:color="auto"/>
      </w:pBdr>
      <w:rPr>
        <w:b/>
        <w:sz w:val="18"/>
        <w:szCs w:val="18"/>
        <w:lang w:val="fr-CH"/>
      </w:rPr>
    </w:pPr>
    <w:r w:rsidRPr="001215C0">
      <w:rPr>
        <w:b/>
        <w:sz w:val="18"/>
        <w:szCs w:val="18"/>
        <w:lang w:val="fr-CH"/>
      </w:rPr>
      <w:t>UN/SCEGHS/34/INF.</w:t>
    </w:r>
    <w:r w:rsidR="00BA4953">
      <w:rPr>
        <w:b/>
        <w:sz w:val="18"/>
        <w:szCs w:val="18"/>
        <w:lang w:val="fr-CH"/>
      </w:rPr>
      <w:t>12</w:t>
    </w:r>
  </w:p>
  <w:p w:rsidR="0006579E" w:rsidRDefault="0006579E" w:rsidP="001215C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E" w:rsidRPr="001215C0" w:rsidRDefault="0006579E" w:rsidP="00F431EA">
    <w:pPr>
      <w:jc w:val="right"/>
      <w:rPr>
        <w:b/>
        <w:sz w:val="18"/>
        <w:szCs w:val="18"/>
        <w:lang w:val="fr-CH"/>
      </w:rPr>
    </w:pPr>
    <w:r w:rsidRPr="001215C0">
      <w:rPr>
        <w:b/>
        <w:sz w:val="18"/>
        <w:szCs w:val="18"/>
        <w:lang w:val="fr-CH"/>
      </w:rPr>
      <w:t>U</w:t>
    </w:r>
    <w:r>
      <w:rPr>
        <w:b/>
        <w:sz w:val="18"/>
        <w:szCs w:val="18"/>
        <w:lang w:val="fr-CH"/>
      </w:rPr>
      <w:t>N/SCETDG/52/INF.XX</w:t>
    </w:r>
  </w:p>
  <w:p w:rsidR="0006579E" w:rsidRDefault="0006579E" w:rsidP="0011495E">
    <w:pPr>
      <w:pStyle w:val="Header"/>
      <w:pBdr>
        <w:bottom w:val="single" w:sz="4" w:space="1" w:color="auto"/>
      </w:pBdr>
      <w:jc w:val="right"/>
    </w:pPr>
    <w:r>
      <w:rPr>
        <w:szCs w:val="18"/>
        <w:lang w:val="fr-CH"/>
      </w:rPr>
      <w:t>UN/SCEGHS/34/INF.XX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E" w:rsidRPr="00330180" w:rsidRDefault="0006579E" w:rsidP="00C86BDB">
    <w:pPr>
      <w:pStyle w:val="Header"/>
      <w:pBdr>
        <w:bottom w:val="none" w:sz="0" w:space="0" w:color="auto"/>
      </w:pBd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904C5"/>
    <w:multiLevelType w:val="multilevel"/>
    <w:tmpl w:val="54C43D2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36D1903"/>
    <w:multiLevelType w:val="multilevel"/>
    <w:tmpl w:val="583EC7BC"/>
    <w:lvl w:ilvl="0">
      <w:start w:val="16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C9D266F"/>
    <w:multiLevelType w:val="multilevel"/>
    <w:tmpl w:val="3FB8F978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4">
    <w:nsid w:val="0CA41EEE"/>
    <w:multiLevelType w:val="hybridMultilevel"/>
    <w:tmpl w:val="6536234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0CF0563"/>
    <w:multiLevelType w:val="multilevel"/>
    <w:tmpl w:val="CAEC5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>
    <w:nsid w:val="152C7F68"/>
    <w:multiLevelType w:val="hybridMultilevel"/>
    <w:tmpl w:val="1E46ED6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8DF5A88"/>
    <w:multiLevelType w:val="hybridMultilevel"/>
    <w:tmpl w:val="A8D6CAAA"/>
    <w:lvl w:ilvl="0" w:tplc="58A2C878">
      <w:start w:val="1"/>
      <w:numFmt w:val="bullet"/>
      <w:lvlText w:val="–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2">
    <w:nsid w:val="33837532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3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4">
    <w:nsid w:val="37F91969"/>
    <w:multiLevelType w:val="multilevel"/>
    <w:tmpl w:val="F2727EE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384C6B67"/>
    <w:multiLevelType w:val="multilevel"/>
    <w:tmpl w:val="5728F454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6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00EBB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0">
    <w:nsid w:val="4CAB0053"/>
    <w:multiLevelType w:val="hybridMultilevel"/>
    <w:tmpl w:val="5D304FFC"/>
    <w:lvl w:ilvl="0" w:tplc="49F2387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4D730CB5"/>
    <w:multiLevelType w:val="multilevel"/>
    <w:tmpl w:val="561A7B4C"/>
    <w:lvl w:ilvl="0">
      <w:start w:val="2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2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C7CC0"/>
    <w:multiLevelType w:val="multilevel"/>
    <w:tmpl w:val="6242121A"/>
    <w:lvl w:ilvl="0">
      <w:start w:val="15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4">
    <w:nsid w:val="604F041F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4597E50"/>
    <w:multiLevelType w:val="hybridMultilevel"/>
    <w:tmpl w:val="0F24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39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2750F9"/>
    <w:multiLevelType w:val="multilevel"/>
    <w:tmpl w:val="708E56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9AE64EA"/>
    <w:multiLevelType w:val="multilevel"/>
    <w:tmpl w:val="70AE34F8"/>
    <w:lvl w:ilvl="0">
      <w:start w:val="1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3">
    <w:nsid w:val="7C6A3C19"/>
    <w:multiLevelType w:val="multilevel"/>
    <w:tmpl w:val="A0F67C24"/>
    <w:lvl w:ilvl="0">
      <w:start w:val="17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4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17"/>
  </w:num>
  <w:num w:numId="13">
    <w:abstractNumId w:val="12"/>
  </w:num>
  <w:num w:numId="14">
    <w:abstractNumId w:val="37"/>
  </w:num>
  <w:num w:numId="15">
    <w:abstractNumId w:val="40"/>
  </w:num>
  <w:num w:numId="16">
    <w:abstractNumId w:val="26"/>
  </w:num>
  <w:num w:numId="17">
    <w:abstractNumId w:val="32"/>
  </w:num>
  <w:num w:numId="18">
    <w:abstractNumId w:val="39"/>
  </w:num>
  <w:num w:numId="19">
    <w:abstractNumId w:val="23"/>
  </w:num>
  <w:num w:numId="20">
    <w:abstractNumId w:val="38"/>
  </w:num>
  <w:num w:numId="21">
    <w:abstractNumId w:val="21"/>
  </w:num>
  <w:num w:numId="22">
    <w:abstractNumId w:val="28"/>
  </w:num>
  <w:num w:numId="23">
    <w:abstractNumId w:val="44"/>
  </w:num>
  <w:num w:numId="24">
    <w:abstractNumId w:val="20"/>
  </w:num>
  <w:num w:numId="25">
    <w:abstractNumId w:val="27"/>
  </w:num>
  <w:num w:numId="26">
    <w:abstractNumId w:val="19"/>
  </w:num>
  <w:num w:numId="27">
    <w:abstractNumId w:val="13"/>
  </w:num>
  <w:num w:numId="28">
    <w:abstractNumId w:val="42"/>
  </w:num>
  <w:num w:numId="29">
    <w:abstractNumId w:val="31"/>
  </w:num>
  <w:num w:numId="30">
    <w:abstractNumId w:val="25"/>
  </w:num>
  <w:num w:numId="31">
    <w:abstractNumId w:val="34"/>
  </w:num>
  <w:num w:numId="32">
    <w:abstractNumId w:val="22"/>
  </w:num>
  <w:num w:numId="33">
    <w:abstractNumId w:val="29"/>
  </w:num>
  <w:num w:numId="34">
    <w:abstractNumId w:val="41"/>
  </w:num>
  <w:num w:numId="35">
    <w:abstractNumId w:val="10"/>
  </w:num>
  <w:num w:numId="36">
    <w:abstractNumId w:val="24"/>
  </w:num>
  <w:num w:numId="37">
    <w:abstractNumId w:val="15"/>
  </w:num>
  <w:num w:numId="38">
    <w:abstractNumId w:val="36"/>
  </w:num>
  <w:num w:numId="39">
    <w:abstractNumId w:val="16"/>
  </w:num>
  <w:num w:numId="40">
    <w:abstractNumId w:val="18"/>
  </w:num>
  <w:num w:numId="41">
    <w:abstractNumId w:val="30"/>
  </w:num>
  <w:num w:numId="42">
    <w:abstractNumId w:val="33"/>
  </w:num>
  <w:num w:numId="43">
    <w:abstractNumId w:val="11"/>
  </w:num>
  <w:num w:numId="44">
    <w:abstractNumId w:val="43"/>
  </w:num>
  <w:num w:numId="4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CC"/>
    <w:rsid w:val="00000B71"/>
    <w:rsid w:val="000019B8"/>
    <w:rsid w:val="00004728"/>
    <w:rsid w:val="00006D38"/>
    <w:rsid w:val="00006FAE"/>
    <w:rsid w:val="00007091"/>
    <w:rsid w:val="000133C5"/>
    <w:rsid w:val="0001780B"/>
    <w:rsid w:val="00017D24"/>
    <w:rsid w:val="0002060D"/>
    <w:rsid w:val="000216CC"/>
    <w:rsid w:val="00026BCF"/>
    <w:rsid w:val="00043180"/>
    <w:rsid w:val="00046A06"/>
    <w:rsid w:val="000504CE"/>
    <w:rsid w:val="00050922"/>
    <w:rsid w:val="00050F6B"/>
    <w:rsid w:val="0005317C"/>
    <w:rsid w:val="00053492"/>
    <w:rsid w:val="00055A0A"/>
    <w:rsid w:val="00056084"/>
    <w:rsid w:val="0005710C"/>
    <w:rsid w:val="00057224"/>
    <w:rsid w:val="00060E65"/>
    <w:rsid w:val="00064402"/>
    <w:rsid w:val="0006579E"/>
    <w:rsid w:val="00067E6D"/>
    <w:rsid w:val="00072C8C"/>
    <w:rsid w:val="00073129"/>
    <w:rsid w:val="00074B14"/>
    <w:rsid w:val="00075F99"/>
    <w:rsid w:val="00076A0A"/>
    <w:rsid w:val="00077217"/>
    <w:rsid w:val="00082CE1"/>
    <w:rsid w:val="00083598"/>
    <w:rsid w:val="00084632"/>
    <w:rsid w:val="000858E4"/>
    <w:rsid w:val="00086270"/>
    <w:rsid w:val="00086FA7"/>
    <w:rsid w:val="00091046"/>
    <w:rsid w:val="00091419"/>
    <w:rsid w:val="00091CB3"/>
    <w:rsid w:val="00092776"/>
    <w:rsid w:val="000931C0"/>
    <w:rsid w:val="0009435D"/>
    <w:rsid w:val="000A2236"/>
    <w:rsid w:val="000A35F2"/>
    <w:rsid w:val="000A3A48"/>
    <w:rsid w:val="000A4C38"/>
    <w:rsid w:val="000B175B"/>
    <w:rsid w:val="000B303A"/>
    <w:rsid w:val="000B3A0F"/>
    <w:rsid w:val="000B3EB6"/>
    <w:rsid w:val="000B4919"/>
    <w:rsid w:val="000B55FF"/>
    <w:rsid w:val="000B566A"/>
    <w:rsid w:val="000B6B7E"/>
    <w:rsid w:val="000B7AF2"/>
    <w:rsid w:val="000C1ED8"/>
    <w:rsid w:val="000C3D2E"/>
    <w:rsid w:val="000C5D4B"/>
    <w:rsid w:val="000C717F"/>
    <w:rsid w:val="000D0B8F"/>
    <w:rsid w:val="000D3980"/>
    <w:rsid w:val="000D481F"/>
    <w:rsid w:val="000D6D97"/>
    <w:rsid w:val="000D7830"/>
    <w:rsid w:val="000E0415"/>
    <w:rsid w:val="000E20B9"/>
    <w:rsid w:val="000E23BE"/>
    <w:rsid w:val="000F4FDC"/>
    <w:rsid w:val="000F52D6"/>
    <w:rsid w:val="000F6A20"/>
    <w:rsid w:val="001001A5"/>
    <w:rsid w:val="001039FD"/>
    <w:rsid w:val="0010461A"/>
    <w:rsid w:val="001056C9"/>
    <w:rsid w:val="00105A2B"/>
    <w:rsid w:val="0011495E"/>
    <w:rsid w:val="00115303"/>
    <w:rsid w:val="00117787"/>
    <w:rsid w:val="00117D0D"/>
    <w:rsid w:val="001200F8"/>
    <w:rsid w:val="001215C0"/>
    <w:rsid w:val="00121EB7"/>
    <w:rsid w:val="00122495"/>
    <w:rsid w:val="001249AC"/>
    <w:rsid w:val="00131B10"/>
    <w:rsid w:val="00131BA8"/>
    <w:rsid w:val="00131D42"/>
    <w:rsid w:val="00133C50"/>
    <w:rsid w:val="001374FC"/>
    <w:rsid w:val="001406F4"/>
    <w:rsid w:val="00142117"/>
    <w:rsid w:val="00143116"/>
    <w:rsid w:val="00144ECD"/>
    <w:rsid w:val="00153065"/>
    <w:rsid w:val="00162EB7"/>
    <w:rsid w:val="001633FB"/>
    <w:rsid w:val="00163A1B"/>
    <w:rsid w:val="00165735"/>
    <w:rsid w:val="00167786"/>
    <w:rsid w:val="00181019"/>
    <w:rsid w:val="001835BF"/>
    <w:rsid w:val="00184B86"/>
    <w:rsid w:val="00185F5D"/>
    <w:rsid w:val="001A02A4"/>
    <w:rsid w:val="001A24C9"/>
    <w:rsid w:val="001A71F6"/>
    <w:rsid w:val="001B35EE"/>
    <w:rsid w:val="001B4B04"/>
    <w:rsid w:val="001B4E73"/>
    <w:rsid w:val="001B6A7E"/>
    <w:rsid w:val="001B6B72"/>
    <w:rsid w:val="001B6F2D"/>
    <w:rsid w:val="001C2046"/>
    <w:rsid w:val="001C429D"/>
    <w:rsid w:val="001C6663"/>
    <w:rsid w:val="001C7895"/>
    <w:rsid w:val="001D26DF"/>
    <w:rsid w:val="001D2FDC"/>
    <w:rsid w:val="001D3123"/>
    <w:rsid w:val="001D3A88"/>
    <w:rsid w:val="001D45AC"/>
    <w:rsid w:val="001D4B2D"/>
    <w:rsid w:val="001D4E70"/>
    <w:rsid w:val="001D7C70"/>
    <w:rsid w:val="001E629D"/>
    <w:rsid w:val="001E630E"/>
    <w:rsid w:val="001E797C"/>
    <w:rsid w:val="001F0157"/>
    <w:rsid w:val="001F299D"/>
    <w:rsid w:val="00211B12"/>
    <w:rsid w:val="00211E0B"/>
    <w:rsid w:val="0021481D"/>
    <w:rsid w:val="00221589"/>
    <w:rsid w:val="00221AC2"/>
    <w:rsid w:val="00224CD9"/>
    <w:rsid w:val="002309A7"/>
    <w:rsid w:val="00230E22"/>
    <w:rsid w:val="00234DE9"/>
    <w:rsid w:val="00234FE0"/>
    <w:rsid w:val="00235381"/>
    <w:rsid w:val="00237212"/>
    <w:rsid w:val="00237785"/>
    <w:rsid w:val="00241178"/>
    <w:rsid w:val="00241466"/>
    <w:rsid w:val="002440E7"/>
    <w:rsid w:val="00246E2D"/>
    <w:rsid w:val="00247570"/>
    <w:rsid w:val="002565E2"/>
    <w:rsid w:val="00256979"/>
    <w:rsid w:val="00257C1E"/>
    <w:rsid w:val="00261B71"/>
    <w:rsid w:val="002621F5"/>
    <w:rsid w:val="00263CDA"/>
    <w:rsid w:val="00267376"/>
    <w:rsid w:val="002708B5"/>
    <w:rsid w:val="00270DDB"/>
    <w:rsid w:val="00271EF4"/>
    <w:rsid w:val="002725CA"/>
    <w:rsid w:val="00273A92"/>
    <w:rsid w:val="00277896"/>
    <w:rsid w:val="00277E2F"/>
    <w:rsid w:val="00280EB7"/>
    <w:rsid w:val="00285189"/>
    <w:rsid w:val="00285676"/>
    <w:rsid w:val="00290A3B"/>
    <w:rsid w:val="00290DE3"/>
    <w:rsid w:val="002921EA"/>
    <w:rsid w:val="002976CF"/>
    <w:rsid w:val="002A0BD2"/>
    <w:rsid w:val="002A358B"/>
    <w:rsid w:val="002A39F6"/>
    <w:rsid w:val="002A5B17"/>
    <w:rsid w:val="002B0609"/>
    <w:rsid w:val="002B067A"/>
    <w:rsid w:val="002B1514"/>
    <w:rsid w:val="002B1CDA"/>
    <w:rsid w:val="002B2D3E"/>
    <w:rsid w:val="002C0722"/>
    <w:rsid w:val="002C2890"/>
    <w:rsid w:val="002C6B0E"/>
    <w:rsid w:val="002C7F25"/>
    <w:rsid w:val="002D03C0"/>
    <w:rsid w:val="002D476A"/>
    <w:rsid w:val="002D5A85"/>
    <w:rsid w:val="002D5C7D"/>
    <w:rsid w:val="002D6CD7"/>
    <w:rsid w:val="002E35BB"/>
    <w:rsid w:val="002E6555"/>
    <w:rsid w:val="002F323F"/>
    <w:rsid w:val="002F68FD"/>
    <w:rsid w:val="002F7870"/>
    <w:rsid w:val="00300628"/>
    <w:rsid w:val="00307D24"/>
    <w:rsid w:val="003107FA"/>
    <w:rsid w:val="0031227E"/>
    <w:rsid w:val="00312D62"/>
    <w:rsid w:val="00315D73"/>
    <w:rsid w:val="00316FF9"/>
    <w:rsid w:val="00317DAD"/>
    <w:rsid w:val="00321716"/>
    <w:rsid w:val="003229D8"/>
    <w:rsid w:val="00327D0A"/>
    <w:rsid w:val="00330180"/>
    <w:rsid w:val="00332851"/>
    <w:rsid w:val="00333342"/>
    <w:rsid w:val="003346FA"/>
    <w:rsid w:val="003374E3"/>
    <w:rsid w:val="00342222"/>
    <w:rsid w:val="00344C75"/>
    <w:rsid w:val="003517C3"/>
    <w:rsid w:val="00355502"/>
    <w:rsid w:val="003555D8"/>
    <w:rsid w:val="00356BC7"/>
    <w:rsid w:val="00357A20"/>
    <w:rsid w:val="0036622E"/>
    <w:rsid w:val="00370A06"/>
    <w:rsid w:val="00372F06"/>
    <w:rsid w:val="00382EB7"/>
    <w:rsid w:val="00391647"/>
    <w:rsid w:val="003921E6"/>
    <w:rsid w:val="0039277A"/>
    <w:rsid w:val="0039307D"/>
    <w:rsid w:val="00395FD7"/>
    <w:rsid w:val="00396BB7"/>
    <w:rsid w:val="00396F6A"/>
    <w:rsid w:val="003972E0"/>
    <w:rsid w:val="003A1EC2"/>
    <w:rsid w:val="003A52D7"/>
    <w:rsid w:val="003A5A16"/>
    <w:rsid w:val="003B62FE"/>
    <w:rsid w:val="003B6AE6"/>
    <w:rsid w:val="003B781F"/>
    <w:rsid w:val="003C0657"/>
    <w:rsid w:val="003C18C9"/>
    <w:rsid w:val="003C2CC4"/>
    <w:rsid w:val="003C655D"/>
    <w:rsid w:val="003C7B42"/>
    <w:rsid w:val="003D4B23"/>
    <w:rsid w:val="003D5245"/>
    <w:rsid w:val="003D7E1B"/>
    <w:rsid w:val="003F23A4"/>
    <w:rsid w:val="003F3127"/>
    <w:rsid w:val="003F3784"/>
    <w:rsid w:val="003F5B52"/>
    <w:rsid w:val="003F5FC4"/>
    <w:rsid w:val="0040260E"/>
    <w:rsid w:val="00403EC6"/>
    <w:rsid w:val="00404346"/>
    <w:rsid w:val="00406CD4"/>
    <w:rsid w:val="00407DB1"/>
    <w:rsid w:val="00430086"/>
    <w:rsid w:val="00430918"/>
    <w:rsid w:val="004325CB"/>
    <w:rsid w:val="004337AA"/>
    <w:rsid w:val="004354EE"/>
    <w:rsid w:val="00437F3F"/>
    <w:rsid w:val="00442365"/>
    <w:rsid w:val="00442ED4"/>
    <w:rsid w:val="004442FC"/>
    <w:rsid w:val="00446DE4"/>
    <w:rsid w:val="00450ACC"/>
    <w:rsid w:val="004511E2"/>
    <w:rsid w:val="004519D2"/>
    <w:rsid w:val="00452D10"/>
    <w:rsid w:val="00452F3A"/>
    <w:rsid w:val="00454036"/>
    <w:rsid w:val="00454D11"/>
    <w:rsid w:val="00454E8A"/>
    <w:rsid w:val="004562AA"/>
    <w:rsid w:val="00457CB8"/>
    <w:rsid w:val="00463B21"/>
    <w:rsid w:val="0046443A"/>
    <w:rsid w:val="004653B3"/>
    <w:rsid w:val="004654C4"/>
    <w:rsid w:val="0046668F"/>
    <w:rsid w:val="0046773D"/>
    <w:rsid w:val="0046788D"/>
    <w:rsid w:val="00473B8F"/>
    <w:rsid w:val="004801A8"/>
    <w:rsid w:val="0048304D"/>
    <w:rsid w:val="00484A9B"/>
    <w:rsid w:val="0048549F"/>
    <w:rsid w:val="00486A66"/>
    <w:rsid w:val="00490889"/>
    <w:rsid w:val="00492AF9"/>
    <w:rsid w:val="00493784"/>
    <w:rsid w:val="00494C77"/>
    <w:rsid w:val="00496A1D"/>
    <w:rsid w:val="00497711"/>
    <w:rsid w:val="004B2C9D"/>
    <w:rsid w:val="004B48E7"/>
    <w:rsid w:val="004B54B0"/>
    <w:rsid w:val="004B5939"/>
    <w:rsid w:val="004B5C97"/>
    <w:rsid w:val="004B73D6"/>
    <w:rsid w:val="004C39D0"/>
    <w:rsid w:val="004C4F1A"/>
    <w:rsid w:val="004C6D6D"/>
    <w:rsid w:val="004C7A15"/>
    <w:rsid w:val="004C7C93"/>
    <w:rsid w:val="004D7884"/>
    <w:rsid w:val="004D7D0E"/>
    <w:rsid w:val="004E074D"/>
    <w:rsid w:val="004E0C5D"/>
    <w:rsid w:val="004E1665"/>
    <w:rsid w:val="004F1A5C"/>
    <w:rsid w:val="004F32CF"/>
    <w:rsid w:val="004F4240"/>
    <w:rsid w:val="004F56A0"/>
    <w:rsid w:val="004F77CD"/>
    <w:rsid w:val="00503052"/>
    <w:rsid w:val="00505EEB"/>
    <w:rsid w:val="00506778"/>
    <w:rsid w:val="00507CF1"/>
    <w:rsid w:val="00510446"/>
    <w:rsid w:val="00520D85"/>
    <w:rsid w:val="00522177"/>
    <w:rsid w:val="005230E8"/>
    <w:rsid w:val="00527910"/>
    <w:rsid w:val="005420F2"/>
    <w:rsid w:val="00542505"/>
    <w:rsid w:val="00546655"/>
    <w:rsid w:val="005475D4"/>
    <w:rsid w:val="005513A9"/>
    <w:rsid w:val="00555CDB"/>
    <w:rsid w:val="00557E4F"/>
    <w:rsid w:val="00561B6D"/>
    <w:rsid w:val="00562D45"/>
    <w:rsid w:val="00563950"/>
    <w:rsid w:val="0056615B"/>
    <w:rsid w:val="00567465"/>
    <w:rsid w:val="00567DFB"/>
    <w:rsid w:val="00571DAA"/>
    <w:rsid w:val="00572F5D"/>
    <w:rsid w:val="005810D7"/>
    <w:rsid w:val="0058129D"/>
    <w:rsid w:val="00585B2B"/>
    <w:rsid w:val="00590144"/>
    <w:rsid w:val="0059328E"/>
    <w:rsid w:val="00594F31"/>
    <w:rsid w:val="0059682C"/>
    <w:rsid w:val="0059707C"/>
    <w:rsid w:val="005A64DD"/>
    <w:rsid w:val="005B09F0"/>
    <w:rsid w:val="005B0CED"/>
    <w:rsid w:val="005B3DB3"/>
    <w:rsid w:val="005B528A"/>
    <w:rsid w:val="005C4CB5"/>
    <w:rsid w:val="005D0C6C"/>
    <w:rsid w:val="005D544E"/>
    <w:rsid w:val="005D663E"/>
    <w:rsid w:val="005D6A38"/>
    <w:rsid w:val="005D70C5"/>
    <w:rsid w:val="005E0945"/>
    <w:rsid w:val="005E221E"/>
    <w:rsid w:val="005E5946"/>
    <w:rsid w:val="005F1175"/>
    <w:rsid w:val="005F2A7D"/>
    <w:rsid w:val="005F37AA"/>
    <w:rsid w:val="005F3A39"/>
    <w:rsid w:val="005F3E24"/>
    <w:rsid w:val="005F589C"/>
    <w:rsid w:val="005F5C2F"/>
    <w:rsid w:val="005F5C79"/>
    <w:rsid w:val="005F7BB1"/>
    <w:rsid w:val="00602490"/>
    <w:rsid w:val="00603E3C"/>
    <w:rsid w:val="00606E47"/>
    <w:rsid w:val="00607901"/>
    <w:rsid w:val="00611FC4"/>
    <w:rsid w:val="00612812"/>
    <w:rsid w:val="006176FB"/>
    <w:rsid w:val="00626B06"/>
    <w:rsid w:val="00626B1F"/>
    <w:rsid w:val="00626B77"/>
    <w:rsid w:val="00626DE3"/>
    <w:rsid w:val="006279AC"/>
    <w:rsid w:val="00633A7D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537E7"/>
    <w:rsid w:val="00653C8C"/>
    <w:rsid w:val="00662121"/>
    <w:rsid w:val="00662E09"/>
    <w:rsid w:val="00667788"/>
    <w:rsid w:val="006678CB"/>
    <w:rsid w:val="00667C6B"/>
    <w:rsid w:val="00670CF0"/>
    <w:rsid w:val="006747C8"/>
    <w:rsid w:val="00675F87"/>
    <w:rsid w:val="00690CD6"/>
    <w:rsid w:val="006937F4"/>
    <w:rsid w:val="0069386C"/>
    <w:rsid w:val="006A3932"/>
    <w:rsid w:val="006A5D6D"/>
    <w:rsid w:val="006A63E3"/>
    <w:rsid w:val="006A7392"/>
    <w:rsid w:val="006B1C55"/>
    <w:rsid w:val="006B4347"/>
    <w:rsid w:val="006C0D34"/>
    <w:rsid w:val="006C251B"/>
    <w:rsid w:val="006C2F7E"/>
    <w:rsid w:val="006C5DF1"/>
    <w:rsid w:val="006D1025"/>
    <w:rsid w:val="006D27E0"/>
    <w:rsid w:val="006D3560"/>
    <w:rsid w:val="006D6989"/>
    <w:rsid w:val="006D6ED0"/>
    <w:rsid w:val="006E36E7"/>
    <w:rsid w:val="006E3B65"/>
    <w:rsid w:val="006E4FFE"/>
    <w:rsid w:val="006E564B"/>
    <w:rsid w:val="0070032B"/>
    <w:rsid w:val="007025C0"/>
    <w:rsid w:val="007064F3"/>
    <w:rsid w:val="00707F04"/>
    <w:rsid w:val="0071047B"/>
    <w:rsid w:val="00711637"/>
    <w:rsid w:val="00711AB0"/>
    <w:rsid w:val="00714F4F"/>
    <w:rsid w:val="00715844"/>
    <w:rsid w:val="007172CB"/>
    <w:rsid w:val="0072632A"/>
    <w:rsid w:val="0072633F"/>
    <w:rsid w:val="00733FA4"/>
    <w:rsid w:val="00736E6A"/>
    <w:rsid w:val="00741401"/>
    <w:rsid w:val="00741F59"/>
    <w:rsid w:val="007427B7"/>
    <w:rsid w:val="00745D03"/>
    <w:rsid w:val="0074697D"/>
    <w:rsid w:val="00747CCD"/>
    <w:rsid w:val="00755EBE"/>
    <w:rsid w:val="00761619"/>
    <w:rsid w:val="0076177C"/>
    <w:rsid w:val="00763C33"/>
    <w:rsid w:val="00766322"/>
    <w:rsid w:val="00767583"/>
    <w:rsid w:val="00767D3A"/>
    <w:rsid w:val="00770BCD"/>
    <w:rsid w:val="00770D3F"/>
    <w:rsid w:val="00771904"/>
    <w:rsid w:val="00773353"/>
    <w:rsid w:val="00774129"/>
    <w:rsid w:val="00774E8F"/>
    <w:rsid w:val="00774EAA"/>
    <w:rsid w:val="0078123B"/>
    <w:rsid w:val="00783286"/>
    <w:rsid w:val="00785E8C"/>
    <w:rsid w:val="00786434"/>
    <w:rsid w:val="00790791"/>
    <w:rsid w:val="00796F36"/>
    <w:rsid w:val="007A2218"/>
    <w:rsid w:val="007A2CDB"/>
    <w:rsid w:val="007A62EC"/>
    <w:rsid w:val="007B1A7E"/>
    <w:rsid w:val="007B208C"/>
    <w:rsid w:val="007B2BA8"/>
    <w:rsid w:val="007B6BA5"/>
    <w:rsid w:val="007C2C0D"/>
    <w:rsid w:val="007C2C4C"/>
    <w:rsid w:val="007C3162"/>
    <w:rsid w:val="007C3390"/>
    <w:rsid w:val="007C4F4B"/>
    <w:rsid w:val="007C644D"/>
    <w:rsid w:val="007D0AE6"/>
    <w:rsid w:val="007D0C3A"/>
    <w:rsid w:val="007D42F4"/>
    <w:rsid w:val="007D7BC6"/>
    <w:rsid w:val="007E4BD3"/>
    <w:rsid w:val="007E5D7C"/>
    <w:rsid w:val="007E7135"/>
    <w:rsid w:val="007F2A54"/>
    <w:rsid w:val="007F5104"/>
    <w:rsid w:val="007F6611"/>
    <w:rsid w:val="00800024"/>
    <w:rsid w:val="00800859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3EC7"/>
    <w:rsid w:val="00834479"/>
    <w:rsid w:val="00836172"/>
    <w:rsid w:val="00843AB2"/>
    <w:rsid w:val="0084667A"/>
    <w:rsid w:val="00846809"/>
    <w:rsid w:val="00854252"/>
    <w:rsid w:val="00856B0F"/>
    <w:rsid w:val="00860894"/>
    <w:rsid w:val="008609E4"/>
    <w:rsid w:val="0086107D"/>
    <w:rsid w:val="00864251"/>
    <w:rsid w:val="00865914"/>
    <w:rsid w:val="00867E90"/>
    <w:rsid w:val="00871DAD"/>
    <w:rsid w:val="00871FD5"/>
    <w:rsid w:val="0087494C"/>
    <w:rsid w:val="00881213"/>
    <w:rsid w:val="00884867"/>
    <w:rsid w:val="008979B1"/>
    <w:rsid w:val="008A0669"/>
    <w:rsid w:val="008A0B75"/>
    <w:rsid w:val="008A0CC2"/>
    <w:rsid w:val="008A1542"/>
    <w:rsid w:val="008A2128"/>
    <w:rsid w:val="008A6B25"/>
    <w:rsid w:val="008A6C4F"/>
    <w:rsid w:val="008A7679"/>
    <w:rsid w:val="008A7AB3"/>
    <w:rsid w:val="008B0105"/>
    <w:rsid w:val="008B1986"/>
    <w:rsid w:val="008B469C"/>
    <w:rsid w:val="008B65FB"/>
    <w:rsid w:val="008C2EE7"/>
    <w:rsid w:val="008C3B3C"/>
    <w:rsid w:val="008C4283"/>
    <w:rsid w:val="008C4D22"/>
    <w:rsid w:val="008C74C3"/>
    <w:rsid w:val="008C7BF7"/>
    <w:rsid w:val="008D134F"/>
    <w:rsid w:val="008D3C75"/>
    <w:rsid w:val="008D4B46"/>
    <w:rsid w:val="008D6942"/>
    <w:rsid w:val="008E0E46"/>
    <w:rsid w:val="008E1DAE"/>
    <w:rsid w:val="008E295A"/>
    <w:rsid w:val="008E5C63"/>
    <w:rsid w:val="008F2D9A"/>
    <w:rsid w:val="008F44B8"/>
    <w:rsid w:val="008F504A"/>
    <w:rsid w:val="00901360"/>
    <w:rsid w:val="00904EBC"/>
    <w:rsid w:val="009077B4"/>
    <w:rsid w:val="009138A9"/>
    <w:rsid w:val="00923019"/>
    <w:rsid w:val="00924B63"/>
    <w:rsid w:val="00924E15"/>
    <w:rsid w:val="00925AA3"/>
    <w:rsid w:val="009359DE"/>
    <w:rsid w:val="009363B6"/>
    <w:rsid w:val="00940F46"/>
    <w:rsid w:val="00941ECC"/>
    <w:rsid w:val="009422AF"/>
    <w:rsid w:val="00945A5D"/>
    <w:rsid w:val="00945DAF"/>
    <w:rsid w:val="00946A0D"/>
    <w:rsid w:val="00946D84"/>
    <w:rsid w:val="00955109"/>
    <w:rsid w:val="00956EDF"/>
    <w:rsid w:val="009600BB"/>
    <w:rsid w:val="00963B67"/>
    <w:rsid w:val="00963CBA"/>
    <w:rsid w:val="00965842"/>
    <w:rsid w:val="0096797E"/>
    <w:rsid w:val="009701ED"/>
    <w:rsid w:val="009727F8"/>
    <w:rsid w:val="009773E2"/>
    <w:rsid w:val="009825BD"/>
    <w:rsid w:val="00982887"/>
    <w:rsid w:val="00984471"/>
    <w:rsid w:val="00985F37"/>
    <w:rsid w:val="009879EA"/>
    <w:rsid w:val="00987C3F"/>
    <w:rsid w:val="0099050E"/>
    <w:rsid w:val="009908A5"/>
    <w:rsid w:val="0099124E"/>
    <w:rsid w:val="00991261"/>
    <w:rsid w:val="00992B10"/>
    <w:rsid w:val="009953D5"/>
    <w:rsid w:val="009A1D29"/>
    <w:rsid w:val="009B0A71"/>
    <w:rsid w:val="009B3784"/>
    <w:rsid w:val="009C48FB"/>
    <w:rsid w:val="009C6394"/>
    <w:rsid w:val="009D0E2A"/>
    <w:rsid w:val="009D0F0E"/>
    <w:rsid w:val="009D1AAE"/>
    <w:rsid w:val="009D1DEE"/>
    <w:rsid w:val="009D634E"/>
    <w:rsid w:val="009E1560"/>
    <w:rsid w:val="009E47FC"/>
    <w:rsid w:val="009F0F06"/>
    <w:rsid w:val="009F369A"/>
    <w:rsid w:val="009F4F10"/>
    <w:rsid w:val="009F4FC5"/>
    <w:rsid w:val="009F593A"/>
    <w:rsid w:val="00A06982"/>
    <w:rsid w:val="00A06F1A"/>
    <w:rsid w:val="00A1159A"/>
    <w:rsid w:val="00A11695"/>
    <w:rsid w:val="00A1427D"/>
    <w:rsid w:val="00A2005C"/>
    <w:rsid w:val="00A235F1"/>
    <w:rsid w:val="00A274F2"/>
    <w:rsid w:val="00A34427"/>
    <w:rsid w:val="00A34B00"/>
    <w:rsid w:val="00A3777A"/>
    <w:rsid w:val="00A50077"/>
    <w:rsid w:val="00A505AA"/>
    <w:rsid w:val="00A52EE8"/>
    <w:rsid w:val="00A54CA8"/>
    <w:rsid w:val="00A573DE"/>
    <w:rsid w:val="00A60196"/>
    <w:rsid w:val="00A6199C"/>
    <w:rsid w:val="00A622AF"/>
    <w:rsid w:val="00A63A3E"/>
    <w:rsid w:val="00A65F4A"/>
    <w:rsid w:val="00A66636"/>
    <w:rsid w:val="00A67B16"/>
    <w:rsid w:val="00A71119"/>
    <w:rsid w:val="00A72F22"/>
    <w:rsid w:val="00A744D7"/>
    <w:rsid w:val="00A748A6"/>
    <w:rsid w:val="00A74A46"/>
    <w:rsid w:val="00A75EC9"/>
    <w:rsid w:val="00A80019"/>
    <w:rsid w:val="00A810D4"/>
    <w:rsid w:val="00A83538"/>
    <w:rsid w:val="00A8523D"/>
    <w:rsid w:val="00A85AEE"/>
    <w:rsid w:val="00A879A4"/>
    <w:rsid w:val="00A9368A"/>
    <w:rsid w:val="00A967F2"/>
    <w:rsid w:val="00A97F6F"/>
    <w:rsid w:val="00AA1D9A"/>
    <w:rsid w:val="00AA32EB"/>
    <w:rsid w:val="00AA6678"/>
    <w:rsid w:val="00AB382F"/>
    <w:rsid w:val="00AB4CF1"/>
    <w:rsid w:val="00AB75AE"/>
    <w:rsid w:val="00AC7E37"/>
    <w:rsid w:val="00AD0165"/>
    <w:rsid w:val="00AD34EE"/>
    <w:rsid w:val="00AD54C3"/>
    <w:rsid w:val="00AD7C88"/>
    <w:rsid w:val="00AE1098"/>
    <w:rsid w:val="00AE45DE"/>
    <w:rsid w:val="00AE5DB4"/>
    <w:rsid w:val="00AF0878"/>
    <w:rsid w:val="00AF2F9D"/>
    <w:rsid w:val="00AF53A6"/>
    <w:rsid w:val="00AF6710"/>
    <w:rsid w:val="00B013E6"/>
    <w:rsid w:val="00B03871"/>
    <w:rsid w:val="00B04866"/>
    <w:rsid w:val="00B04D66"/>
    <w:rsid w:val="00B07262"/>
    <w:rsid w:val="00B10C19"/>
    <w:rsid w:val="00B1157C"/>
    <w:rsid w:val="00B11781"/>
    <w:rsid w:val="00B141EB"/>
    <w:rsid w:val="00B1501F"/>
    <w:rsid w:val="00B23B4A"/>
    <w:rsid w:val="00B256DB"/>
    <w:rsid w:val="00B26710"/>
    <w:rsid w:val="00B26B3C"/>
    <w:rsid w:val="00B30179"/>
    <w:rsid w:val="00B33040"/>
    <w:rsid w:val="00B3317B"/>
    <w:rsid w:val="00B369D1"/>
    <w:rsid w:val="00B36C43"/>
    <w:rsid w:val="00B40C28"/>
    <w:rsid w:val="00B41384"/>
    <w:rsid w:val="00B42038"/>
    <w:rsid w:val="00B43529"/>
    <w:rsid w:val="00B436BD"/>
    <w:rsid w:val="00B4398E"/>
    <w:rsid w:val="00B47866"/>
    <w:rsid w:val="00B5236D"/>
    <w:rsid w:val="00B535B3"/>
    <w:rsid w:val="00B5392B"/>
    <w:rsid w:val="00B56DDE"/>
    <w:rsid w:val="00B65556"/>
    <w:rsid w:val="00B71E2B"/>
    <w:rsid w:val="00B73DA8"/>
    <w:rsid w:val="00B74F7C"/>
    <w:rsid w:val="00B75E05"/>
    <w:rsid w:val="00B815A2"/>
    <w:rsid w:val="00B81E12"/>
    <w:rsid w:val="00B84AAC"/>
    <w:rsid w:val="00B90F54"/>
    <w:rsid w:val="00B91CC3"/>
    <w:rsid w:val="00B92A0C"/>
    <w:rsid w:val="00B93068"/>
    <w:rsid w:val="00B95488"/>
    <w:rsid w:val="00BA0F68"/>
    <w:rsid w:val="00BA4953"/>
    <w:rsid w:val="00BB176D"/>
    <w:rsid w:val="00BB1E7F"/>
    <w:rsid w:val="00BB39C0"/>
    <w:rsid w:val="00BB3B28"/>
    <w:rsid w:val="00BC0C09"/>
    <w:rsid w:val="00BC1AC9"/>
    <w:rsid w:val="00BC4BF8"/>
    <w:rsid w:val="00BC4C36"/>
    <w:rsid w:val="00BC5847"/>
    <w:rsid w:val="00BC5D32"/>
    <w:rsid w:val="00BC74E9"/>
    <w:rsid w:val="00BD109F"/>
    <w:rsid w:val="00BE0423"/>
    <w:rsid w:val="00BE1FF8"/>
    <w:rsid w:val="00BE50CA"/>
    <w:rsid w:val="00BE5D05"/>
    <w:rsid w:val="00BE618E"/>
    <w:rsid w:val="00BF479B"/>
    <w:rsid w:val="00BF4DE2"/>
    <w:rsid w:val="00BF65D7"/>
    <w:rsid w:val="00BF7BD6"/>
    <w:rsid w:val="00C0236F"/>
    <w:rsid w:val="00C0263F"/>
    <w:rsid w:val="00C03B44"/>
    <w:rsid w:val="00C11E76"/>
    <w:rsid w:val="00C1335F"/>
    <w:rsid w:val="00C13A85"/>
    <w:rsid w:val="00C15366"/>
    <w:rsid w:val="00C218A4"/>
    <w:rsid w:val="00C218DD"/>
    <w:rsid w:val="00C27A6E"/>
    <w:rsid w:val="00C30546"/>
    <w:rsid w:val="00C36D37"/>
    <w:rsid w:val="00C4087B"/>
    <w:rsid w:val="00C430B5"/>
    <w:rsid w:val="00C463DD"/>
    <w:rsid w:val="00C46D5B"/>
    <w:rsid w:val="00C4799C"/>
    <w:rsid w:val="00C537D5"/>
    <w:rsid w:val="00C554A4"/>
    <w:rsid w:val="00C5555A"/>
    <w:rsid w:val="00C62F76"/>
    <w:rsid w:val="00C63A69"/>
    <w:rsid w:val="00C66D78"/>
    <w:rsid w:val="00C704F4"/>
    <w:rsid w:val="00C73CC8"/>
    <w:rsid w:val="00C745C3"/>
    <w:rsid w:val="00C75944"/>
    <w:rsid w:val="00C761E7"/>
    <w:rsid w:val="00C8038E"/>
    <w:rsid w:val="00C81212"/>
    <w:rsid w:val="00C84FF1"/>
    <w:rsid w:val="00C86BDB"/>
    <w:rsid w:val="00C86C21"/>
    <w:rsid w:val="00C91180"/>
    <w:rsid w:val="00C93C11"/>
    <w:rsid w:val="00C94DDD"/>
    <w:rsid w:val="00C971F6"/>
    <w:rsid w:val="00CA049C"/>
    <w:rsid w:val="00CA381C"/>
    <w:rsid w:val="00CA74D3"/>
    <w:rsid w:val="00CB143B"/>
    <w:rsid w:val="00CB2158"/>
    <w:rsid w:val="00CB22C9"/>
    <w:rsid w:val="00CB37E3"/>
    <w:rsid w:val="00CB6380"/>
    <w:rsid w:val="00CC4CA6"/>
    <w:rsid w:val="00CD0009"/>
    <w:rsid w:val="00CD160D"/>
    <w:rsid w:val="00CD30EE"/>
    <w:rsid w:val="00CD3225"/>
    <w:rsid w:val="00CD3CEA"/>
    <w:rsid w:val="00CE1B64"/>
    <w:rsid w:val="00CE2F07"/>
    <w:rsid w:val="00CE4083"/>
    <w:rsid w:val="00CE46BA"/>
    <w:rsid w:val="00CE4A8F"/>
    <w:rsid w:val="00CE6FAE"/>
    <w:rsid w:val="00CE710B"/>
    <w:rsid w:val="00CF194C"/>
    <w:rsid w:val="00CF6F32"/>
    <w:rsid w:val="00CF778D"/>
    <w:rsid w:val="00D00A82"/>
    <w:rsid w:val="00D034DC"/>
    <w:rsid w:val="00D04F8D"/>
    <w:rsid w:val="00D05090"/>
    <w:rsid w:val="00D0631B"/>
    <w:rsid w:val="00D06C3A"/>
    <w:rsid w:val="00D07C57"/>
    <w:rsid w:val="00D164BA"/>
    <w:rsid w:val="00D171ED"/>
    <w:rsid w:val="00D2031B"/>
    <w:rsid w:val="00D25E8C"/>
    <w:rsid w:val="00D25FE2"/>
    <w:rsid w:val="00D27E89"/>
    <w:rsid w:val="00D3549F"/>
    <w:rsid w:val="00D37E80"/>
    <w:rsid w:val="00D43252"/>
    <w:rsid w:val="00D46231"/>
    <w:rsid w:val="00D477C4"/>
    <w:rsid w:val="00D5053E"/>
    <w:rsid w:val="00D5409C"/>
    <w:rsid w:val="00D57C13"/>
    <w:rsid w:val="00D57FD9"/>
    <w:rsid w:val="00D610C1"/>
    <w:rsid w:val="00D658FA"/>
    <w:rsid w:val="00D730E3"/>
    <w:rsid w:val="00D753D8"/>
    <w:rsid w:val="00D871A3"/>
    <w:rsid w:val="00D91E0D"/>
    <w:rsid w:val="00D920D7"/>
    <w:rsid w:val="00D9274F"/>
    <w:rsid w:val="00D96248"/>
    <w:rsid w:val="00D96CC5"/>
    <w:rsid w:val="00D978C6"/>
    <w:rsid w:val="00D97B77"/>
    <w:rsid w:val="00DA332C"/>
    <w:rsid w:val="00DA6620"/>
    <w:rsid w:val="00DA67AD"/>
    <w:rsid w:val="00DB2371"/>
    <w:rsid w:val="00DC002F"/>
    <w:rsid w:val="00DC0FE9"/>
    <w:rsid w:val="00DC581A"/>
    <w:rsid w:val="00DC5E82"/>
    <w:rsid w:val="00DC6228"/>
    <w:rsid w:val="00DD42A0"/>
    <w:rsid w:val="00DD6801"/>
    <w:rsid w:val="00DD764B"/>
    <w:rsid w:val="00DE236F"/>
    <w:rsid w:val="00DE3ECB"/>
    <w:rsid w:val="00DE4785"/>
    <w:rsid w:val="00DE7267"/>
    <w:rsid w:val="00DF0A4D"/>
    <w:rsid w:val="00DF1383"/>
    <w:rsid w:val="00DF3039"/>
    <w:rsid w:val="00DF3A04"/>
    <w:rsid w:val="00DF4518"/>
    <w:rsid w:val="00DF4E07"/>
    <w:rsid w:val="00E01324"/>
    <w:rsid w:val="00E01DA9"/>
    <w:rsid w:val="00E03967"/>
    <w:rsid w:val="00E05B1C"/>
    <w:rsid w:val="00E07015"/>
    <w:rsid w:val="00E07AD5"/>
    <w:rsid w:val="00E11783"/>
    <w:rsid w:val="00E130AB"/>
    <w:rsid w:val="00E14E93"/>
    <w:rsid w:val="00E15A62"/>
    <w:rsid w:val="00E1679E"/>
    <w:rsid w:val="00E17778"/>
    <w:rsid w:val="00E239A0"/>
    <w:rsid w:val="00E26CA1"/>
    <w:rsid w:val="00E34E58"/>
    <w:rsid w:val="00E3560E"/>
    <w:rsid w:val="00E36838"/>
    <w:rsid w:val="00E36C10"/>
    <w:rsid w:val="00E40B76"/>
    <w:rsid w:val="00E42461"/>
    <w:rsid w:val="00E4443D"/>
    <w:rsid w:val="00E456CD"/>
    <w:rsid w:val="00E4670F"/>
    <w:rsid w:val="00E52EB0"/>
    <w:rsid w:val="00E54352"/>
    <w:rsid w:val="00E5618A"/>
    <w:rsid w:val="00E5644E"/>
    <w:rsid w:val="00E5691C"/>
    <w:rsid w:val="00E631BA"/>
    <w:rsid w:val="00E65242"/>
    <w:rsid w:val="00E6613A"/>
    <w:rsid w:val="00E67F31"/>
    <w:rsid w:val="00E7260F"/>
    <w:rsid w:val="00E730D8"/>
    <w:rsid w:val="00E73EB3"/>
    <w:rsid w:val="00E81230"/>
    <w:rsid w:val="00E844AD"/>
    <w:rsid w:val="00E84898"/>
    <w:rsid w:val="00E8535A"/>
    <w:rsid w:val="00E864BE"/>
    <w:rsid w:val="00E8668F"/>
    <w:rsid w:val="00E90647"/>
    <w:rsid w:val="00E92556"/>
    <w:rsid w:val="00E96630"/>
    <w:rsid w:val="00EA0364"/>
    <w:rsid w:val="00EA2DCD"/>
    <w:rsid w:val="00EA4298"/>
    <w:rsid w:val="00EA48C4"/>
    <w:rsid w:val="00EA772F"/>
    <w:rsid w:val="00EB1763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3508"/>
    <w:rsid w:val="00ED3F6F"/>
    <w:rsid w:val="00ED4745"/>
    <w:rsid w:val="00ED5A66"/>
    <w:rsid w:val="00ED7A2A"/>
    <w:rsid w:val="00EE4D59"/>
    <w:rsid w:val="00EE4E42"/>
    <w:rsid w:val="00EE73C3"/>
    <w:rsid w:val="00EF18D3"/>
    <w:rsid w:val="00EF1D7F"/>
    <w:rsid w:val="00EF2FFF"/>
    <w:rsid w:val="00EF4AAC"/>
    <w:rsid w:val="00EF6FCD"/>
    <w:rsid w:val="00F01C57"/>
    <w:rsid w:val="00F03379"/>
    <w:rsid w:val="00F03FA2"/>
    <w:rsid w:val="00F04A91"/>
    <w:rsid w:val="00F05283"/>
    <w:rsid w:val="00F07537"/>
    <w:rsid w:val="00F075EF"/>
    <w:rsid w:val="00F07E12"/>
    <w:rsid w:val="00F1200D"/>
    <w:rsid w:val="00F138E5"/>
    <w:rsid w:val="00F13A36"/>
    <w:rsid w:val="00F14682"/>
    <w:rsid w:val="00F21360"/>
    <w:rsid w:val="00F300A3"/>
    <w:rsid w:val="00F30A8A"/>
    <w:rsid w:val="00F3114B"/>
    <w:rsid w:val="00F337FA"/>
    <w:rsid w:val="00F34267"/>
    <w:rsid w:val="00F3574D"/>
    <w:rsid w:val="00F40295"/>
    <w:rsid w:val="00F40E75"/>
    <w:rsid w:val="00F412D3"/>
    <w:rsid w:val="00F4216E"/>
    <w:rsid w:val="00F431EA"/>
    <w:rsid w:val="00F43F36"/>
    <w:rsid w:val="00F444E3"/>
    <w:rsid w:val="00F44619"/>
    <w:rsid w:val="00F5039C"/>
    <w:rsid w:val="00F5087E"/>
    <w:rsid w:val="00F519D1"/>
    <w:rsid w:val="00F51BAB"/>
    <w:rsid w:val="00F5233F"/>
    <w:rsid w:val="00F52DB2"/>
    <w:rsid w:val="00F535BE"/>
    <w:rsid w:val="00F5413C"/>
    <w:rsid w:val="00F54674"/>
    <w:rsid w:val="00F64C95"/>
    <w:rsid w:val="00F72514"/>
    <w:rsid w:val="00F736C5"/>
    <w:rsid w:val="00F75E96"/>
    <w:rsid w:val="00F80CCB"/>
    <w:rsid w:val="00FA00A0"/>
    <w:rsid w:val="00FA38BB"/>
    <w:rsid w:val="00FA3FB7"/>
    <w:rsid w:val="00FA436F"/>
    <w:rsid w:val="00FB5A37"/>
    <w:rsid w:val="00FB724E"/>
    <w:rsid w:val="00FB7793"/>
    <w:rsid w:val="00FC18AA"/>
    <w:rsid w:val="00FC215C"/>
    <w:rsid w:val="00FC29AA"/>
    <w:rsid w:val="00FC68B7"/>
    <w:rsid w:val="00FD19BE"/>
    <w:rsid w:val="00FD3C5D"/>
    <w:rsid w:val="00FD3E70"/>
    <w:rsid w:val="00FD4128"/>
    <w:rsid w:val="00FD6B2B"/>
    <w:rsid w:val="00FE3EEA"/>
    <w:rsid w:val="00FE5882"/>
    <w:rsid w:val="00FE762E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0E23BE"/>
    <w:rPr>
      <w:b/>
      <w:sz w:val="24"/>
      <w:lang w:eastAsia="en-US"/>
    </w:rPr>
  </w:style>
  <w:style w:type="paragraph" w:customStyle="1" w:styleId="p1">
    <w:name w:val="p1"/>
    <w:basedOn w:val="Normal"/>
    <w:rsid w:val="00CE710B"/>
    <w:pPr>
      <w:suppressAutoHyphens w:val="0"/>
      <w:spacing w:line="240" w:lineRule="auto"/>
    </w:pPr>
    <w:rPr>
      <w:sz w:val="18"/>
      <w:szCs w:val="18"/>
      <w:lang w:val="en-US"/>
    </w:rPr>
  </w:style>
  <w:style w:type="paragraph" w:customStyle="1" w:styleId="p2">
    <w:name w:val="p2"/>
    <w:basedOn w:val="Normal"/>
    <w:rsid w:val="00CE710B"/>
    <w:pPr>
      <w:suppressAutoHyphens w:val="0"/>
      <w:spacing w:line="240" w:lineRule="auto"/>
    </w:pPr>
    <w:rPr>
      <w:sz w:val="30"/>
      <w:szCs w:val="30"/>
      <w:lang w:val="en-US"/>
    </w:rPr>
  </w:style>
  <w:style w:type="character" w:customStyle="1" w:styleId="apple-converted-space">
    <w:name w:val="apple-converted-space"/>
    <w:basedOn w:val="DefaultParagraphFont"/>
    <w:rsid w:val="00CE710B"/>
  </w:style>
  <w:style w:type="paragraph" w:styleId="Revision">
    <w:name w:val="Revision"/>
    <w:hidden/>
    <w:uiPriority w:val="99"/>
    <w:semiHidden/>
    <w:rsid w:val="00370A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0E23BE"/>
    <w:rPr>
      <w:b/>
      <w:sz w:val="24"/>
      <w:lang w:eastAsia="en-US"/>
    </w:rPr>
  </w:style>
  <w:style w:type="paragraph" w:customStyle="1" w:styleId="p1">
    <w:name w:val="p1"/>
    <w:basedOn w:val="Normal"/>
    <w:rsid w:val="00CE710B"/>
    <w:pPr>
      <w:suppressAutoHyphens w:val="0"/>
      <w:spacing w:line="240" w:lineRule="auto"/>
    </w:pPr>
    <w:rPr>
      <w:sz w:val="18"/>
      <w:szCs w:val="18"/>
      <w:lang w:val="en-US"/>
    </w:rPr>
  </w:style>
  <w:style w:type="paragraph" w:customStyle="1" w:styleId="p2">
    <w:name w:val="p2"/>
    <w:basedOn w:val="Normal"/>
    <w:rsid w:val="00CE710B"/>
    <w:pPr>
      <w:suppressAutoHyphens w:val="0"/>
      <w:spacing w:line="240" w:lineRule="auto"/>
    </w:pPr>
    <w:rPr>
      <w:sz w:val="30"/>
      <w:szCs w:val="30"/>
      <w:lang w:val="en-US"/>
    </w:rPr>
  </w:style>
  <w:style w:type="character" w:customStyle="1" w:styleId="apple-converted-space">
    <w:name w:val="apple-converted-space"/>
    <w:basedOn w:val="DefaultParagraphFont"/>
    <w:rsid w:val="00CE710B"/>
  </w:style>
  <w:style w:type="paragraph" w:styleId="Revision">
    <w:name w:val="Revision"/>
    <w:hidden/>
    <w:uiPriority w:val="99"/>
    <w:semiHidden/>
    <w:rsid w:val="00370A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B666-4B94-4E54-9C47-09D6AA94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36</TotalTime>
  <Pages>4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4</cp:revision>
  <cp:lastPrinted>2017-11-17T07:52:00Z</cp:lastPrinted>
  <dcterms:created xsi:type="dcterms:W3CDTF">2017-11-17T07:37:00Z</dcterms:created>
  <dcterms:modified xsi:type="dcterms:W3CDTF">2017-11-17T08:00:00Z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